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quarterly period ended June 30, 2021</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53" w:lineRule="exact"/>
        <w:rPr>
          <w:sz w:val="24"/>
          <w:szCs w:val="24"/>
          <w:color w:val="auto"/>
        </w:rPr>
      </w:pPr>
    </w:p>
    <w:p>
      <w:pPr>
        <w:ind w:left="4340" w:right="2500" w:hanging="4314"/>
        <w:spacing w:after="0" w:line="444" w:lineRule="auto"/>
        <w:tabs>
          <w:tab w:leader="none" w:pos="45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Commission file number 001-40653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526"/>
        </w:trPr>
        <w:tc>
          <w:tcPr>
            <w:tcW w:w="3840" w:type="dxa"/>
            <w:vAlign w:val="bottom"/>
          </w:tcPr>
          <w:p>
            <w:pPr>
              <w:spacing w:after="0"/>
              <w:rPr>
                <w:sz w:val="24"/>
                <w:szCs w:val="24"/>
                <w:color w:val="auto"/>
              </w:rPr>
            </w:pPr>
          </w:p>
        </w:tc>
        <w:tc>
          <w:tcPr>
            <w:tcW w:w="3800" w:type="dxa"/>
            <w:vAlign w:val="bottom"/>
            <w:gridSpan w:val="3"/>
          </w:tcPr>
          <w:p>
            <w:pPr>
              <w:jc w:val="center"/>
              <w:ind w:right="220"/>
              <w:spacing w:after="0"/>
              <w:rPr>
                <w:sz w:val="20"/>
                <w:szCs w:val="20"/>
                <w:color w:val="auto"/>
              </w:rPr>
            </w:pPr>
            <w:r>
              <w:rPr>
                <w:rFonts w:ascii="Arial" w:cs="Arial" w:eastAsia="Arial" w:hAnsi="Arial"/>
                <w:sz w:val="40"/>
                <w:szCs w:val="40"/>
                <w:b w:val="1"/>
                <w:bCs w:val="1"/>
                <w:color w:val="auto"/>
                <w:w w:val="99"/>
              </w:rPr>
              <w:t>Duolingo, Inc.</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840" w:type="dxa"/>
            <w:vAlign w:val="bottom"/>
          </w:tcPr>
          <w:p>
            <w:pPr>
              <w:spacing w:after="0"/>
              <w:rPr>
                <w:sz w:val="14"/>
                <w:szCs w:val="14"/>
                <w:color w:val="auto"/>
              </w:rPr>
            </w:pPr>
          </w:p>
        </w:tc>
        <w:tc>
          <w:tcPr>
            <w:tcW w:w="3800" w:type="dxa"/>
            <w:vAlign w:val="bottom"/>
            <w:gridSpan w:val="3"/>
          </w:tcPr>
          <w:p>
            <w:pPr>
              <w:jc w:val="center"/>
              <w:ind w:right="240"/>
              <w:spacing w:after="0"/>
              <w:rPr>
                <w:sz w:val="20"/>
                <w:szCs w:val="20"/>
                <w:color w:val="auto"/>
              </w:rPr>
            </w:pPr>
            <w:r>
              <w:rPr>
                <w:rFonts w:ascii="Arial" w:cs="Arial" w:eastAsia="Arial" w:hAnsi="Arial"/>
                <w:sz w:val="13"/>
                <w:szCs w:val="13"/>
                <w:color w:val="auto"/>
                <w:w w:val="97"/>
              </w:rPr>
              <w:t>(Exact name of registrant as specified in its charter)</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38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3840" w:type="dxa"/>
            <w:vAlign w:val="bottom"/>
          </w:tcPr>
          <w:p>
            <w:pPr>
              <w:jc w:val="center"/>
              <w:ind w:left="517"/>
              <w:spacing w:after="0"/>
              <w:rPr>
                <w:sz w:val="20"/>
                <w:szCs w:val="20"/>
                <w:color w:val="auto"/>
              </w:rPr>
            </w:pPr>
            <w:r>
              <w:rPr>
                <w:rFonts w:ascii="Arial" w:cs="Arial" w:eastAsia="Arial" w:hAnsi="Arial"/>
                <w:sz w:val="13"/>
                <w:szCs w:val="13"/>
                <w:b w:val="1"/>
                <w:bCs w:val="1"/>
                <w:color w:val="auto"/>
                <w:w w:val="94"/>
              </w:rPr>
              <w:t>Delaware</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jc w:val="right"/>
              <w:ind w:right="1917"/>
              <w:spacing w:after="0"/>
              <w:rPr>
                <w:sz w:val="20"/>
                <w:szCs w:val="20"/>
                <w:color w:val="auto"/>
              </w:rPr>
            </w:pPr>
            <w:r>
              <w:rPr>
                <w:rFonts w:ascii="Arial" w:cs="Arial" w:eastAsia="Arial" w:hAnsi="Arial"/>
                <w:sz w:val="13"/>
                <w:szCs w:val="13"/>
                <w:b w:val="1"/>
                <w:bCs w:val="1"/>
                <w:color w:val="auto"/>
              </w:rPr>
              <w:t>45-3055872</w:t>
            </w:r>
          </w:p>
        </w:tc>
        <w:tc>
          <w:tcPr>
            <w:tcW w:w="0" w:type="dxa"/>
            <w:vAlign w:val="bottom"/>
          </w:tcPr>
          <w:p>
            <w:pPr>
              <w:spacing w:after="0"/>
              <w:rPr>
                <w:sz w:val="1"/>
                <w:szCs w:val="1"/>
                <w:color w:val="auto"/>
              </w:rPr>
            </w:pPr>
          </w:p>
        </w:tc>
      </w:tr>
      <w:tr>
        <w:trPr>
          <w:trHeight w:val="203"/>
        </w:trPr>
        <w:tc>
          <w:tcPr>
            <w:tcW w:w="3840" w:type="dxa"/>
            <w:vAlign w:val="bottom"/>
          </w:tcPr>
          <w:p>
            <w:pPr>
              <w:jc w:val="center"/>
              <w:ind w:left="517"/>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5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20" w:type="dxa"/>
            <w:vAlign w:val="bottom"/>
          </w:tcPr>
          <w:p>
            <w:pPr>
              <w:jc w:val="center"/>
              <w:ind w:right="977"/>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278"/>
        </w:trPr>
        <w:tc>
          <w:tcPr>
            <w:tcW w:w="3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40" w:type="dxa"/>
            <w:vAlign w:val="bottom"/>
            <w:gridSpan w:val="2"/>
          </w:tcPr>
          <w:p>
            <w:pPr>
              <w:jc w:val="center"/>
              <w:ind w:right="800"/>
              <w:spacing w:after="0"/>
              <w:rPr>
                <w:sz w:val="20"/>
                <w:szCs w:val="20"/>
                <w:color w:val="auto"/>
              </w:rPr>
            </w:pPr>
            <w:r>
              <w:rPr>
                <w:rFonts w:ascii="Arial" w:cs="Arial" w:eastAsia="Arial" w:hAnsi="Arial"/>
                <w:sz w:val="13"/>
                <w:szCs w:val="13"/>
                <w:b w:val="1"/>
                <w:bCs w:val="1"/>
                <w:color w:val="auto"/>
                <w:w w:val="97"/>
              </w:rPr>
              <w:t>5900 Penn Avenue</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40" w:type="dxa"/>
            <w:vAlign w:val="bottom"/>
            <w:gridSpan w:val="2"/>
          </w:tcPr>
          <w:p>
            <w:pPr>
              <w:jc w:val="center"/>
              <w:ind w:right="800"/>
              <w:spacing w:after="0"/>
              <w:rPr>
                <w:sz w:val="20"/>
                <w:szCs w:val="20"/>
                <w:color w:val="auto"/>
              </w:rPr>
            </w:pPr>
            <w:r>
              <w:rPr>
                <w:rFonts w:ascii="Arial" w:cs="Arial" w:eastAsia="Arial" w:hAnsi="Arial"/>
                <w:sz w:val="13"/>
                <w:szCs w:val="13"/>
                <w:b w:val="1"/>
                <w:bCs w:val="1"/>
                <w:color w:val="auto"/>
                <w:w w:val="96"/>
              </w:rPr>
              <w:t>Pittsburgh, Pennsylvania 15206</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900" w:type="dxa"/>
            <w:vAlign w:val="bottom"/>
            <w:gridSpan w:val="2"/>
          </w:tcPr>
          <w:p>
            <w:pPr>
              <w:jc w:val="center"/>
              <w:ind w:left="595"/>
              <w:spacing w:after="0"/>
              <w:rPr>
                <w:sz w:val="20"/>
                <w:szCs w:val="20"/>
                <w:color w:val="auto"/>
              </w:rPr>
            </w:pPr>
            <w:r>
              <w:rPr>
                <w:rFonts w:ascii="Arial" w:cs="Arial" w:eastAsia="Arial" w:hAnsi="Arial"/>
                <w:sz w:val="13"/>
                <w:szCs w:val="13"/>
                <w:b w:val="1"/>
                <w:bCs w:val="1"/>
                <w:color w:val="auto"/>
                <w:w w:val="96"/>
              </w:rPr>
              <w:t>(412) 567-6602</w:t>
            </w:r>
          </w:p>
        </w:tc>
        <w:tc>
          <w:tcPr>
            <w:tcW w:w="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3800" w:type="dxa"/>
            <w:vAlign w:val="bottom"/>
            <w:gridSpan w:val="3"/>
          </w:tcPr>
          <w:p>
            <w:pPr>
              <w:jc w:val="center"/>
              <w:ind w:right="240"/>
              <w:spacing w:after="0"/>
              <w:rPr>
                <w:sz w:val="20"/>
                <w:szCs w:val="20"/>
                <w:color w:val="auto"/>
              </w:rPr>
            </w:pPr>
            <w:r>
              <w:rPr>
                <w:rFonts w:ascii="Arial" w:cs="Arial" w:eastAsia="Arial" w:hAnsi="Arial"/>
                <w:sz w:val="13"/>
                <w:szCs w:val="13"/>
                <w:color w:val="auto"/>
                <w:w w:val="96"/>
              </w:rPr>
              <w:t>(Address, Including Zip Code, and Telephone Number, Including</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3800" w:type="dxa"/>
            <w:vAlign w:val="bottom"/>
            <w:gridSpan w:val="3"/>
          </w:tcPr>
          <w:p>
            <w:pPr>
              <w:jc w:val="center"/>
              <w:ind w:right="240"/>
              <w:spacing w:after="0"/>
              <w:rPr>
                <w:sz w:val="20"/>
                <w:szCs w:val="20"/>
                <w:color w:val="auto"/>
              </w:rPr>
            </w:pPr>
            <w:r>
              <w:rPr>
                <w:rFonts w:ascii="Arial" w:cs="Arial" w:eastAsia="Arial" w:hAnsi="Arial"/>
                <w:sz w:val="13"/>
                <w:szCs w:val="13"/>
                <w:color w:val="auto"/>
                <w:w w:val="96"/>
              </w:rPr>
              <w:t>Area Code, of Registrant’s Principal Executive Offices)</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38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40" w:type="dxa"/>
            <w:vAlign w:val="bottom"/>
            <w:gridSpan w:val="2"/>
          </w:tcPr>
          <w:p>
            <w:pPr>
              <w:jc w:val="center"/>
              <w:ind w:right="800"/>
              <w:spacing w:after="0"/>
              <w:rPr>
                <w:sz w:val="20"/>
                <w:szCs w:val="20"/>
                <w:color w:val="auto"/>
              </w:rPr>
            </w:pPr>
            <w:r>
              <w:rPr>
                <w:rFonts w:ascii="Arial" w:cs="Arial" w:eastAsia="Arial" w:hAnsi="Arial"/>
                <w:sz w:val="13"/>
                <w:szCs w:val="13"/>
                <w:b w:val="1"/>
                <w:bCs w:val="1"/>
                <w:color w:val="auto"/>
                <w:w w:val="97"/>
              </w:rPr>
              <w:t>Luis von Ahn</w:t>
            </w: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4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96"/>
              </w:rPr>
              <w:t>Chief Executive Officer</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40" w:type="dxa"/>
            <w:vAlign w:val="bottom"/>
            <w:gridSpan w:val="2"/>
          </w:tcPr>
          <w:p>
            <w:pPr>
              <w:jc w:val="center"/>
              <w:ind w:right="800"/>
              <w:spacing w:after="0"/>
              <w:rPr>
                <w:sz w:val="20"/>
                <w:szCs w:val="20"/>
                <w:color w:val="auto"/>
              </w:rPr>
            </w:pPr>
            <w:r>
              <w:rPr>
                <w:rFonts w:ascii="Arial" w:cs="Arial" w:eastAsia="Arial" w:hAnsi="Arial"/>
                <w:sz w:val="13"/>
                <w:szCs w:val="13"/>
                <w:b w:val="1"/>
                <w:bCs w:val="1"/>
                <w:color w:val="auto"/>
                <w:w w:val="97"/>
              </w:rPr>
              <w:t>Duolingo, Inc.</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40" w:type="dxa"/>
            <w:vAlign w:val="bottom"/>
            <w:gridSpan w:val="2"/>
          </w:tcPr>
          <w:p>
            <w:pPr>
              <w:jc w:val="center"/>
              <w:ind w:right="800"/>
              <w:spacing w:after="0"/>
              <w:rPr>
                <w:sz w:val="20"/>
                <w:szCs w:val="20"/>
                <w:color w:val="auto"/>
              </w:rPr>
            </w:pPr>
            <w:r>
              <w:rPr>
                <w:rFonts w:ascii="Arial" w:cs="Arial" w:eastAsia="Arial" w:hAnsi="Arial"/>
                <w:sz w:val="13"/>
                <w:szCs w:val="13"/>
                <w:b w:val="1"/>
                <w:bCs w:val="1"/>
                <w:color w:val="auto"/>
                <w:w w:val="97"/>
              </w:rPr>
              <w:t>5900 Penn Avenue</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40" w:type="dxa"/>
            <w:vAlign w:val="bottom"/>
            <w:gridSpan w:val="2"/>
          </w:tcPr>
          <w:p>
            <w:pPr>
              <w:jc w:val="center"/>
              <w:ind w:right="800"/>
              <w:spacing w:after="0"/>
              <w:rPr>
                <w:sz w:val="20"/>
                <w:szCs w:val="20"/>
                <w:color w:val="auto"/>
              </w:rPr>
            </w:pPr>
            <w:r>
              <w:rPr>
                <w:rFonts w:ascii="Arial" w:cs="Arial" w:eastAsia="Arial" w:hAnsi="Arial"/>
                <w:sz w:val="13"/>
                <w:szCs w:val="13"/>
                <w:b w:val="1"/>
                <w:bCs w:val="1"/>
                <w:color w:val="auto"/>
                <w:w w:val="96"/>
              </w:rPr>
              <w:t>Pittsburgh, Pennsylvania 15206</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40" w:type="dxa"/>
            <w:vAlign w:val="bottom"/>
          </w:tcPr>
          <w:p>
            <w:pPr>
              <w:spacing w:after="0"/>
              <w:rPr>
                <w:sz w:val="14"/>
                <w:szCs w:val="14"/>
                <w:color w:val="auto"/>
              </w:rPr>
            </w:pPr>
          </w:p>
        </w:tc>
        <w:tc>
          <w:tcPr>
            <w:tcW w:w="2900" w:type="dxa"/>
            <w:vAlign w:val="bottom"/>
            <w:gridSpan w:val="2"/>
          </w:tcPr>
          <w:p>
            <w:pPr>
              <w:jc w:val="center"/>
              <w:ind w:left="595"/>
              <w:spacing w:after="0"/>
              <w:rPr>
                <w:sz w:val="20"/>
                <w:szCs w:val="20"/>
                <w:color w:val="auto"/>
              </w:rPr>
            </w:pPr>
            <w:r>
              <w:rPr>
                <w:rFonts w:ascii="Arial" w:cs="Arial" w:eastAsia="Arial" w:hAnsi="Arial"/>
                <w:sz w:val="13"/>
                <w:szCs w:val="13"/>
                <w:b w:val="1"/>
                <w:bCs w:val="1"/>
                <w:color w:val="auto"/>
                <w:w w:val="96"/>
              </w:rPr>
              <w:t>(412) 567-6602</w:t>
            </w:r>
          </w:p>
        </w:tc>
        <w:tc>
          <w:tcPr>
            <w:tcW w:w="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gridSpan w:val="4"/>
          </w:tcPr>
          <w:p>
            <w:pPr>
              <w:jc w:val="center"/>
              <w:ind w:left="3557"/>
              <w:spacing w:after="0"/>
              <w:rPr>
                <w:sz w:val="20"/>
                <w:szCs w:val="20"/>
                <w:color w:val="auto"/>
              </w:rPr>
            </w:pPr>
            <w:r>
              <w:rPr>
                <w:rFonts w:ascii="Arial" w:cs="Arial" w:eastAsia="Arial" w:hAnsi="Arial"/>
                <w:sz w:val="13"/>
                <w:szCs w:val="13"/>
                <w:color w:val="auto"/>
                <w:w w:val="96"/>
              </w:rPr>
              <w:t>(Name, Address, Including Zip Code, and Telephone Number, Including</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40" w:type="dxa"/>
            <w:vAlign w:val="bottom"/>
            <w:gridSpan w:val="2"/>
          </w:tcPr>
          <w:p>
            <w:pPr>
              <w:jc w:val="center"/>
              <w:ind w:right="780"/>
              <w:spacing w:after="0"/>
              <w:rPr>
                <w:sz w:val="20"/>
                <w:szCs w:val="20"/>
                <w:color w:val="auto"/>
              </w:rPr>
            </w:pPr>
            <w:r>
              <w:rPr>
                <w:rFonts w:ascii="Arial" w:cs="Arial" w:eastAsia="Arial" w:hAnsi="Arial"/>
                <w:sz w:val="13"/>
                <w:szCs w:val="13"/>
                <w:color w:val="auto"/>
                <w:w w:val="96"/>
              </w:rPr>
              <w:t>Area Code, of Agent for Service)</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4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840" w:type="dxa"/>
            <w:vAlign w:val="bottom"/>
            <w:tcBorders>
              <w:left w:val="single" w:sz="8" w:color="auto"/>
            </w:tcBorders>
          </w:tcPr>
          <w:p>
            <w:pPr>
              <w:jc w:val="center"/>
              <w:ind w:left="497"/>
              <w:spacing w:after="0"/>
              <w:rPr>
                <w:sz w:val="20"/>
                <w:szCs w:val="20"/>
                <w:color w:val="auto"/>
              </w:rPr>
            </w:pPr>
            <w:r>
              <w:rPr>
                <w:rFonts w:ascii="Arial" w:cs="Arial" w:eastAsia="Arial" w:hAnsi="Arial"/>
                <w:sz w:val="13"/>
                <w:szCs w:val="13"/>
                <w:b w:val="1"/>
                <w:bCs w:val="1"/>
                <w:color w:val="auto"/>
                <w:w w:val="96"/>
              </w:rPr>
              <w:t>Title of each class</w:t>
            </w:r>
          </w:p>
        </w:tc>
        <w:tc>
          <w:tcPr>
            <w:tcW w:w="5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900" w:type="dxa"/>
            <w:vAlign w:val="bottom"/>
          </w:tcPr>
          <w:p>
            <w:pPr>
              <w:spacing w:after="0"/>
              <w:rPr>
                <w:sz w:val="14"/>
                <w:szCs w:val="14"/>
                <w:color w:val="auto"/>
              </w:rPr>
            </w:pPr>
          </w:p>
        </w:tc>
        <w:tc>
          <w:tcPr>
            <w:tcW w:w="3620" w:type="dxa"/>
            <w:vAlign w:val="bottom"/>
            <w:tcBorders>
              <w:right w:val="single" w:sz="8" w:color="auto"/>
            </w:tcBorders>
          </w:tcPr>
          <w:p>
            <w:pPr>
              <w:jc w:val="center"/>
              <w:ind w:right="85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30"/>
        </w:trPr>
        <w:tc>
          <w:tcPr>
            <w:tcW w:w="38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3840" w:type="dxa"/>
            <w:vAlign w:val="bottom"/>
            <w:tcBorders>
              <w:left w:val="single" w:sz="8" w:color="auto"/>
            </w:tcBorders>
            <w:vMerge w:val="restart"/>
          </w:tcPr>
          <w:p>
            <w:pPr>
              <w:jc w:val="center"/>
              <w:ind w:left="497"/>
              <w:spacing w:after="0"/>
              <w:rPr>
                <w:sz w:val="20"/>
                <w:szCs w:val="20"/>
                <w:color w:val="auto"/>
              </w:rPr>
            </w:pPr>
            <w:r>
              <w:rPr>
                <w:rFonts w:ascii="Arial" w:cs="Arial" w:eastAsia="Arial" w:hAnsi="Arial"/>
                <w:sz w:val="13"/>
                <w:szCs w:val="13"/>
                <w:color w:val="auto"/>
                <w:w w:val="96"/>
              </w:rPr>
              <w:t>Class A common stock, $0.0001 per share</w:t>
            </w:r>
          </w:p>
        </w:tc>
        <w:tc>
          <w:tcPr>
            <w:tcW w:w="5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DUOL</w:t>
            </w:r>
          </w:p>
        </w:tc>
        <w:tc>
          <w:tcPr>
            <w:tcW w:w="900" w:type="dxa"/>
            <w:vAlign w:val="bottom"/>
          </w:tcPr>
          <w:p>
            <w:pPr>
              <w:spacing w:after="0"/>
              <w:rPr>
                <w:sz w:val="14"/>
                <w:szCs w:val="14"/>
                <w:color w:val="auto"/>
              </w:rPr>
            </w:pPr>
          </w:p>
        </w:tc>
        <w:tc>
          <w:tcPr>
            <w:tcW w:w="3620" w:type="dxa"/>
            <w:vAlign w:val="bottom"/>
            <w:tcBorders>
              <w:right w:val="single" w:sz="8" w:color="auto"/>
            </w:tcBorders>
          </w:tcPr>
          <w:p>
            <w:pPr>
              <w:jc w:val="center"/>
              <w:ind w:right="837"/>
              <w:spacing w:after="0"/>
              <w:rPr>
                <w:sz w:val="20"/>
                <w:szCs w:val="20"/>
                <w:color w:val="auto"/>
              </w:rPr>
            </w:pPr>
            <w:r>
              <w:rPr>
                <w:rFonts w:ascii="Arial" w:cs="Arial" w:eastAsia="Arial" w:hAnsi="Arial"/>
                <w:sz w:val="13"/>
                <w:szCs w:val="13"/>
                <w:color w:val="auto"/>
                <w:w w:val="96"/>
              </w:rPr>
              <w:t>The Nasdaq Stock Market LLC</w:t>
            </w:r>
          </w:p>
        </w:tc>
        <w:tc>
          <w:tcPr>
            <w:tcW w:w="0" w:type="dxa"/>
            <w:vAlign w:val="bottom"/>
          </w:tcPr>
          <w:p>
            <w:pPr>
              <w:spacing w:after="0"/>
              <w:rPr>
                <w:sz w:val="1"/>
                <w:szCs w:val="1"/>
                <w:color w:val="auto"/>
              </w:rPr>
            </w:pPr>
          </w:p>
        </w:tc>
      </w:tr>
      <w:tr>
        <w:trPr>
          <w:trHeight w:val="81"/>
        </w:trPr>
        <w:tc>
          <w:tcPr>
            <w:tcW w:w="3840" w:type="dxa"/>
            <w:vAlign w:val="bottom"/>
            <w:tcBorders>
              <w:left w:val="single" w:sz="8" w:color="auto"/>
            </w:tcBorders>
            <w:vMerge w:val="continue"/>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3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840" w:type="dxa"/>
            <w:vAlign w:val="bottom"/>
            <w:tcBorders>
              <w:left w:val="single" w:sz="8" w:color="auto"/>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4" w:lineRule="exact"/>
        <w:rPr>
          <w:sz w:val="24"/>
          <w:szCs w:val="24"/>
          <w:color w:val="auto"/>
        </w:rPr>
      </w:pPr>
    </w:p>
    <w:p>
      <w:pPr>
        <w:ind w:right="360"/>
        <w:spacing w:after="0" w:line="25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ind w:right="160"/>
        <w:spacing w:after="0" w:line="25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 w:lineRule="exact"/>
        <w:rPr>
          <w:sz w:val="24"/>
          <w:szCs w:val="24"/>
          <w:color w:val="auto"/>
        </w:rPr>
      </w:pPr>
    </w:p>
    <w:p>
      <w:pPr>
        <w:ind w:right="40"/>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60"/>
          </w:cols>
          <w:pgMar w:left="320" w:top="1414" w:right="319" w:bottom="1440" w:gutter="0" w:footer="0" w:header="0"/>
        </w:sectPr>
      </w:pPr>
    </w:p>
    <w:p>
      <w:pPr>
        <w:spacing w:after="0" w:line="37"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06"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06"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2220" w:space="720"/>
            <w:col w:w="6380" w:space="720"/>
            <w:col w:w="920" w:space="20"/>
            <w:col w:w="280"/>
          </w:cols>
          <w:pgMar w:left="320" w:top="1414" w:right="319" w:bottom="1440" w:gutter="0" w:footer="0" w:header="0"/>
          <w:type w:val="continuous"/>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2220" w:space="720"/>
            <w:col w:w="5780" w:space="720"/>
            <w:col w:w="1520" w:space="20"/>
            <w:col w:w="280"/>
          </w:cols>
          <w:pgMar w:left="320" w:top="1414" w:right="319" w:bottom="1440" w:gutter="0" w:footer="0" w:header="0"/>
          <w:type w:val="continuous"/>
        </w:sectPr>
      </w:pPr>
    </w:p>
    <w:p>
      <w:pPr>
        <w:spacing w:after="0" w:line="33" w:lineRule="exact"/>
        <w:rPr>
          <w:sz w:val="24"/>
          <w:szCs w:val="24"/>
          <w:color w:val="auto"/>
        </w:rPr>
      </w:pPr>
    </w:p>
    <w:p>
      <w:pPr>
        <w:ind w:left="946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96" w:lineRule="exact"/>
        <w:rPr>
          <w:sz w:val="24"/>
          <w:szCs w:val="24"/>
          <w:color w:val="auto"/>
        </w:rPr>
      </w:pPr>
    </w:p>
    <w:p>
      <w:pPr>
        <w:sectPr>
          <w:pgSz w:w="11900" w:h="16838" w:orient="portrait"/>
          <w:cols w:equalWidth="0" w:num="2">
            <w:col w:w="10960" w:space="20"/>
            <w:col w:w="280"/>
          </w:cols>
          <w:pgMar w:left="320" w:top="1414" w:right="319" w:bottom="1440" w:gutter="0" w:footer="0" w:header="0"/>
          <w:type w:val="continuous"/>
        </w:sectPr>
      </w:pPr>
    </w:p>
    <w:p>
      <w:pPr>
        <w:ind w:right="460"/>
        <w:spacing w:after="0" w:line="16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58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spacing w:after="0"/>
        <w:rPr>
          <w:sz w:val="20"/>
          <w:szCs w:val="20"/>
          <w:color w:val="auto"/>
        </w:rPr>
      </w:pPr>
      <w:r>
        <w:rPr>
          <w:rFonts w:ascii="Arial" w:cs="Arial" w:eastAsia="Arial" w:hAnsi="Arial"/>
          <w:sz w:val="13"/>
          <w:szCs w:val="13"/>
          <w:color w:val="auto"/>
        </w:rPr>
        <w:t>As of August 11, 2021, 12,819,870 shares of the registrant's Class A common stock were outstanding, 24,598,497 shares of the registrant's Class B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950595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14" w:right="319" w:bottom="1440" w:gutter="0" w:footer="0" w:header="0"/>
          <w:type w:val="continuous"/>
        </w:sectPr>
      </w:pPr>
    </w:p>
    <w:bookmarkStart w:id="1" w:name="page2"/>
    <w:bookmarkEnd w:id="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80" w:type="dxa"/>
            <w:vAlign w:val="bottom"/>
            <w:gridSpan w:val="3"/>
          </w:tcPr>
          <w:p>
            <w:pPr>
              <w:ind w:left="3140"/>
              <w:spacing w:after="0"/>
              <w:rPr>
                <w:sz w:val="20"/>
                <w:szCs w:val="20"/>
                <w:color w:val="auto"/>
              </w:rPr>
            </w:pPr>
            <w:r>
              <w:rPr>
                <w:rFonts w:ascii="Arial" w:cs="Arial" w:eastAsia="Arial" w:hAnsi="Arial"/>
                <w:sz w:val="14"/>
                <w:szCs w:val="14"/>
                <w:b w:val="1"/>
                <w:bCs w:val="1"/>
                <w:color w:val="auto"/>
                <w:w w:val="95"/>
              </w:rPr>
              <w:t>Page</w:t>
            </w:r>
          </w:p>
        </w:tc>
      </w:tr>
      <w:tr>
        <w:trPr>
          <w:trHeight w:val="209"/>
        </w:trPr>
        <w:tc>
          <w:tcPr>
            <w:tcW w:w="7520" w:type="dxa"/>
            <w:vAlign w:val="bottom"/>
            <w:gridSpan w:val="17"/>
          </w:tcPr>
          <w:p>
            <w:pPr>
              <w:spacing w:after="0"/>
              <w:rPr>
                <w:sz w:val="20"/>
                <w:szCs w:val="20"/>
                <w:color w:val="auto"/>
              </w:rPr>
            </w:pPr>
            <w:r>
              <w:rPr>
                <w:rFonts w:ascii="Arial" w:cs="Arial" w:eastAsia="Arial" w:hAnsi="Arial"/>
                <w:sz w:val="16"/>
                <w:szCs w:val="16"/>
                <w:color w:val="auto"/>
              </w:rPr>
              <w:t>Special Note Regarding Forward-Looking Statements</w:t>
            </w: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gridSpan w:val="17"/>
          </w:tcPr>
          <w:p>
            <w:pPr>
              <w:spacing w:after="0"/>
              <w:rPr>
                <w:sz w:val="20"/>
                <w:szCs w:val="20"/>
                <w:color w:val="auto"/>
              </w:rPr>
            </w:pPr>
            <w:r>
              <w:rPr>
                <w:rFonts w:ascii="Arial" w:cs="Arial" w:eastAsia="Arial" w:hAnsi="Arial"/>
                <w:sz w:val="16"/>
                <w:szCs w:val="16"/>
                <w:color w:val="auto"/>
              </w:rPr>
              <w:t>Special Note Regarding Operating Metrics</w:t>
            </w: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2"/>
        </w:trPr>
        <w:tc>
          <w:tcPr>
            <w:tcW w:w="7520" w:type="dxa"/>
            <w:vAlign w:val="bottom"/>
            <w:gridSpan w:val="17"/>
          </w:tcPr>
          <w:p>
            <w:pPr>
              <w:spacing w:after="0" w:line="181" w:lineRule="exact"/>
              <w:rPr>
                <w:rFonts w:ascii="Arial" w:cs="Arial" w:eastAsia="Arial" w:hAnsi="Arial"/>
                <w:sz w:val="16"/>
                <w:szCs w:val="16"/>
                <w:color w:val="0000FF"/>
              </w:rPr>
            </w:pPr>
            <w:hyperlink w:anchor="page5">
              <w:r>
                <w:rPr>
                  <w:rFonts w:ascii="Arial" w:cs="Arial" w:eastAsia="Arial" w:hAnsi="Arial"/>
                  <w:sz w:val="16"/>
                  <w:szCs w:val="16"/>
                  <w:color w:val="0000FF"/>
                </w:rPr>
                <w:t>Part I Financial Information</w:t>
              </w:r>
            </w:hyperlink>
          </w:p>
        </w:tc>
        <w:tc>
          <w:tcPr>
            <w:tcW w:w="3360" w:type="dxa"/>
            <w:vAlign w:val="bottom"/>
            <w:gridSpan w:val="2"/>
          </w:tcPr>
          <w:p>
            <w:pPr>
              <w:jc w:val="center"/>
              <w:ind w:left="3198"/>
              <w:spacing w:after="0" w:line="181" w:lineRule="exact"/>
              <w:rPr>
                <w:rFonts w:ascii="Arial" w:cs="Arial" w:eastAsia="Arial" w:hAnsi="Arial"/>
                <w:sz w:val="16"/>
                <w:szCs w:val="16"/>
                <w:color w:val="0000FF"/>
                <w:w w:val="89"/>
              </w:rPr>
            </w:pPr>
            <w:hyperlink w:anchor="page5">
              <w:r>
                <w:rPr>
                  <w:rFonts w:ascii="Arial" w:cs="Arial" w:eastAsia="Arial" w:hAnsi="Arial"/>
                  <w:sz w:val="16"/>
                  <w:szCs w:val="16"/>
                  <w:color w:val="0000FF"/>
                  <w:w w:val="89"/>
                </w:rPr>
                <w:t>5</w:t>
              </w:r>
            </w:hyperlink>
          </w:p>
        </w:tc>
        <w:tc>
          <w:tcPr>
            <w:tcW w:w="120" w:type="dxa"/>
            <w:vAlign w:val="bottom"/>
          </w:tcPr>
          <w:p>
            <w:pPr>
              <w:spacing w:after="0"/>
              <w:rPr>
                <w:sz w:val="15"/>
                <w:szCs w:val="15"/>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520" w:type="dxa"/>
            <w:vAlign w:val="bottom"/>
            <w:gridSpan w:val="17"/>
          </w:tcPr>
          <w:p>
            <w:pPr>
              <w:spacing w:after="0"/>
              <w:rPr>
                <w:sz w:val="20"/>
                <w:szCs w:val="20"/>
                <w:color w:val="auto"/>
              </w:rPr>
            </w:pPr>
            <w:r>
              <w:rPr>
                <w:rFonts w:ascii="Arial" w:cs="Arial" w:eastAsia="Arial" w:hAnsi="Arial"/>
                <w:sz w:val="16"/>
                <w:szCs w:val="16"/>
                <w:color w:val="0000FF"/>
              </w:rPr>
              <w:t xml:space="preserve">Item 1. Financial Statements </w:t>
            </w:r>
            <w:r>
              <w:rPr>
                <w:rFonts w:ascii="Arial" w:cs="Arial" w:eastAsia="Arial" w:hAnsi="Arial"/>
                <w:sz w:val="16"/>
                <w:szCs w:val="16"/>
                <w:color w:val="000000"/>
              </w:rPr>
              <w:t>(Unaudited)</w:t>
            </w:r>
          </w:p>
        </w:tc>
        <w:tc>
          <w:tcPr>
            <w:tcW w:w="3360" w:type="dxa"/>
            <w:vAlign w:val="bottom"/>
            <w:gridSpan w:val="2"/>
          </w:tcPr>
          <w:p>
            <w:pPr>
              <w:jc w:val="center"/>
              <w:ind w:left="3178"/>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1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520" w:type="dxa"/>
            <w:vAlign w:val="bottom"/>
            <w:gridSpan w:val="17"/>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Condensed Consolidated Balance Sheets</w:t>
              </w:r>
            </w:hyperlink>
          </w:p>
        </w:tc>
        <w:tc>
          <w:tcPr>
            <w:tcW w:w="3360" w:type="dxa"/>
            <w:vAlign w:val="bottom"/>
            <w:gridSpan w:val="2"/>
          </w:tcPr>
          <w:p>
            <w:pPr>
              <w:jc w:val="center"/>
              <w:ind w:left="3178"/>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1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380" w:type="dxa"/>
            <w:vAlign w:val="bottom"/>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Condensed Consolidated Statements of Operations and Comprehensive Loss</w:t>
              </w:r>
            </w:hyperlink>
          </w:p>
        </w:tc>
        <w:tc>
          <w:tcPr>
            <w:tcW w:w="114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c>
          <w:tcPr>
            <w:tcW w:w="80" w:type="dxa"/>
            <w:vAlign w:val="bottom"/>
          </w:tcPr>
          <w:p>
            <w:pPr>
              <w:jc w:val="cente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1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gridSpan w:val="17"/>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Unaudited Condensed Consolidated Statements of Convertible Preferred Stock and Stockholders’ Deficit</w:t>
              </w:r>
            </w:hyperlink>
          </w:p>
        </w:tc>
        <w:tc>
          <w:tcPr>
            <w:tcW w:w="3280" w:type="dxa"/>
            <w:vAlign w:val="bottom"/>
          </w:tcPr>
          <w:p>
            <w:pPr>
              <w:spacing w:after="0"/>
              <w:rPr>
                <w:sz w:val="18"/>
                <w:szCs w:val="18"/>
                <w:color w:val="auto"/>
              </w:rPr>
            </w:pPr>
          </w:p>
        </w:tc>
        <w:tc>
          <w:tcPr>
            <w:tcW w:w="80" w:type="dxa"/>
            <w:vAlign w:val="bottom"/>
          </w:tcPr>
          <w:p>
            <w:pPr>
              <w:jc w:val="cente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1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520" w:type="dxa"/>
            <w:vAlign w:val="bottom"/>
            <w:gridSpan w:val="17"/>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Unaudited Condensed Consolidated Statements of Cash Flows</w:t>
              </w:r>
            </w:hyperlink>
          </w:p>
        </w:tc>
        <w:tc>
          <w:tcPr>
            <w:tcW w:w="3280" w:type="dxa"/>
            <w:vAlign w:val="bottom"/>
          </w:tcPr>
          <w:p>
            <w:pPr>
              <w:spacing w:after="0"/>
              <w:rPr>
                <w:sz w:val="18"/>
                <w:szCs w:val="18"/>
                <w:color w:val="auto"/>
              </w:rPr>
            </w:pPr>
          </w:p>
        </w:tc>
        <w:tc>
          <w:tcPr>
            <w:tcW w:w="80" w:type="dxa"/>
            <w:vAlign w:val="bottom"/>
          </w:tcPr>
          <w:p>
            <w:pPr>
              <w:jc w:val="center"/>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1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gridSpan w:val="17"/>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the Unaudited Condensed Consolidated Financial Statements</w:t>
              </w:r>
            </w:hyperlink>
          </w:p>
        </w:tc>
        <w:tc>
          <w:tcPr>
            <w:tcW w:w="3480" w:type="dxa"/>
            <w:vAlign w:val="bottom"/>
            <w:gridSpan w:val="3"/>
          </w:tcPr>
          <w:p>
            <w:pPr>
              <w:jc w:val="center"/>
              <w:ind w:left="3078"/>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10</w:t>
              </w:r>
            </w:hyperlink>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6920" w:type="dxa"/>
            <w:vAlign w:val="bottom"/>
            <w:gridSpan w:val="16"/>
          </w:tcPr>
          <w:p>
            <w:pPr>
              <w:spacing w:after="0"/>
              <w:rPr>
                <w:rFonts w:ascii="Arial" w:cs="Arial" w:eastAsia="Arial" w:hAnsi="Arial"/>
                <w:sz w:val="16"/>
                <w:szCs w:val="16"/>
                <w:color w:val="0000FF"/>
              </w:rPr>
            </w:pPr>
            <w:hyperlink w:anchor="page22">
              <w:r>
                <w:rPr>
                  <w:rFonts w:ascii="Arial" w:cs="Arial" w:eastAsia="Arial" w:hAnsi="Arial"/>
                  <w:sz w:val="16"/>
                  <w:szCs w:val="16"/>
                  <w:color w:val="0000FF"/>
                </w:rPr>
                <w:t>Item 2. Management's Discussion and Analysis of Financial Condition and Results of Operations</w:t>
              </w:r>
            </w:hyperlink>
          </w:p>
        </w:tc>
        <w:tc>
          <w:tcPr>
            <w:tcW w:w="600" w:type="dxa"/>
            <w:vAlign w:val="bottom"/>
          </w:tcPr>
          <w:p>
            <w:pPr>
              <w:spacing w:after="0"/>
              <w:rPr>
                <w:sz w:val="17"/>
                <w:szCs w:val="17"/>
                <w:color w:val="auto"/>
              </w:rPr>
            </w:pPr>
          </w:p>
        </w:tc>
        <w:tc>
          <w:tcPr>
            <w:tcW w:w="3360" w:type="dxa"/>
            <w:vAlign w:val="bottom"/>
            <w:gridSpan w:val="2"/>
          </w:tcPr>
          <w:p>
            <w:pPr>
              <w:jc w:val="center"/>
              <w:ind w:left="3098"/>
              <w:spacing w:after="0"/>
              <w:rPr>
                <w:rFonts w:ascii="Arial" w:cs="Arial" w:eastAsia="Arial" w:hAnsi="Arial"/>
                <w:sz w:val="16"/>
                <w:szCs w:val="16"/>
                <w:color w:val="0000FF"/>
              </w:rPr>
            </w:pPr>
            <w:hyperlink w:anchor="page22">
              <w:r>
                <w:rPr>
                  <w:rFonts w:ascii="Arial" w:cs="Arial" w:eastAsia="Arial" w:hAnsi="Arial"/>
                  <w:sz w:val="16"/>
                  <w:szCs w:val="16"/>
                  <w:color w:val="0000FF"/>
                </w:rPr>
                <w:t>21</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920" w:type="dxa"/>
            <w:vAlign w:val="bottom"/>
            <w:gridSpan w:val="16"/>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3. Quantitative and Qualitative Disclosures About Market Risk</w:t>
              </w:r>
            </w:hyperlink>
          </w:p>
        </w:tc>
        <w:tc>
          <w:tcPr>
            <w:tcW w:w="600" w:type="dxa"/>
            <w:vAlign w:val="bottom"/>
          </w:tcPr>
          <w:p>
            <w:pPr>
              <w:spacing w:after="0"/>
              <w:rPr>
                <w:sz w:val="17"/>
                <w:szCs w:val="17"/>
                <w:color w:val="auto"/>
              </w:rPr>
            </w:pPr>
          </w:p>
        </w:tc>
        <w:tc>
          <w:tcPr>
            <w:tcW w:w="3360" w:type="dxa"/>
            <w:vAlign w:val="bottom"/>
            <w:gridSpan w:val="2"/>
          </w:tcPr>
          <w:p>
            <w:pPr>
              <w:jc w:val="center"/>
              <w:ind w:left="3098"/>
              <w:spacing w:after="0"/>
              <w:rPr>
                <w:rFonts w:ascii="Arial" w:cs="Arial" w:eastAsia="Arial" w:hAnsi="Arial"/>
                <w:sz w:val="16"/>
                <w:szCs w:val="16"/>
                <w:color w:val="0000FF"/>
              </w:rPr>
            </w:pPr>
            <w:hyperlink w:anchor="page35">
              <w:r>
                <w:rPr>
                  <w:rFonts w:ascii="Arial" w:cs="Arial" w:eastAsia="Arial" w:hAnsi="Arial"/>
                  <w:sz w:val="16"/>
                  <w:szCs w:val="16"/>
                  <w:color w:val="0000FF"/>
                </w:rPr>
                <w:t>34</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80" w:type="dxa"/>
            <w:vAlign w:val="bottom"/>
            <w:gridSpan w:val="8"/>
          </w:tcPr>
          <w:p>
            <w:pPr>
              <w:spacing w:after="0"/>
              <w:rPr>
                <w:rFonts w:ascii="Arial" w:cs="Arial" w:eastAsia="Arial" w:hAnsi="Arial"/>
                <w:sz w:val="16"/>
                <w:szCs w:val="16"/>
                <w:color w:val="0000FF"/>
                <w:w w:val="97"/>
              </w:rPr>
            </w:pPr>
            <w:hyperlink w:anchor="page35">
              <w:r>
                <w:rPr>
                  <w:rFonts w:ascii="Arial" w:cs="Arial" w:eastAsia="Arial" w:hAnsi="Arial"/>
                  <w:sz w:val="16"/>
                  <w:szCs w:val="16"/>
                  <w:color w:val="0000FF"/>
                  <w:w w:val="97"/>
                </w:rPr>
                <w:t>Item 4. Controls and Procedures</w:t>
              </w:r>
            </w:hyperlink>
          </w:p>
        </w:tc>
        <w:tc>
          <w:tcPr>
            <w:tcW w:w="2500" w:type="dxa"/>
            <w:vAlign w:val="bottom"/>
            <w:gridSpan w:val="4"/>
          </w:tcPr>
          <w:p>
            <w:pPr>
              <w:spacing w:after="0"/>
              <w:rPr>
                <w:sz w:val="17"/>
                <w:szCs w:val="17"/>
                <w:color w:val="auto"/>
              </w:rPr>
            </w:pPr>
          </w:p>
        </w:tc>
        <w:tc>
          <w:tcPr>
            <w:tcW w:w="2740" w:type="dxa"/>
            <w:vAlign w:val="bottom"/>
            <w:gridSpan w:val="5"/>
          </w:tcPr>
          <w:p>
            <w:pPr>
              <w:spacing w:after="0"/>
              <w:rPr>
                <w:sz w:val="17"/>
                <w:szCs w:val="17"/>
                <w:color w:val="auto"/>
              </w:rPr>
            </w:pPr>
          </w:p>
        </w:tc>
        <w:tc>
          <w:tcPr>
            <w:tcW w:w="3360" w:type="dxa"/>
            <w:vAlign w:val="bottom"/>
            <w:gridSpan w:val="2"/>
          </w:tcPr>
          <w:p>
            <w:pPr>
              <w:jc w:val="center"/>
              <w:ind w:left="3098"/>
              <w:spacing w:after="0"/>
              <w:rPr>
                <w:rFonts w:ascii="Arial" w:cs="Arial" w:eastAsia="Arial" w:hAnsi="Arial"/>
                <w:sz w:val="16"/>
                <w:szCs w:val="16"/>
                <w:color w:val="0000FF"/>
              </w:rPr>
            </w:pPr>
            <w:hyperlink w:anchor="page35">
              <w:r>
                <w:rPr>
                  <w:rFonts w:ascii="Arial" w:cs="Arial" w:eastAsia="Arial" w:hAnsi="Arial"/>
                  <w:sz w:val="16"/>
                  <w:szCs w:val="16"/>
                  <w:color w:val="0000FF"/>
                </w:rPr>
                <w:t>34</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80" w:type="dxa"/>
            <w:vAlign w:val="bottom"/>
            <w:gridSpan w:val="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Part II Other Information</w:t>
              </w:r>
            </w:hyperlink>
          </w:p>
        </w:tc>
        <w:tc>
          <w:tcPr>
            <w:tcW w:w="5240" w:type="dxa"/>
            <w:vAlign w:val="bottom"/>
            <w:gridSpan w:val="9"/>
          </w:tcPr>
          <w:p>
            <w:pPr>
              <w:spacing w:after="0"/>
              <w:rPr>
                <w:sz w:val="17"/>
                <w:szCs w:val="17"/>
                <w:color w:val="auto"/>
              </w:rPr>
            </w:pPr>
          </w:p>
        </w:tc>
        <w:tc>
          <w:tcPr>
            <w:tcW w:w="3360" w:type="dxa"/>
            <w:vAlign w:val="bottom"/>
            <w:gridSpan w:val="2"/>
          </w:tcPr>
          <w:p>
            <w:pPr>
              <w:jc w:val="center"/>
              <w:ind w:left="3098"/>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520" w:type="dxa"/>
            <w:vAlign w:val="bottom"/>
            <w:gridSpan w:val="17"/>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1. Legal Proceedings</w:t>
              </w:r>
            </w:hyperlink>
          </w:p>
        </w:tc>
        <w:tc>
          <w:tcPr>
            <w:tcW w:w="3360" w:type="dxa"/>
            <w:vAlign w:val="bottom"/>
            <w:gridSpan w:val="2"/>
          </w:tcPr>
          <w:p>
            <w:pPr>
              <w:jc w:val="center"/>
              <w:ind w:left="3098"/>
              <w:spacing w:after="0"/>
              <w:rPr>
                <w:rFonts w:ascii="Arial" w:cs="Arial" w:eastAsia="Arial" w:hAnsi="Arial"/>
                <w:sz w:val="16"/>
                <w:szCs w:val="16"/>
                <w:color w:val="0000FF"/>
              </w:rPr>
            </w:pPr>
            <w:hyperlink w:anchor="page37">
              <w:r>
                <w:rPr>
                  <w:rFonts w:ascii="Arial" w:cs="Arial" w:eastAsia="Arial" w:hAnsi="Arial"/>
                  <w:sz w:val="16"/>
                  <w:szCs w:val="16"/>
                  <w:color w:val="0000FF"/>
                </w:rPr>
                <w:t>36</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560" w:type="dxa"/>
            <w:vAlign w:val="bottom"/>
            <w:gridSpan w:val="3"/>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1A. Risk Factors</w:t>
              </w:r>
            </w:hyperlink>
          </w:p>
        </w:tc>
        <w:tc>
          <w:tcPr>
            <w:tcW w:w="320" w:type="dxa"/>
            <w:vAlign w:val="bottom"/>
            <w:gridSpan w:val="3"/>
          </w:tcPr>
          <w:p>
            <w:pPr>
              <w:spacing w:after="0"/>
              <w:rPr>
                <w:sz w:val="17"/>
                <w:szCs w:val="17"/>
                <w:color w:val="auto"/>
              </w:rPr>
            </w:pPr>
          </w:p>
        </w:tc>
        <w:tc>
          <w:tcPr>
            <w:tcW w:w="5640" w:type="dxa"/>
            <w:vAlign w:val="bottom"/>
            <w:gridSpan w:val="11"/>
          </w:tcPr>
          <w:p>
            <w:pPr>
              <w:spacing w:after="0"/>
              <w:rPr>
                <w:sz w:val="17"/>
                <w:szCs w:val="17"/>
                <w:color w:val="auto"/>
              </w:rPr>
            </w:pPr>
          </w:p>
        </w:tc>
        <w:tc>
          <w:tcPr>
            <w:tcW w:w="3360" w:type="dxa"/>
            <w:vAlign w:val="bottom"/>
            <w:gridSpan w:val="2"/>
          </w:tcPr>
          <w:p>
            <w:pPr>
              <w:jc w:val="center"/>
              <w:ind w:left="3098"/>
              <w:spacing w:after="0"/>
              <w:rPr>
                <w:rFonts w:ascii="Arial" w:cs="Arial" w:eastAsia="Arial" w:hAnsi="Arial"/>
                <w:sz w:val="16"/>
                <w:szCs w:val="16"/>
                <w:color w:val="0000FF"/>
              </w:rPr>
            </w:pPr>
            <w:hyperlink w:anchor="page37">
              <w:r>
                <w:rPr>
                  <w:rFonts w:ascii="Arial" w:cs="Arial" w:eastAsia="Arial" w:hAnsi="Arial"/>
                  <w:sz w:val="16"/>
                  <w:szCs w:val="16"/>
                  <w:color w:val="0000FF"/>
                </w:rPr>
                <w:t>36</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920" w:type="dxa"/>
            <w:vAlign w:val="bottom"/>
            <w:gridSpan w:val="13"/>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Item 2. Unregistered Sales of Equity Securities and Use of Proceeds</w:t>
              </w:r>
            </w:hyperlink>
          </w:p>
        </w:tc>
        <w:tc>
          <w:tcPr>
            <w:tcW w:w="2600" w:type="dxa"/>
            <w:vAlign w:val="bottom"/>
            <w:gridSpan w:val="4"/>
          </w:tcPr>
          <w:p>
            <w:pPr>
              <w:spacing w:after="0"/>
              <w:rPr>
                <w:sz w:val="17"/>
                <w:szCs w:val="17"/>
                <w:color w:val="auto"/>
              </w:rPr>
            </w:pPr>
          </w:p>
        </w:tc>
        <w:tc>
          <w:tcPr>
            <w:tcW w:w="3360" w:type="dxa"/>
            <w:vAlign w:val="bottom"/>
            <w:gridSpan w:val="2"/>
          </w:tcPr>
          <w:p>
            <w:pPr>
              <w:jc w:val="center"/>
              <w:ind w:left="3098"/>
              <w:spacing w:after="0"/>
              <w:rPr>
                <w:rFonts w:ascii="Arial" w:cs="Arial" w:eastAsia="Arial" w:hAnsi="Arial"/>
                <w:sz w:val="16"/>
                <w:szCs w:val="16"/>
                <w:color w:val="0000FF"/>
              </w:rPr>
            </w:pPr>
            <w:hyperlink w:anchor="page80">
              <w:r>
                <w:rPr>
                  <w:rFonts w:ascii="Arial" w:cs="Arial" w:eastAsia="Arial" w:hAnsi="Arial"/>
                  <w:sz w:val="16"/>
                  <w:szCs w:val="16"/>
                  <w:color w:val="0000FF"/>
                </w:rPr>
                <w:t>79</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920" w:type="dxa"/>
            <w:vAlign w:val="bottom"/>
            <w:gridSpan w:val="13"/>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Item 3. Defaults Upon Senior Securities</w:t>
              </w:r>
            </w:hyperlink>
          </w:p>
        </w:tc>
        <w:tc>
          <w:tcPr>
            <w:tcW w:w="2600" w:type="dxa"/>
            <w:vAlign w:val="bottom"/>
            <w:gridSpan w:val="4"/>
          </w:tcPr>
          <w:p>
            <w:pPr>
              <w:spacing w:after="0"/>
              <w:rPr>
                <w:sz w:val="17"/>
                <w:szCs w:val="17"/>
                <w:color w:val="auto"/>
              </w:rPr>
            </w:pPr>
          </w:p>
        </w:tc>
        <w:tc>
          <w:tcPr>
            <w:tcW w:w="3360" w:type="dxa"/>
            <w:vAlign w:val="bottom"/>
            <w:gridSpan w:val="2"/>
          </w:tcPr>
          <w:p>
            <w:pPr>
              <w:jc w:val="center"/>
              <w:ind w:left="3098"/>
              <w:spacing w:after="0"/>
              <w:rPr>
                <w:rFonts w:ascii="Arial" w:cs="Arial" w:eastAsia="Arial" w:hAnsi="Arial"/>
                <w:sz w:val="16"/>
                <w:szCs w:val="16"/>
                <w:color w:val="0000FF"/>
              </w:rPr>
            </w:pPr>
            <w:hyperlink w:anchor="page81">
              <w:r>
                <w:rPr>
                  <w:rFonts w:ascii="Arial" w:cs="Arial" w:eastAsia="Arial" w:hAnsi="Arial"/>
                  <w:sz w:val="16"/>
                  <w:szCs w:val="16"/>
                  <w:color w:val="0000FF"/>
                </w:rPr>
                <w:t>80</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840" w:type="dxa"/>
            <w:vAlign w:val="bottom"/>
            <w:gridSpan w:val="9"/>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Item 4. Mine Safety Disclosures</w:t>
              </w:r>
            </w:hyperlink>
          </w:p>
        </w:tc>
        <w:tc>
          <w:tcPr>
            <w:tcW w:w="4680" w:type="dxa"/>
            <w:vAlign w:val="bottom"/>
            <w:gridSpan w:val="8"/>
          </w:tcPr>
          <w:p>
            <w:pPr>
              <w:spacing w:after="0"/>
              <w:rPr>
                <w:sz w:val="17"/>
                <w:szCs w:val="17"/>
                <w:color w:val="auto"/>
              </w:rPr>
            </w:pPr>
          </w:p>
        </w:tc>
        <w:tc>
          <w:tcPr>
            <w:tcW w:w="3360" w:type="dxa"/>
            <w:vAlign w:val="bottom"/>
            <w:gridSpan w:val="2"/>
          </w:tcPr>
          <w:p>
            <w:pPr>
              <w:jc w:val="center"/>
              <w:ind w:left="3098"/>
              <w:spacing w:after="0"/>
              <w:rPr>
                <w:rFonts w:ascii="Arial" w:cs="Arial" w:eastAsia="Arial" w:hAnsi="Arial"/>
                <w:sz w:val="16"/>
                <w:szCs w:val="16"/>
                <w:color w:val="0000FF"/>
              </w:rPr>
            </w:pPr>
            <w:hyperlink w:anchor="page81">
              <w:r>
                <w:rPr>
                  <w:rFonts w:ascii="Arial" w:cs="Arial" w:eastAsia="Arial" w:hAnsi="Arial"/>
                  <w:sz w:val="16"/>
                  <w:szCs w:val="16"/>
                  <w:color w:val="0000FF"/>
                </w:rPr>
                <w:t>80</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80" w:type="dxa"/>
            <w:vAlign w:val="bottom"/>
            <w:gridSpan w:val="8"/>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Item 5. Other Information</w:t>
              </w:r>
            </w:hyperlink>
          </w:p>
        </w:tc>
        <w:tc>
          <w:tcPr>
            <w:tcW w:w="5240" w:type="dxa"/>
            <w:vAlign w:val="bottom"/>
            <w:gridSpan w:val="9"/>
          </w:tcPr>
          <w:p>
            <w:pPr>
              <w:spacing w:after="0"/>
              <w:rPr>
                <w:sz w:val="17"/>
                <w:szCs w:val="17"/>
                <w:color w:val="auto"/>
              </w:rPr>
            </w:pPr>
          </w:p>
        </w:tc>
        <w:tc>
          <w:tcPr>
            <w:tcW w:w="3360" w:type="dxa"/>
            <w:vAlign w:val="bottom"/>
            <w:gridSpan w:val="2"/>
          </w:tcPr>
          <w:p>
            <w:pPr>
              <w:jc w:val="center"/>
              <w:ind w:left="3098"/>
              <w:spacing w:after="0"/>
              <w:rPr>
                <w:rFonts w:ascii="Arial" w:cs="Arial" w:eastAsia="Arial" w:hAnsi="Arial"/>
                <w:sz w:val="16"/>
                <w:szCs w:val="16"/>
                <w:color w:val="0000FF"/>
              </w:rPr>
            </w:pPr>
            <w:hyperlink w:anchor="page81">
              <w:r>
                <w:rPr>
                  <w:rFonts w:ascii="Arial" w:cs="Arial" w:eastAsia="Arial" w:hAnsi="Arial"/>
                  <w:sz w:val="16"/>
                  <w:szCs w:val="16"/>
                  <w:color w:val="0000FF"/>
                </w:rPr>
                <w:t>80</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720" w:type="dxa"/>
            <w:vAlign w:val="bottom"/>
            <w:gridSpan w:val="12"/>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Item 6. Exhibits</w:t>
              </w:r>
            </w:hyperlink>
          </w:p>
        </w:tc>
        <w:tc>
          <w:tcPr>
            <w:tcW w:w="680" w:type="dxa"/>
            <w:vAlign w:val="bottom"/>
            <w:gridSpan w:val="3"/>
          </w:tcPr>
          <w:p>
            <w:pPr>
              <w:spacing w:after="0"/>
              <w:rPr>
                <w:sz w:val="17"/>
                <w:szCs w:val="17"/>
                <w:color w:val="auto"/>
              </w:rPr>
            </w:pPr>
          </w:p>
        </w:tc>
        <w:tc>
          <w:tcPr>
            <w:tcW w:w="5720" w:type="dxa"/>
            <w:vAlign w:val="bottom"/>
            <w:gridSpan w:val="12"/>
          </w:tcPr>
          <w:p>
            <w:pPr>
              <w:spacing w:after="0"/>
              <w:rPr>
                <w:sz w:val="17"/>
                <w:szCs w:val="17"/>
                <w:color w:val="auto"/>
              </w:rPr>
            </w:pPr>
          </w:p>
        </w:tc>
        <w:tc>
          <w:tcPr>
            <w:tcW w:w="3360" w:type="dxa"/>
            <w:vAlign w:val="bottom"/>
            <w:gridSpan w:val="2"/>
          </w:tcPr>
          <w:p>
            <w:pPr>
              <w:jc w:val="center"/>
              <w:ind w:left="3098"/>
              <w:spacing w:after="0"/>
              <w:rPr>
                <w:rFonts w:ascii="Arial" w:cs="Arial" w:eastAsia="Arial" w:hAnsi="Arial"/>
                <w:sz w:val="16"/>
                <w:szCs w:val="16"/>
                <w:color w:val="0000FF"/>
              </w:rPr>
            </w:pPr>
            <w:hyperlink w:anchor="page81">
              <w:r>
                <w:rPr>
                  <w:rFonts w:ascii="Arial" w:cs="Arial" w:eastAsia="Arial" w:hAnsi="Arial"/>
                  <w:sz w:val="16"/>
                  <w:szCs w:val="16"/>
                  <w:color w:val="0000FF"/>
                </w:rPr>
                <w:t>81</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Signatures</w:t>
              </w:r>
            </w:hyperlink>
          </w:p>
        </w:tc>
        <w:tc>
          <w:tcPr>
            <w:tcW w:w="6400" w:type="dxa"/>
            <w:vAlign w:val="bottom"/>
            <w:gridSpan w:val="15"/>
          </w:tcPr>
          <w:p>
            <w:pPr>
              <w:spacing w:after="0"/>
              <w:rPr>
                <w:sz w:val="17"/>
                <w:szCs w:val="17"/>
                <w:color w:val="auto"/>
              </w:rPr>
            </w:pPr>
          </w:p>
        </w:tc>
        <w:tc>
          <w:tcPr>
            <w:tcW w:w="3360" w:type="dxa"/>
            <w:vAlign w:val="bottom"/>
            <w:gridSpan w:val="2"/>
          </w:tcPr>
          <w:p>
            <w:pPr>
              <w:jc w:val="center"/>
              <w:ind w:left="3098"/>
              <w:spacing w:after="0"/>
              <w:rPr>
                <w:rFonts w:ascii="Arial" w:cs="Arial" w:eastAsia="Arial" w:hAnsi="Arial"/>
                <w:sz w:val="16"/>
                <w:szCs w:val="16"/>
                <w:color w:val="0000FF"/>
              </w:rPr>
            </w:pPr>
            <w:hyperlink w:anchor="page82">
              <w:r>
                <w:rPr>
                  <w:rFonts w:ascii="Arial" w:cs="Arial" w:eastAsia="Arial" w:hAnsi="Arial"/>
                  <w:sz w:val="16"/>
                  <w:szCs w:val="16"/>
                  <w:color w:val="0000FF"/>
                </w:rPr>
                <w:t>82</w:t>
              </w:r>
            </w:hyperlink>
          </w:p>
        </w:tc>
        <w:tc>
          <w:tcPr>
            <w:tcW w:w="120" w:type="dxa"/>
            <w:vAlign w:val="bottom"/>
          </w:tcPr>
          <w:p>
            <w:pPr>
              <w:spacing w:after="0"/>
              <w:rPr>
                <w:sz w:val="17"/>
                <w:szCs w:val="17"/>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 w:name="page3"/>
    <w:bookmarkEnd w:id="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operating performance;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our industry;</w:t>
      </w:r>
    </w:p>
    <w:p>
      <w:pPr>
        <w:spacing w:after="0" w:line="76"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 including our ability to grow our business in the countries we have identified as near-term priorities;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anticipate market needs or develop new or enhanced offerings and services to meet those needs;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into international markets and new industries;</w:t>
      </w:r>
    </w:p>
    <w:p>
      <w:pPr>
        <w:spacing w:after="0" w:line="90"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may become applicable to our business both in the United States and internationally and our expectations regarding various laws and restrictions that relate to our business;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Quarterly Report on Form 10-Q.</w:t>
      </w:r>
    </w:p>
    <w:p>
      <w:pPr>
        <w:spacing w:after="0" w:line="18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Quarterly Report on Form 10-Q. The results, events, and circumstances reflected in the forward-looking statements may not be achieved or occur, and actual results, events, or circumstances could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materially from those described in the forward-looking statements. You should not place undue reliance on our forward-looking statements.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4"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5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the registration statement, of which this Quarterly Report on Form 10-Q is a part, completely and with the understanding that our actual future results may be materially different from what we expect. We qualify all of the forward-looking statements in this Quarterly Report on Form 10-Q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OPERATING METRICS</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We manage our business by tracking several operating metrics, including monthly active users (MAUs), daily active users (DAUs), paid subscribers, and bookings. We believe each of these operating metrics provides useful information to investors and others. For information concerning these metrics as measured by us, see “Management’s Discussion and Analysis of Financial Condition and Results of Operations.”</w:t>
      </w:r>
    </w:p>
    <w:p>
      <w:pPr>
        <w:spacing w:after="0" w:line="15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See the section titled “Risk Factors—Our user metrics and other estimates are subject to inherent challenges in measurement, and real or perceived inaccuracies in those metrics may significantly harm and negatively affect our reputation and our business”. Other companies, including companies in our industry, may calculate these metrics differently.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5" w:name="page6"/>
    <w:bookmarkEnd w:id="5"/>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par value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29"/>
        </w:trPr>
        <w:tc>
          <w:tcPr>
            <w:tcW w:w="756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7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520" w:type="dxa"/>
            <w:vAlign w:val="bottom"/>
            <w:shd w:val="clear" w:color="auto" w:fill="DBDBDB"/>
          </w:tcPr>
          <w:p>
            <w:pPr>
              <w:spacing w:after="0"/>
              <w:rPr>
                <w:sz w:val="18"/>
                <w:szCs w:val="18"/>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5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114,636</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20,450</w:t>
            </w:r>
          </w:p>
        </w:tc>
      </w:tr>
      <w:tr>
        <w:trPr>
          <w:trHeight w:val="230"/>
        </w:trPr>
        <w:tc>
          <w:tcPr>
            <w:tcW w:w="75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cost of revenues</w:t>
            </w:r>
          </w:p>
        </w:tc>
        <w:tc>
          <w:tcPr>
            <w:tcW w:w="3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17,168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13,585</w:t>
            </w:r>
          </w:p>
        </w:tc>
      </w:tr>
      <w:tr>
        <w:trPr>
          <w:trHeight w:val="229"/>
        </w:trPr>
        <w:tc>
          <w:tcPr>
            <w:tcW w:w="75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r>
      <w:tr>
        <w:trPr>
          <w:trHeight w:val="223"/>
        </w:trPr>
        <w:tc>
          <w:tcPr>
            <w:tcW w:w="7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162,568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158,380</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6,428</w:t>
            </w:r>
          </w:p>
        </w:tc>
      </w:tr>
      <w:tr>
        <w:trPr>
          <w:trHeight w:val="230"/>
        </w:trPr>
        <w:tc>
          <w:tcPr>
            <w:tcW w:w="7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3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2,296</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8,073</w:t>
            </w:r>
          </w:p>
        </w:tc>
      </w:tr>
      <w:tr>
        <w:trPr>
          <w:trHeight w:val="229"/>
        </w:trPr>
        <w:tc>
          <w:tcPr>
            <w:tcW w:w="7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0"/>
        </w:trPr>
        <w:tc>
          <w:tcPr>
            <w:tcW w:w="756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756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2,196</w:t>
            </w:r>
          </w:p>
        </w:tc>
      </w:tr>
      <w:tr>
        <w:trPr>
          <w:trHeight w:val="230"/>
        </w:trPr>
        <w:tc>
          <w:tcPr>
            <w:tcW w:w="75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revenues</w:t>
            </w:r>
          </w:p>
        </w:tc>
        <w:tc>
          <w:tcPr>
            <w:tcW w:w="3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70,997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Income tax payable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5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9,779</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8,634</w:t>
            </w:r>
          </w:p>
        </w:tc>
      </w:tr>
      <w:tr>
        <w:trPr>
          <w:trHeight w:val="223"/>
        </w:trPr>
        <w:tc>
          <w:tcPr>
            <w:tcW w:w="75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65,690</w:t>
            </w:r>
          </w:p>
        </w:tc>
      </w:tr>
      <w:tr>
        <w:trPr>
          <w:trHeight w:val="229"/>
        </w:trPr>
        <w:tc>
          <w:tcPr>
            <w:tcW w:w="7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 term obligation under operating leases</w:t>
            </w:r>
          </w:p>
        </w:tc>
        <w:tc>
          <w:tcPr>
            <w:tcW w:w="32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7,810</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8,131</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92,861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73,821</w:t>
            </w:r>
          </w:p>
        </w:tc>
      </w:tr>
      <w:tr>
        <w:trPr>
          <w:trHeight w:val="229"/>
        </w:trPr>
        <w:tc>
          <w:tcPr>
            <w:tcW w:w="7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Commitments and contingencies (Note 9)</w:t>
            </w:r>
          </w:p>
        </w:tc>
        <w:tc>
          <w:tcPr>
            <w:tcW w:w="32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r>
      <w:tr>
        <w:trPr>
          <w:trHeight w:val="175"/>
        </w:trPr>
        <w:tc>
          <w:tcPr>
            <w:tcW w:w="75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Convertible preferred stock, $0.0001 par value, 19,074 shares issued and outstanding at</w:t>
            </w:r>
          </w:p>
        </w:tc>
        <w:tc>
          <w:tcPr>
            <w:tcW w:w="32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182,609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8"/>
                <w:szCs w:val="18"/>
                <w:color w:val="auto"/>
              </w:rPr>
              <w:t>182,609</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December 31, 2020 and June 30, 2021</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deficit</w:t>
            </w:r>
          </w:p>
        </w:tc>
        <w:tc>
          <w:tcPr>
            <w:tcW w:w="32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r>
      <w:tr>
        <w:trPr>
          <w:trHeight w:val="242"/>
        </w:trPr>
        <w:tc>
          <w:tcPr>
            <w:tcW w:w="7560" w:type="dxa"/>
            <w:vAlign w:val="bottom"/>
          </w:tcPr>
          <w:p>
            <w:pPr>
              <w:ind w:left="80"/>
              <w:spacing w:after="0"/>
              <w:rPr>
                <w:sz w:val="20"/>
                <w:szCs w:val="20"/>
                <w:color w:val="auto"/>
              </w:rPr>
            </w:pPr>
            <w:r>
              <w:rPr>
                <w:rFonts w:ascii="Arial" w:cs="Arial" w:eastAsia="Arial" w:hAnsi="Arial"/>
                <w:sz w:val="18"/>
                <w:szCs w:val="18"/>
                <w:color w:val="auto"/>
              </w:rPr>
              <w:t>Common stock, $0.0001 par value; 42,800 authorized shares; 13,271 issued and outstanding</w:t>
            </w: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7560" w:type="dxa"/>
            <w:vAlign w:val="bottom"/>
          </w:tcPr>
          <w:p>
            <w:pPr>
              <w:ind w:left="240"/>
              <w:spacing w:after="0"/>
              <w:rPr>
                <w:sz w:val="20"/>
                <w:szCs w:val="20"/>
                <w:color w:val="auto"/>
              </w:rPr>
            </w:pPr>
            <w:r>
              <w:rPr>
                <w:rFonts w:ascii="Arial" w:cs="Arial" w:eastAsia="Arial" w:hAnsi="Arial"/>
                <w:sz w:val="18"/>
                <w:szCs w:val="18"/>
                <w:color w:val="auto"/>
              </w:rPr>
              <w:t>at June 30, 2021 and 12,794 issued and outstanding at December 31, 2020.</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7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30,649</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30,087</w:t>
            </w:r>
          </w:p>
        </w:tc>
      </w:tr>
      <w:tr>
        <w:trPr>
          <w:trHeight w:val="230"/>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(124,427)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(110,779)</w:t>
            </w:r>
          </w:p>
        </w:tc>
      </w:tr>
      <w:tr>
        <w:trPr>
          <w:trHeight w:val="223"/>
        </w:trPr>
        <w:tc>
          <w:tcPr>
            <w:tcW w:w="7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stockholders’ deficit</w:t>
            </w:r>
          </w:p>
        </w:tc>
        <w:tc>
          <w:tcPr>
            <w:tcW w:w="32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(93,777)</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(80,691)</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liabilities, convertible preferred stock and stockholders' deficit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0"/>
        </w:trPr>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 w:name="page7"/>
    <w:bookmarkEnd w:id="6"/>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p>
        </w:tc>
        <w:tc>
          <w:tcPr>
            <w:tcW w:w="3760" w:type="dxa"/>
            <w:vAlign w:val="bottom"/>
            <w:gridSpan w:val="6"/>
          </w:tcPr>
          <w:p>
            <w:pPr>
              <w:ind w:left="56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0"/>
                <w:szCs w:val="20"/>
                <w:color w:val="auto"/>
              </w:rPr>
            </w:pPr>
          </w:p>
        </w:tc>
        <w:tc>
          <w:tcPr>
            <w:tcW w:w="33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DBDBDB"/>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DBDBDB"/>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DBDBDB"/>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DBDBDB"/>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DBDBDB"/>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58,803</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40,011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114,163</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68,123</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16,137</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11,809</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31,156</w:t>
            </w: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0" w:type="dxa"/>
            <w:vAlign w:val="bottom"/>
          </w:tcPr>
          <w:p>
            <w:pPr>
              <w:spacing w:after="0"/>
              <w:rPr>
                <w:sz w:val="1"/>
                <w:szCs w:val="1"/>
                <w:color w:val="auto"/>
              </w:rPr>
            </w:pPr>
          </w:p>
        </w:tc>
      </w:tr>
      <w:tr>
        <w:trPr>
          <w:trHeight w:val="223"/>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42,666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28,202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83,007</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48,100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21,940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12,111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44,469</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21,687</w:t>
            </w: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29,392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14,136</w:t>
            </w: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7,384</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23,038</w:t>
            </w:r>
          </w:p>
        </w:tc>
        <w:tc>
          <w:tcPr>
            <w:tcW w:w="10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14,650</w:t>
            </w:r>
          </w:p>
        </w:tc>
        <w:tc>
          <w:tcPr>
            <w:tcW w:w="0" w:type="dxa"/>
            <w:vAlign w:val="bottom"/>
          </w:tcPr>
          <w:p>
            <w:pPr>
              <w:spacing w:after="0"/>
              <w:rPr>
                <w:sz w:val="1"/>
                <w:szCs w:val="1"/>
                <w:color w:val="auto"/>
              </w:rPr>
            </w:pPr>
          </w:p>
        </w:tc>
      </w:tr>
      <w:tr>
        <w:trPr>
          <w:trHeight w:val="223"/>
        </w:trPr>
        <w:tc>
          <w:tcPr>
            <w:tcW w:w="37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28,120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96,899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50,473</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 from operations</w:t>
            </w:r>
          </w:p>
        </w:tc>
        <w:tc>
          <w:tcPr>
            <w:tcW w:w="112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(13,892)</w:t>
            </w:r>
          </w:p>
        </w:tc>
        <w:tc>
          <w:tcPr>
            <w:tcW w:w="10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(expense), net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68"/>
        </w:trPr>
        <w:tc>
          <w:tcPr>
            <w:tcW w:w="3780" w:type="dxa"/>
            <w:vAlign w:val="bottom"/>
            <w:shd w:val="clear" w:color="auto" w:fill="DBDBDB"/>
          </w:tcPr>
          <w:p>
            <w:pPr>
              <w:ind w:left="20"/>
              <w:spacing w:after="0" w:line="168" w:lineRule="exact"/>
              <w:rPr>
                <w:sz w:val="20"/>
                <w:szCs w:val="20"/>
                <w:color w:val="auto"/>
              </w:rPr>
            </w:pPr>
            <w:r>
              <w:rPr>
                <w:rFonts w:ascii="Arial" w:cs="Arial" w:eastAsia="Arial" w:hAnsi="Arial"/>
                <w:sz w:val="18"/>
                <w:szCs w:val="18"/>
                <w:color w:val="auto"/>
              </w:rPr>
              <w:t>(Loss) income before provision for income</w:t>
            </w:r>
          </w:p>
        </w:tc>
        <w:tc>
          <w:tcPr>
            <w:tcW w:w="112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4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for income taxes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8"/>
        </w:trPr>
        <w:tc>
          <w:tcPr>
            <w:tcW w:w="3780" w:type="dxa"/>
            <w:vAlign w:val="bottom"/>
            <w:shd w:val="clear" w:color="auto" w:fill="DBDBDB"/>
          </w:tcPr>
          <w:p>
            <w:pPr>
              <w:ind w:left="20"/>
              <w:spacing w:after="0" w:line="168" w:lineRule="exact"/>
              <w:rPr>
                <w:sz w:val="20"/>
                <w:szCs w:val="20"/>
                <w:color w:val="auto"/>
              </w:rPr>
            </w:pPr>
            <w:r>
              <w:rPr>
                <w:rFonts w:ascii="Arial" w:cs="Arial" w:eastAsia="Arial" w:hAnsi="Arial"/>
                <w:sz w:val="18"/>
                <w:szCs w:val="18"/>
                <w:color w:val="auto"/>
              </w:rPr>
              <w:t>Net (loss) income and comprehensive (loss)</w:t>
            </w:r>
          </w:p>
        </w:tc>
        <w:tc>
          <w:tcPr>
            <w:tcW w:w="1120" w:type="dxa"/>
            <w:vAlign w:val="bottom"/>
            <w:vMerge w:val="restart"/>
            <w:shd w:val="clear" w:color="auto" w:fill="DBDBDB"/>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DBDBDB"/>
          </w:tcPr>
          <w:p>
            <w:pPr>
              <w:spacing w:after="0"/>
              <w:rPr>
                <w:sz w:val="14"/>
                <w:szCs w:val="14"/>
                <w:color w:val="auto"/>
              </w:rPr>
            </w:pPr>
          </w:p>
        </w:tc>
        <w:tc>
          <w:tcPr>
            <w:tcW w:w="400" w:type="dxa"/>
            <w:vAlign w:val="bottom"/>
            <w:vMerge w:val="restart"/>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DBDBDB"/>
          </w:tcPr>
          <w:p>
            <w:pPr>
              <w:spacing w:after="0"/>
              <w:rPr>
                <w:sz w:val="14"/>
                <w:szCs w:val="14"/>
                <w:color w:val="auto"/>
              </w:rPr>
            </w:pPr>
          </w:p>
        </w:tc>
        <w:tc>
          <w:tcPr>
            <w:tcW w:w="400" w:type="dxa"/>
            <w:vAlign w:val="bottom"/>
            <w:vMerge w:val="restart"/>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(13,648)</w:t>
            </w:r>
          </w:p>
        </w:tc>
        <w:tc>
          <w:tcPr>
            <w:tcW w:w="100" w:type="dxa"/>
            <w:vAlign w:val="bottom"/>
            <w:shd w:val="clear" w:color="auto" w:fill="DBDBDB"/>
          </w:tcPr>
          <w:p>
            <w:pPr>
              <w:spacing w:after="0"/>
              <w:rPr>
                <w:sz w:val="14"/>
                <w:szCs w:val="14"/>
                <w:color w:val="auto"/>
              </w:rPr>
            </w:pPr>
          </w:p>
        </w:tc>
        <w:tc>
          <w:tcPr>
            <w:tcW w:w="420" w:type="dxa"/>
            <w:vAlign w:val="bottom"/>
            <w:vMerge w:val="restart"/>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DBDBDB"/>
            </w:tcBorders>
            <w:shd w:val="clear" w:color="auto" w:fill="DBDBDB"/>
          </w:tcPr>
          <w:p>
            <w:pPr>
              <w:ind w:left="180"/>
              <w:spacing w:after="0" w:line="190" w:lineRule="exact"/>
              <w:rPr>
                <w:sz w:val="20"/>
                <w:szCs w:val="20"/>
                <w:color w:val="auto"/>
              </w:rPr>
            </w:pPr>
            <w:r>
              <w:rPr>
                <w:rFonts w:ascii="Arial" w:cs="Arial" w:eastAsia="Arial" w:hAnsi="Arial"/>
                <w:sz w:val="18"/>
                <w:szCs w:val="18"/>
                <w:color w:val="auto"/>
              </w:rPr>
              <w:t>income</w:t>
            </w:r>
          </w:p>
        </w:tc>
        <w:tc>
          <w:tcPr>
            <w:tcW w:w="1120" w:type="dxa"/>
            <w:vAlign w:val="bottom"/>
            <w:tcBorders>
              <w:bottom w:val="single" w:sz="8" w:color="auto"/>
            </w:tcBorders>
            <w:vMerge w:val="continue"/>
            <w:shd w:val="clear" w:color="auto" w:fill="DBDBDB"/>
          </w:tcPr>
          <w:p>
            <w:pPr>
              <w:spacing w:after="0"/>
              <w:rPr>
                <w:sz w:val="18"/>
                <w:szCs w:val="18"/>
                <w:color w:val="auto"/>
              </w:rPr>
            </w:pPr>
          </w:p>
        </w:tc>
        <w:tc>
          <w:tcPr>
            <w:tcW w:w="66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auto"/>
            </w:tcBorders>
            <w:vMerge w:val="continue"/>
            <w:shd w:val="clear" w:color="auto" w:fill="DBDBDB"/>
          </w:tcPr>
          <w:p>
            <w:pPr>
              <w:spacing w:after="0"/>
              <w:rPr>
                <w:sz w:val="18"/>
                <w:szCs w:val="18"/>
                <w:color w:val="auto"/>
              </w:rPr>
            </w:pPr>
          </w:p>
        </w:tc>
        <w:tc>
          <w:tcPr>
            <w:tcW w:w="138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auto"/>
            </w:tcBorders>
            <w:vMerge w:val="continue"/>
            <w:shd w:val="clear" w:color="auto" w:fill="DBDBDB"/>
          </w:tcPr>
          <w:p>
            <w:pPr>
              <w:spacing w:after="0"/>
              <w:rPr>
                <w:sz w:val="18"/>
                <w:szCs w:val="18"/>
                <w:color w:val="auto"/>
              </w:rPr>
            </w:pPr>
          </w:p>
        </w:tc>
        <w:tc>
          <w:tcPr>
            <w:tcW w:w="140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auto"/>
            </w:tcBorders>
            <w:vMerge w:val="continue"/>
            <w:shd w:val="clear" w:color="auto" w:fill="DBDBDB"/>
          </w:tcPr>
          <w:p>
            <w:pPr>
              <w:spacing w:after="0"/>
              <w:rPr>
                <w:sz w:val="18"/>
                <w:szCs w:val="18"/>
                <w:color w:val="auto"/>
              </w:rPr>
            </w:pPr>
          </w:p>
        </w:tc>
        <w:tc>
          <w:tcPr>
            <w:tcW w:w="138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tcPr>
          <w:p>
            <w:pPr>
              <w:ind w:left="20"/>
              <w:spacing w:after="0" w:line="203" w:lineRule="exact"/>
              <w:rPr>
                <w:sz w:val="20"/>
                <w:szCs w:val="20"/>
                <w:color w:val="auto"/>
              </w:rPr>
            </w:pPr>
            <w:r>
              <w:rPr>
                <w:rFonts w:ascii="Arial" w:cs="Arial" w:eastAsia="Arial" w:hAnsi="Arial"/>
                <w:sz w:val="18"/>
                <w:szCs w:val="18"/>
                <w:color w:val="auto"/>
              </w:rPr>
              <w:t>Basic loss per common share</w:t>
            </w:r>
          </w:p>
        </w:tc>
        <w:tc>
          <w:tcPr>
            <w:tcW w:w="1120" w:type="dxa"/>
            <w:vAlign w:val="bottom"/>
          </w:tcPr>
          <w:p>
            <w:pPr>
              <w:jc w:val="right"/>
              <w:ind w:right="910"/>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42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DBDBDB"/>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Diluted loss per common share</w:t>
            </w:r>
          </w:p>
        </w:tc>
        <w:tc>
          <w:tcPr>
            <w:tcW w:w="1120" w:type="dxa"/>
            <w:vAlign w:val="bottom"/>
            <w:shd w:val="clear" w:color="auto" w:fill="DBDBDB"/>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DBDBDB"/>
          </w:tcPr>
          <w:p>
            <w:pPr>
              <w:spacing w:after="0"/>
              <w:rPr>
                <w:sz w:val="21"/>
                <w:szCs w:val="21"/>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UNAUDITED CONDENSED CONSOLIDATED STATEMENTS OF CONVERTIBLE PREFERRED STOCK AND STOCKHOLDERS’</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(Amounts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8"/>
              </w:rPr>
              <w:t>Convertible</w:t>
            </w: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9"/>
              </w:rPr>
              <w:t>Preferred Stock</w:t>
            </w:r>
          </w:p>
        </w:tc>
        <w:tc>
          <w:tcPr>
            <w:tcW w:w="12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10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Paid-In</w:t>
            </w:r>
          </w:p>
        </w:tc>
        <w:tc>
          <w:tcPr>
            <w:tcW w:w="12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BALANCE—Balance—March 31, 2020</w:t>
            </w: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8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$137,686</w:t>
            </w:r>
          </w:p>
        </w:tc>
        <w:tc>
          <w:tcPr>
            <w:tcW w:w="100" w:type="dxa"/>
            <w:vAlign w:val="bottom"/>
            <w:tcBorders>
              <w:top w:val="single" w:sz="8" w:color="DBDBDB"/>
              <w:right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12,456</w:t>
            </w:r>
          </w:p>
        </w:tc>
        <w:tc>
          <w:tcPr>
            <w:tcW w:w="8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12,462</w:t>
            </w: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(97,236)</w:t>
            </w:r>
          </w:p>
        </w:tc>
        <w:tc>
          <w:tcPr>
            <w:tcW w:w="8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(84,773)</w:t>
            </w:r>
          </w:p>
        </w:tc>
        <w:tc>
          <w:tcPr>
            <w:tcW w:w="0" w:type="dxa"/>
            <w:vAlign w:val="bottom"/>
          </w:tcPr>
          <w:p>
            <w:pPr>
              <w:spacing w:after="0"/>
              <w:rPr>
                <w:sz w:val="1"/>
                <w:szCs w:val="1"/>
                <w:color w:val="auto"/>
              </w:rPr>
            </w:pPr>
          </w:p>
        </w:tc>
      </w:tr>
      <w:tr>
        <w:trPr>
          <w:trHeight w:val="188"/>
        </w:trPr>
        <w:tc>
          <w:tcPr>
            <w:tcW w:w="4000" w:type="dxa"/>
            <w:vAlign w:val="bottom"/>
          </w:tcPr>
          <w:p>
            <w:pPr>
              <w:ind w:left="140"/>
              <w:spacing w:after="0" w:line="189" w:lineRule="exact"/>
              <w:rPr>
                <w:sz w:val="20"/>
                <w:szCs w:val="20"/>
                <w:color w:val="auto"/>
              </w:rPr>
            </w:pPr>
            <w:r>
              <w:rPr>
                <w:rFonts w:ascii="Arial" w:cs="Arial" w:eastAsia="Arial" w:hAnsi="Arial"/>
                <w:sz w:val="18"/>
                <w:szCs w:val="18"/>
                <w:color w:val="auto"/>
              </w:rPr>
              <w:t>Issuance of Series G convertible preferred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300"/>
              <w:spacing w:after="0"/>
              <w:rPr>
                <w:sz w:val="20"/>
                <w:szCs w:val="20"/>
                <w:color w:val="auto"/>
              </w:rPr>
            </w:pPr>
            <w:r>
              <w:rPr>
                <w:rFonts w:ascii="Arial" w:cs="Arial" w:eastAsia="Arial" w:hAnsi="Arial"/>
                <w:sz w:val="18"/>
                <w:szCs w:val="18"/>
                <w:color w:val="auto"/>
              </w:rPr>
              <w:t>stock, net $24 of fees</w:t>
            </w:r>
          </w:p>
        </w:tc>
        <w:tc>
          <w:tcPr>
            <w:tcW w:w="70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9,976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1,681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9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BALANCE—June 30,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18,488</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147,662</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12,482</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(97,196)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(82,884)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DBDBDB"/>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right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Balance—March 31, 2021</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right w:val="single" w:sz="8" w:color="auto"/>
            </w:tcBorders>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13,118</w:t>
            </w:r>
          </w:p>
        </w:tc>
        <w:tc>
          <w:tcPr>
            <w:tcW w:w="8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26,465</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(124,251)</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(97,785)</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30"/>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1,277</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8"/>
        </w:trPr>
        <w:tc>
          <w:tcPr>
            <w:tcW w:w="4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BALANCE—June 30, 2021</w:t>
            </w: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182,609</w:t>
            </w:r>
          </w:p>
        </w:tc>
        <w:tc>
          <w:tcPr>
            <w:tcW w:w="100" w:type="dxa"/>
            <w:vAlign w:val="bottom"/>
            <w:tcBorders>
              <w:top w:val="single" w:sz="8" w:color="DBDBDB"/>
              <w:bottom w:val="single" w:sz="8" w:color="DBDBDB"/>
              <w:right w:val="single" w:sz="8" w:color="auto"/>
            </w:tcBorders>
            <w:shd w:val="clear" w:color="auto" w:fill="DBDBDB"/>
          </w:tcPr>
          <w:p>
            <w:pPr>
              <w:spacing w:after="0"/>
              <w:rPr>
                <w:sz w:val="21"/>
                <w:szCs w:val="21"/>
                <w:color w:val="auto"/>
              </w:rPr>
            </w:pPr>
          </w:p>
        </w:tc>
        <w:tc>
          <w:tcPr>
            <w:tcW w:w="60" w:type="dxa"/>
            <w:vAlign w:val="bottom"/>
            <w:tcBorders>
              <w:top w:val="single" w:sz="8" w:color="DBDBDB"/>
              <w:bottom w:val="single" w:sz="8" w:color="DBDBDB"/>
            </w:tcBorders>
            <w:shd w:val="clear" w:color="auto" w:fill="DBDBDB"/>
          </w:tcPr>
          <w:p>
            <w:pPr>
              <w:spacing w:after="0"/>
              <w:rPr>
                <w:sz w:val="21"/>
                <w:szCs w:val="21"/>
                <w:color w:val="auto"/>
              </w:rPr>
            </w:pP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13,271</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480" w:type="dxa"/>
            <w:vAlign w:val="bottom"/>
            <w:tcBorders>
              <w:top w:val="single" w:sz="8" w:color="auto"/>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30,649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(124,427)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(93,777)</w:t>
            </w:r>
          </w:p>
        </w:tc>
        <w:tc>
          <w:tcPr>
            <w:tcW w:w="0" w:type="dxa"/>
            <w:vAlign w:val="bottom"/>
          </w:tcPr>
          <w:p>
            <w:pPr>
              <w:spacing w:after="0"/>
              <w:rPr>
                <w:sz w:val="1"/>
                <w:szCs w:val="1"/>
                <w:color w:val="auto"/>
              </w:rPr>
            </w:pPr>
          </w:p>
        </w:tc>
      </w:tr>
      <w:tr>
        <w:trPr>
          <w:trHeight w:val="20"/>
        </w:trPr>
        <w:tc>
          <w:tcPr>
            <w:tcW w:w="400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100"/>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8" w:name="page9"/>
    <w:bookmarkEnd w:id="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CONVERTIBLE PREFERRED STOCK AND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9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rPr>
              <w:t>Convertible</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19"/>
                <w:szCs w:val="19"/>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Preferred Stock</w:t>
            </w:r>
          </w:p>
        </w:tc>
        <w:tc>
          <w:tcPr>
            <w:tcW w:w="12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9"/>
              </w:rPr>
              <w:t>Additional</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42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Shares</w:t>
            </w:r>
          </w:p>
        </w:tc>
        <w:tc>
          <w:tcPr>
            <w:tcW w:w="106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5"/>
                <w:szCs w:val="15"/>
                <w:color w:val="auto"/>
              </w:rPr>
            </w:pPr>
          </w:p>
        </w:tc>
        <w:tc>
          <w:tcPr>
            <w:tcW w:w="10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Paid-In</w:t>
            </w:r>
          </w:p>
        </w:tc>
        <w:tc>
          <w:tcPr>
            <w:tcW w:w="14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Capital</w:t>
            </w:r>
          </w:p>
        </w:tc>
        <w:tc>
          <w:tcPr>
            <w:tcW w:w="26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BALANCE—Balance—January 1, 2020</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$ 137,686</w:t>
            </w:r>
          </w:p>
        </w:tc>
        <w:tc>
          <w:tcPr>
            <w:tcW w:w="100" w:type="dxa"/>
            <w:vAlign w:val="bottom"/>
            <w:tcBorders>
              <w:top w:val="single" w:sz="8" w:color="DBDBDB"/>
              <w:right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12,406</w:t>
            </w:r>
          </w:p>
        </w:tc>
        <w:tc>
          <w:tcPr>
            <w:tcW w:w="8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11,026</w:t>
            </w:r>
          </w:p>
        </w:tc>
        <w:tc>
          <w:tcPr>
            <w:tcW w:w="8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(95,003)</w:t>
            </w:r>
          </w:p>
        </w:tc>
        <w:tc>
          <w:tcPr>
            <w:tcW w:w="1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(83,976)</w:t>
            </w:r>
          </w:p>
        </w:tc>
        <w:tc>
          <w:tcPr>
            <w:tcW w:w="0" w:type="dxa"/>
            <w:vAlign w:val="bottom"/>
          </w:tcPr>
          <w:p>
            <w:pPr>
              <w:spacing w:after="0"/>
              <w:rPr>
                <w:sz w:val="1"/>
                <w:szCs w:val="1"/>
                <w:color w:val="auto"/>
              </w:rPr>
            </w:pPr>
          </w:p>
        </w:tc>
      </w:tr>
      <w:tr>
        <w:trPr>
          <w:trHeight w:val="188"/>
        </w:trPr>
        <w:tc>
          <w:tcPr>
            <w:tcW w:w="4040" w:type="dxa"/>
            <w:vAlign w:val="bottom"/>
          </w:tcPr>
          <w:p>
            <w:pPr>
              <w:ind w:left="240"/>
              <w:spacing w:after="0" w:line="189" w:lineRule="exact"/>
              <w:rPr>
                <w:sz w:val="20"/>
                <w:szCs w:val="20"/>
                <w:color w:val="auto"/>
              </w:rPr>
            </w:pPr>
            <w:r>
              <w:rPr>
                <w:rFonts w:ascii="Arial" w:cs="Arial" w:eastAsia="Arial" w:hAnsi="Arial"/>
                <w:sz w:val="18"/>
                <w:szCs w:val="18"/>
                <w:color w:val="auto"/>
              </w:rPr>
              <w:t>Issuance of Series G convertible preferred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240"/>
              <w:spacing w:after="0"/>
              <w:rPr>
                <w:sz w:val="20"/>
                <w:szCs w:val="20"/>
                <w:color w:val="auto"/>
              </w:rPr>
            </w:pPr>
            <w:r>
              <w:rPr>
                <w:rFonts w:ascii="Arial" w:cs="Arial" w:eastAsia="Arial" w:hAnsi="Arial"/>
                <w:sz w:val="18"/>
                <w:szCs w:val="18"/>
                <w:color w:val="auto"/>
              </w:rPr>
              <w:t>stock, net $24 of fees</w:t>
            </w:r>
          </w:p>
        </w:tc>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2,835</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Stock options exercised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9"/>
        </w:trPr>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(2,193)</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BALANCE—June 30,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18,488</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$ 147,662</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12,482</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14,311</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(97,196)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(82,884)</w:t>
            </w:r>
          </w:p>
        </w:tc>
        <w:tc>
          <w:tcPr>
            <w:tcW w:w="0" w:type="dxa"/>
            <w:vAlign w:val="bottom"/>
          </w:tcPr>
          <w:p>
            <w:pPr>
              <w:spacing w:after="0"/>
              <w:rPr>
                <w:sz w:val="1"/>
                <w:szCs w:val="1"/>
                <w:color w:val="auto"/>
              </w:rPr>
            </w:pPr>
          </w:p>
        </w:tc>
      </w:tr>
      <w:tr>
        <w:trPr>
          <w:trHeight w:val="20"/>
        </w:trPr>
        <w:tc>
          <w:tcPr>
            <w:tcW w:w="4040" w:type="dxa"/>
            <w:vAlign w:val="bottom"/>
            <w:tcBorders>
              <w:bottom w:val="single" w:sz="8" w:color="DBDBDB"/>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right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Balance—January 1, 2021</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$ 182,609</w:t>
            </w:r>
          </w:p>
        </w:tc>
        <w:tc>
          <w:tcPr>
            <w:tcW w:w="100" w:type="dxa"/>
            <w:vAlign w:val="bottom"/>
            <w:tcBorders>
              <w:right w:val="single" w:sz="8" w:color="auto"/>
            </w:tcBorders>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12,794</w:t>
            </w:r>
          </w:p>
        </w:tc>
        <w:tc>
          <w:tcPr>
            <w:tcW w:w="8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30,087</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(110,779)</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(80,691)</w:t>
            </w: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30"/>
        </w:trPr>
        <w:tc>
          <w:tcPr>
            <w:tcW w:w="40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8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3,307</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Common stock repurchased and retired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40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Options repurchased</w:t>
            </w:r>
          </w:p>
        </w:tc>
        <w:tc>
          <w:tcPr>
            <w:tcW w:w="8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(7,335)</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w:t>
            </w:r>
          </w:p>
        </w:tc>
        <w:tc>
          <w:tcPr>
            <w:tcW w:w="12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BALANCE—June 30, 2021</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Borders>
              <w:bottom w:val="single" w:sz="8" w:color="auto"/>
            </w:tcBorders>
            <w:shd w:val="clear" w:color="auto" w:fill="DBDBDB"/>
          </w:tcPr>
          <w:p>
            <w:pPr>
              <w:spacing w:after="0"/>
              <w:rPr>
                <w:sz w:val="21"/>
                <w:szCs w:val="21"/>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$ 182,609</w:t>
            </w:r>
          </w:p>
        </w:tc>
        <w:tc>
          <w:tcPr>
            <w:tcW w:w="100" w:type="dxa"/>
            <w:vAlign w:val="bottom"/>
            <w:tcBorders>
              <w:bottom w:val="single" w:sz="8" w:color="auto"/>
              <w:right w:val="single" w:sz="8" w:color="DBDBDB"/>
            </w:tcBorders>
            <w:shd w:val="clear" w:color="auto" w:fill="DBDBDB"/>
          </w:tcPr>
          <w:p>
            <w:pPr>
              <w:spacing w:after="0"/>
              <w:rPr>
                <w:sz w:val="21"/>
                <w:szCs w:val="21"/>
                <w:color w:val="auto"/>
              </w:rPr>
            </w:pPr>
          </w:p>
        </w:tc>
        <w:tc>
          <w:tcPr>
            <w:tcW w:w="60" w:type="dxa"/>
            <w:vAlign w:val="bottom"/>
            <w:tcBorders>
              <w:bottom w:val="single" w:sz="8" w:color="auto"/>
            </w:tcBorders>
            <w:shd w:val="clear" w:color="auto" w:fill="DBDBDB"/>
          </w:tcPr>
          <w:p>
            <w:pPr>
              <w:spacing w:after="0"/>
              <w:rPr>
                <w:sz w:val="21"/>
                <w:szCs w:val="21"/>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13,271</w:t>
            </w:r>
          </w:p>
        </w:tc>
        <w:tc>
          <w:tcPr>
            <w:tcW w:w="80" w:type="dxa"/>
            <w:vAlign w:val="bottom"/>
            <w:tcBorders>
              <w:bottom w:val="single" w:sz="8" w:color="auto"/>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30,649</w:t>
            </w:r>
          </w:p>
        </w:tc>
        <w:tc>
          <w:tcPr>
            <w:tcW w:w="80" w:type="dxa"/>
            <w:vAlign w:val="bottom"/>
            <w:tcBorders>
              <w:bottom w:val="single" w:sz="8" w:color="auto"/>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(124,427)</w:t>
            </w:r>
          </w:p>
        </w:tc>
        <w:tc>
          <w:tcPr>
            <w:tcW w:w="1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(93,777)</w:t>
            </w:r>
          </w:p>
        </w:tc>
        <w:tc>
          <w:tcPr>
            <w:tcW w:w="0" w:type="dxa"/>
            <w:vAlign w:val="bottom"/>
          </w:tcPr>
          <w:p>
            <w:pPr>
              <w:spacing w:after="0"/>
              <w:rPr>
                <w:sz w:val="1"/>
                <w:szCs w:val="1"/>
                <w:color w:val="auto"/>
              </w:rPr>
            </w:pPr>
          </w:p>
        </w:tc>
      </w:tr>
      <w:tr>
        <w:trPr>
          <w:trHeight w:val="20"/>
        </w:trPr>
        <w:tc>
          <w:tcPr>
            <w:tcW w:w="404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DBDBDB"/>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r>
      <w:tr>
        <w:trPr>
          <w:trHeight w:val="209"/>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(13,648)</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(2,193)</w:t>
            </w:r>
          </w:p>
        </w:tc>
      </w:tr>
      <w:tr>
        <w:trPr>
          <w:trHeight w:val="229"/>
        </w:trPr>
        <w:tc>
          <w:tcPr>
            <w:tcW w:w="7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11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1,236</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7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5,458</w:t>
            </w:r>
          </w:p>
        </w:tc>
        <w:tc>
          <w:tcPr>
            <w:tcW w:w="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2,835</w:t>
            </w: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2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16,205</w:t>
            </w:r>
          </w:p>
        </w:tc>
        <w:tc>
          <w:tcPr>
            <w:tcW w:w="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18,327</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(7,460)</w:t>
            </w:r>
          </w:p>
        </w:tc>
      </w:tr>
      <w:tr>
        <w:trPr>
          <w:trHeight w:val="229"/>
        </w:trPr>
        <w:tc>
          <w:tcPr>
            <w:tcW w:w="72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Deferred cost of revenue</w:t>
            </w:r>
          </w:p>
        </w:tc>
        <w:tc>
          <w:tcPr>
            <w:tcW w:w="1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(3,583)</w:t>
            </w:r>
          </w:p>
        </w:tc>
        <w:tc>
          <w:tcPr>
            <w:tcW w:w="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(4,606)</w:t>
            </w: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72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Accounts payable</w:t>
            </w:r>
          </w:p>
        </w:tc>
        <w:tc>
          <w:tcPr>
            <w:tcW w:w="1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2,070</w:t>
            </w:r>
          </w:p>
        </w:tc>
        <w:tc>
          <w:tcPr>
            <w:tcW w:w="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2,283</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2,412</w:t>
            </w:r>
          </w:p>
        </w:tc>
      </w:tr>
      <w:tr>
        <w:trPr>
          <w:trHeight w:val="230"/>
        </w:trPr>
        <w:tc>
          <w:tcPr>
            <w:tcW w:w="72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Noncurrent assets and liabilities</w:t>
            </w:r>
          </w:p>
        </w:tc>
        <w:tc>
          <w:tcPr>
            <w:tcW w:w="118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612</w:t>
            </w:r>
          </w:p>
        </w:tc>
        <w:tc>
          <w:tcPr>
            <w:tcW w:w="80" w:type="dxa"/>
            <w:vAlign w:val="bottom"/>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759</w:t>
            </w:r>
          </w:p>
        </w:tc>
      </w:tr>
      <w:tr>
        <w:trPr>
          <w:trHeight w:val="230"/>
        </w:trPr>
        <w:tc>
          <w:tcPr>
            <w:tcW w:w="7280" w:type="dxa"/>
            <w:vAlign w:val="bottom"/>
            <w:tcBorders>
              <w:bottom w:val="single" w:sz="8" w:color="DBDBDB"/>
            </w:tcBorders>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4,227</w:t>
            </w:r>
          </w:p>
        </w:tc>
        <w:tc>
          <w:tcPr>
            <w:tcW w:w="80" w:type="dxa"/>
            <w:vAlign w:val="bottom"/>
            <w:tcBorders>
              <w:bottom w:val="single" w:sz="8" w:color="DBDBDB"/>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13,180</w:t>
            </w:r>
          </w:p>
        </w:tc>
      </w:tr>
      <w:tr>
        <w:trPr>
          <w:trHeight w:val="216"/>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Capitalized software</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7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Purchase of property and equipment</w:t>
            </w:r>
          </w:p>
        </w:tc>
        <w:tc>
          <w:tcPr>
            <w:tcW w:w="118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(1,978)</w:t>
            </w:r>
          </w:p>
        </w:tc>
        <w:tc>
          <w:tcPr>
            <w:tcW w:w="80" w:type="dxa"/>
            <w:vAlign w:val="bottom"/>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(2,193)</w:t>
            </w:r>
          </w:p>
        </w:tc>
      </w:tr>
      <w:tr>
        <w:trPr>
          <w:trHeight w:val="230"/>
        </w:trPr>
        <w:tc>
          <w:tcPr>
            <w:tcW w:w="728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Net cash used for investing activities</w:t>
            </w:r>
          </w:p>
        </w:tc>
        <w:tc>
          <w:tcPr>
            <w:tcW w:w="1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80" w:type="dxa"/>
            <w:vAlign w:val="bottom"/>
            <w:tcBorders>
              <w:bottom w:val="single" w:sz="8" w:color="DBDBDB"/>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r>
      <w:tr>
        <w:trPr>
          <w:trHeight w:val="216"/>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Net proceeds from issuance of convertible preferred stock</w:t>
            </w:r>
          </w:p>
        </w:tc>
        <w:tc>
          <w:tcPr>
            <w:tcW w:w="1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9,976</w:t>
            </w:r>
          </w:p>
        </w:tc>
      </w:tr>
      <w:tr>
        <w:trPr>
          <w:trHeight w:val="229"/>
        </w:trPr>
        <w:tc>
          <w:tcPr>
            <w:tcW w:w="7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1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3,307</w:t>
            </w:r>
          </w:p>
        </w:tc>
        <w:tc>
          <w:tcPr>
            <w:tcW w:w="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Repurchases of stock options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(7,335)</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Repurchase of common stock</w:t>
            </w:r>
          </w:p>
        </w:tc>
        <w:tc>
          <w:tcPr>
            <w:tcW w:w="1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(868)</w:t>
            </w:r>
          </w:p>
        </w:tc>
        <w:tc>
          <w:tcPr>
            <w:tcW w:w="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Payments of deferred offering costs</w:t>
            </w:r>
          </w:p>
        </w:tc>
        <w:tc>
          <w:tcPr>
            <w:tcW w:w="1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80" w:type="dxa"/>
            <w:vAlign w:val="bottom"/>
            <w:tcBorders>
              <w:bottom w:val="single" w:sz="8" w:color="DBDBDB"/>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Net cash (used for) provided by financing activities</w:t>
            </w:r>
          </w:p>
        </w:tc>
        <w:tc>
          <w:tcPr>
            <w:tcW w:w="1180" w:type="dxa"/>
            <w:vAlign w:val="bottom"/>
            <w:tcBorders>
              <w:bottom w:val="single" w:sz="8" w:color="auto"/>
            </w:tcBorders>
            <w:shd w:val="clear" w:color="auto" w:fill="DBDBDB"/>
          </w:tcPr>
          <w:p>
            <w:pPr>
              <w:spacing w:after="0"/>
              <w:rPr>
                <w:sz w:val="20"/>
                <w:szCs w:val="20"/>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(6,447)</w:t>
            </w:r>
          </w:p>
        </w:tc>
        <w:tc>
          <w:tcPr>
            <w:tcW w:w="8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spacing w:after="0"/>
              <w:rPr>
                <w:sz w:val="20"/>
                <w:szCs w:val="20"/>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10,426</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(5,854)</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21,290</w:t>
            </w:r>
          </w:p>
        </w:tc>
      </w:tr>
      <w:tr>
        <w:trPr>
          <w:trHeight w:val="230"/>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118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c>
          <w:tcPr>
            <w:tcW w:w="80" w:type="dxa"/>
            <w:vAlign w:val="bottom"/>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59,843</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Cash and cash equivalents - End of period</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114,636</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81,133</w:t>
            </w:r>
          </w:p>
        </w:tc>
      </w:tr>
      <w:tr>
        <w:trPr>
          <w:trHeight w:val="20"/>
        </w:trPr>
        <w:tc>
          <w:tcPr>
            <w:tcW w:w="7280" w:type="dxa"/>
            <w:vAlign w:val="bottom"/>
            <w:tcBorders>
              <w:bottom w:val="single" w:sz="8" w:color="DBDBDB"/>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4"/>
        </w:trPr>
        <w:tc>
          <w:tcPr>
            <w:tcW w:w="728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paid for interest</w:t>
            </w:r>
          </w:p>
        </w:tc>
        <w:tc>
          <w:tcPr>
            <w:tcW w:w="1180" w:type="dxa"/>
            <w:vAlign w:val="bottom"/>
            <w:shd w:val="clear" w:color="auto" w:fill="DBDBDB"/>
          </w:tcPr>
          <w:p>
            <w:pPr>
              <w:jc w:val="right"/>
              <w:ind w:right="97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included in accrued expenses</w:t>
            </w:r>
          </w:p>
        </w:tc>
        <w:tc>
          <w:tcPr>
            <w:tcW w:w="1180" w:type="dxa"/>
            <w:vAlign w:val="bottom"/>
            <w:shd w:val="clear" w:color="auto" w:fill="DBDBDB"/>
          </w:tcPr>
          <w:p>
            <w:pPr>
              <w:jc w:val="right"/>
              <w:ind w:right="9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Property and equipment included in accrued expenses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Supplemental disclosure of noncash financing activities:</w:t>
            </w:r>
          </w:p>
        </w:tc>
        <w:tc>
          <w:tcPr>
            <w:tcW w:w="11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Deferred offering costs included in accrued expenses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19"/>
                <w:szCs w:val="19"/>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71"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2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Duolingo, Inc. (the “Company” or “Duolingo”) was formed on August 18, 2011 and the Duolingo app was launched to the general public on June 19, 2012. The Company’s headquarters are located in Pittsburgh, Pennsylvania.</w:t>
      </w:r>
    </w:p>
    <w:p>
      <w:pPr>
        <w:spacing w:after="0" w:line="143"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Duolingo is a US-based language-learning website and mobile app, as well as a digital language proficiency assessment exam. The Company has a freemium business model: the app and the website are accessible free of charge, although Duolingo also offers a premium service, Duolingo Plus, for a subscription fee. As of the date of this filing, Duolingo offers courses in 40 different languages, including Spanish, English, French, German, Italian, Portuguese, Japanese and Chinese. We have locations in the United States and China.</w:t>
      </w:r>
    </w:p>
    <w:p>
      <w:pPr>
        <w:spacing w:after="0" w:line="113" w:lineRule="exact"/>
        <w:rPr>
          <w:sz w:val="20"/>
          <w:szCs w:val="20"/>
          <w:color w:val="auto"/>
        </w:rPr>
      </w:pPr>
    </w:p>
    <w:p>
      <w:pPr>
        <w:ind w:right="580"/>
        <w:spacing w:after="0" w:line="303"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unaudited condensed consolidated financial statements include the accounts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over which the Company has control. All intercompany transactions and balances have been eliminated.</w:t>
      </w:r>
    </w:p>
    <w:p>
      <w:pPr>
        <w:spacing w:after="0" w:line="98"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accounting principles in the United States (“GAAP”) from the Company’s accounting records and reflect the consolidated financial position and results of operations for the six months ended June 30, 2021 and 2020. Unless otherwise specified, all dollar amounts are referred to in thousands.</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unaudited condensed consolidated financial statements have been prepared pursuant to the rules and regulations of the Securities and Exchange Commission (“SEC”). Certain information and note disclosures normally included in financial statements prepared in accordance with GAAP have been condensed or omitted pursuant to such SEC rules. We believe that the disclosures made are adequate to make the information presented not misleading. In our opinion, all adjustments considered necessary for a fair presentation of the financial statements have been included, and all adjustments are of a normal and recurring nature. We consistently applied the accounting policies consistent with the annual consolidated financial statements elsewhere in this this Quarterly Report on Form 10-Q, in preparing these unaudited condensed consolidated financial statements, with the exception of accounting standard updates described in Note 2, “Recently Adopted Accounting Pronouncements.” These unaudited condensed consolidated financial statements should be read in conjunction with the audited financial statements and the notes for the fiscal year ended December 31, 2020 included in the final prospectus dated as of July 27, 2021 and filed with the SEC, pursuant to Rule 424(b)(4) on July 28, 2021 (“Final Prospectus”). Certain prior period amounts have been reclassified to conform to the current period presentation</w:t>
      </w:r>
    </w:p>
    <w:p>
      <w:pPr>
        <w:spacing w:after="0" w:line="118"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9"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color w:val="auto"/>
        </w:rPr>
        <w:t>Accounting Principles</w:t>
      </w:r>
      <w:r>
        <w:rPr>
          <w:rFonts w:ascii="Arial" w:cs="Arial" w:eastAsia="Arial" w:hAnsi="Arial"/>
          <w:sz w:val="18"/>
          <w:szCs w:val="18"/>
          <w:color w:val="auto"/>
        </w:rPr>
        <w:t>—The financial statements and accompanying notes are prepared in accordance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 the United States of America (GAAP).</w:t>
      </w:r>
    </w:p>
    <w:p>
      <w:pPr>
        <w:spacing w:after="0" w:line="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unaudited condensed consolidated financial statements in conformity with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12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Deferred Offering Costs—</w:t>
      </w:r>
      <w:r>
        <w:rPr>
          <w:rFonts w:ascii="Arial" w:cs="Arial" w:eastAsia="Arial" w:hAnsi="Arial"/>
          <w:sz w:val="18"/>
          <w:szCs w:val="18"/>
          <w:color w:val="auto"/>
        </w:rPr>
        <w:t>Deferred offering costs, which consist of direct incremental legal, accounting, and consulting fees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Public Offering (“IPO”), will be capitalized. The deferred offering costs will be offset against IPO proceeds upon the consummation of the IPO. In the event the planned IPO is terminated, the deferred offering costs will be expensed. There were no deferred offering costs recorded as of December 31, 2020. As of June 30, 2021, there was $2,627 of deferred offering costs recorded in the unaudited condensed consolidated balance sheet, of which $1,076 had not been paid.</w:t>
      </w:r>
    </w:p>
    <w:p>
      <w:pPr>
        <w:spacing w:after="0" w:line="12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consists primarily of cash on hand and bank deposits. Cash equivalents consist primarily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accounts 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798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10,571</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20,428</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104,065</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100,062</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114,636</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Money market funds are considered Level 1 financial assets. Level 1 financial assets use inputs that are unadjusted, quoted prices in active markets for identical assets or liabilities at the measurement date.</w:t>
      </w:r>
    </w:p>
    <w:p>
      <w:pPr>
        <w:spacing w:after="0" w:line="121" w:lineRule="exact"/>
        <w:rPr>
          <w:sz w:val="20"/>
          <w:szCs w:val="20"/>
          <w:color w:val="auto"/>
        </w:rPr>
      </w:pPr>
    </w:p>
    <w:p>
      <w:pPr>
        <w:jc w:val="both"/>
        <w:ind w:right="460"/>
        <w:spacing w:after="0" w:line="284" w:lineRule="auto"/>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Advertising costs were approximately $7,685 and $19,751 for the three and six months ended June 30, 2021 and</w:t>
      </w:r>
      <w:r>
        <w:rPr>
          <w:rFonts w:ascii="Arial" w:cs="Arial" w:eastAsia="Arial" w:hAnsi="Arial"/>
          <w:sz w:val="18"/>
          <w:szCs w:val="18"/>
          <w:b w:val="1"/>
          <w:bCs w:val="1"/>
          <w:color w:val="auto"/>
        </w:rPr>
        <w:t xml:space="preserve"> </w:t>
      </w:r>
      <w:r>
        <w:rPr>
          <w:rFonts w:ascii="Arial" w:cs="Arial" w:eastAsia="Arial" w:hAnsi="Arial"/>
          <w:sz w:val="18"/>
          <w:szCs w:val="18"/>
          <w:color w:val="auto"/>
        </w:rPr>
        <w:t>$6,460 and $10,495 for the three and six months ended June 30, 2020, respectively, and are included within Sales and marketing in the unaudited condensed consolidated statement of operations and comprehensive loss.</w:t>
      </w:r>
    </w:p>
    <w:p>
      <w:pPr>
        <w:spacing w:after="0" w:line="116"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Company’s period provision for income taxes is computed by using an estimate of the annual effective tax rate,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for discrete items taken into account in the relevant period, if any. Each quarter, the annual effective income tax rate is recomputed and if there are material changes in the estimate, a cumulative adjustment is made.</w:t>
      </w:r>
    </w:p>
    <w:p>
      <w:pPr>
        <w:spacing w:after="0" w:line="116"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color w:val="auto"/>
        </w:rPr>
        <w:t>Contributors—</w:t>
      </w:r>
      <w:r>
        <w:rPr>
          <w:rFonts w:ascii="Arial" w:cs="Arial" w:eastAsia="Arial" w:hAnsi="Arial"/>
          <w:sz w:val="18"/>
          <w:szCs w:val="18"/>
          <w:color w:val="auto"/>
        </w:rPr>
        <w:t>On March 10, 2021, the Company announced that it was ending its non-employee volunteer program, which began in 2013</w:t>
      </w:r>
      <w:r>
        <w:rPr>
          <w:rFonts w:ascii="Arial" w:cs="Arial" w:eastAsia="Arial" w:hAnsi="Arial"/>
          <w:sz w:val="18"/>
          <w:szCs w:val="18"/>
          <w:b w:val="1"/>
          <w:bCs w:val="1"/>
          <w:color w:val="auto"/>
        </w:rPr>
        <w:t xml:space="preserve"> </w:t>
      </w:r>
      <w:r>
        <w:rPr>
          <w:rFonts w:ascii="Arial" w:cs="Arial" w:eastAsia="Arial" w:hAnsi="Arial"/>
          <w:sz w:val="18"/>
          <w:szCs w:val="18"/>
          <w:color w:val="auto"/>
        </w:rPr>
        <w:t>to build and improve language courses. As part of this change, those contributors who participated in the program became eligible to receive a one-time award, up to an aggregate amount of approximately $5,098, including fees paid to process payments of approximately $526. The Company accounted for this under Financial Accounting Standards Board (“FASB”)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 xml:space="preserve">Standards Codifications (“ASC”) 958-720, </w:t>
      </w:r>
      <w:r>
        <w:rPr>
          <w:rFonts w:ascii="Arial" w:cs="Arial" w:eastAsia="Arial" w:hAnsi="Arial"/>
          <w:sz w:val="18"/>
          <w:szCs w:val="18"/>
          <w:i w:val="1"/>
          <w:iCs w:val="1"/>
          <w:color w:val="auto"/>
        </w:rPr>
        <w:t>Not-For-Profit Entities - Other Expenses</w:t>
      </w:r>
      <w:r>
        <w:rPr>
          <w:rFonts w:ascii="Arial" w:cs="Arial" w:eastAsia="Arial" w:hAnsi="Arial"/>
          <w:sz w:val="18"/>
          <w:szCs w:val="18"/>
          <w:color w:val="auto"/>
        </w:rPr>
        <w:t xml:space="preserve"> and ASC 720-25, </w:t>
      </w:r>
      <w:r>
        <w:rPr>
          <w:rFonts w:ascii="Arial" w:cs="Arial" w:eastAsia="Arial" w:hAnsi="Arial"/>
          <w:sz w:val="18"/>
          <w:szCs w:val="18"/>
          <w:i w:val="1"/>
          <w:iCs w:val="1"/>
          <w:color w:val="auto"/>
        </w:rPr>
        <w:t>Contributions Made</w:t>
      </w:r>
      <w:r>
        <w:rPr>
          <w:rFonts w:ascii="Arial" w:cs="Arial" w:eastAsia="Arial" w:hAnsi="Arial"/>
          <w:sz w:val="18"/>
          <w:szCs w:val="18"/>
          <w:color w:val="auto"/>
        </w:rPr>
        <w:t>, based on the nature of this contribution, which is an unconditional promise. The Company recorded the initial charge during the three months ended March 31, 2021, which is when the Company made the unconditional promise to pay. During the three months ended June 30, 2021 the amount previously reserved was reduced by $878 to reflect those awards that were not claimed, resulting in a reduction of the expense, bringing the total amount to $4,220. Of that amount, $577 is expected to be paid out in the three months ended September 30, 2021. This amount is included within Sales and marketing in the unaudited condensed consolidated statement of operations and comprehensive loss.</w:t>
      </w:r>
    </w:p>
    <w:p>
      <w:pPr>
        <w:spacing w:after="0" w:line="128"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—The Company’s concentration of credit risk relates to financial institutions holding the Company’s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platforms with significant accounts receivable balances and revenue transactions.</w:t>
      </w:r>
    </w:p>
    <w:p>
      <w:pPr>
        <w:spacing w:after="0" w:line="12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49"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The majority of our revenue comes through our subscriptions and advertising streams and payments are made to Duolingo through service providers. The top two, Apple and Google, accounted for 66.4% and 18.3% of total accounts receivable as of June 30, 2021, respectively. The top three service providers, Apple, Google and Stripe, accounted for 47.8%, 28.9% and 13.8% of total accounts receivable as of December 31, 2020, respectively.</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Apple, Google, and Stripe, processed 51.6%, 29.3% and 10.3% and 50.9%, 28.8%, and 10.3% of total revenue for the three and six months ended June 30, 2021, respectively. Three service providers, Apple, Google, and Stripe, processed 50.0%, 26.5%, and 10.1% of total revenue for the three months ended June 30, 2020, respectively. Two services providers, Apple and Google, processed 52.1% and 27.6% for the six months ended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 xml:space="preserve">In August 2018, the FASB issued Accounting Standard Update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350-40): Customer’s Accounting for Implementation Costs Incurred in a Cloud Computing Arrangement That is a Service Contract (ASU 2018-15)</w:t>
      </w:r>
      <w:r>
        <w:rPr>
          <w:rFonts w:ascii="Arial" w:cs="Arial" w:eastAsia="Arial" w:hAnsi="Arial"/>
          <w:sz w:val="18"/>
          <w:szCs w:val="18"/>
          <w:color w:val="auto"/>
        </w:rPr>
        <w:t>. ASU 2018-15 aligns the requirements for capitalizing implementation costs incurred in a hosting arrangement that is a</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contract with the requirements for capitalizing implementation costs incurred to develop or obtain internal-use software. The Company adopted this guidance on January 1, 2021 and it did not have a material impact on its unaudited condensed consolidated financial statements and related disclosures upon adoption.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 Not Yet Adopted</w:t>
      </w:r>
    </w:p>
    <w:p>
      <w:pPr>
        <w:spacing w:after="0" w:line="189"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and by clarifying and amending existing guidance in order to improve consistent application of and simplify GAAP for other areas of Topic 740. The guidance will be effective for the Company beginning after December 15, 2021. Early adoption is permitted. The Company is currently evaluating the effect that ASU 2019-12 will have on its unaudited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3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has three predominant sources of revenue;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 recorded net of taxes, assessed by a government authority that are both imposed on and concurrent with specific revenue transactions between us and our users.</w:t>
      </w:r>
    </w:p>
    <w:p>
      <w:pPr>
        <w:spacing w:after="0" w:line="15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Therefore,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54"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1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haven’t been proctored nor expired.</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users have the option to purchase consumable in-app virtual goods. The Company recognizes revenue over the period in which the user consumes the virtual good, which is generally within a month.</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—The Company makes its application available to be downloaded through third-party digital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4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color w:val="auto"/>
        </w:rPr>
        <w:t>Contract Balances</w:t>
      </w:r>
      <w:r>
        <w:rPr>
          <w:rFonts w:ascii="Arial" w:cs="Arial" w:eastAsia="Arial" w:hAnsi="Arial"/>
          <w:sz w:val="18"/>
          <w:szCs w:val="18"/>
          <w:color w:val="auto"/>
        </w:rPr>
        <w:t>—Deferred revenue mostly consists of payments we receive in advance of revenue recognition, and is mostly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time-based subscriptions, which will be recognized into revenue over the course of the upcoming year, which is 12 months or less. Additionally, Duolingo English Test has deferred revenue related to tests that have been purchased, but will not be recognized until the tests have been proctored.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3"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color w:val="auto"/>
        </w:rPr>
        <w:t xml:space="preserve">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disaggregates revenue from contracts with customers into source of revenue, which most closely depicts how the nature, amount, timing and uncertainty of revenue and cash flows are affected by economic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source of revenues: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7"/>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DBDBDB"/>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DBDBDB"/>
            </w:tcBorders>
          </w:tcPr>
          <w:p>
            <w:pPr>
              <w:spacing w:after="0"/>
              <w:rPr>
                <w:sz w:val="15"/>
                <w:szCs w:val="15"/>
                <w:color w:val="auto"/>
              </w:rPr>
            </w:pPr>
          </w:p>
        </w:tc>
        <w:tc>
          <w:tcPr>
            <w:tcW w:w="80" w:type="dxa"/>
            <w:vAlign w:val="bottom"/>
            <w:tcBorders>
              <w:top w:val="single" w:sz="8" w:color="auto"/>
              <w:bottom w:val="single" w:sz="8" w:color="DBDBDB"/>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DBDBDB"/>
            </w:tcBorders>
          </w:tcPr>
          <w:p>
            <w:pPr>
              <w:spacing w:after="0"/>
              <w:rPr>
                <w:sz w:val="15"/>
                <w:szCs w:val="15"/>
                <w:color w:val="auto"/>
              </w:rPr>
            </w:pPr>
          </w:p>
        </w:tc>
        <w:tc>
          <w:tcPr>
            <w:tcW w:w="20" w:type="dxa"/>
            <w:vAlign w:val="bottom"/>
            <w:tcBorders>
              <w:top w:val="single" w:sz="8" w:color="auto"/>
              <w:bottom w:val="single" w:sz="8" w:color="DBDBDB"/>
            </w:tcBorders>
          </w:tcPr>
          <w:p>
            <w:pPr>
              <w:spacing w:after="0"/>
              <w:rPr>
                <w:sz w:val="15"/>
                <w:szCs w:val="15"/>
                <w:color w:val="auto"/>
              </w:rPr>
            </w:pPr>
          </w:p>
        </w:tc>
        <w:tc>
          <w:tcPr>
            <w:tcW w:w="80" w:type="dxa"/>
            <w:vAlign w:val="bottom"/>
            <w:tcBorders>
              <w:top w:val="single" w:sz="8" w:color="auto"/>
              <w:bottom w:val="single" w:sz="8" w:color="DBDBDB"/>
            </w:tcBorders>
          </w:tcPr>
          <w:p>
            <w:pPr>
              <w:spacing w:after="0"/>
              <w:rPr>
                <w:sz w:val="15"/>
                <w:szCs w:val="15"/>
                <w:color w:val="auto"/>
              </w:rPr>
            </w:pPr>
          </w:p>
        </w:tc>
        <w:tc>
          <w:tcPr>
            <w:tcW w:w="2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Over time</w:t>
            </w:r>
          </w:p>
        </w:tc>
        <w:tc>
          <w:tcPr>
            <w:tcW w:w="36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43,502</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28,274</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83,557</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50,445</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Point in time</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30,606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17,678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DBDBDB"/>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gridSpan w:val="2"/>
            <w:shd w:val="clear" w:color="auto" w:fill="DBDBDB"/>
          </w:tcPr>
          <w:p>
            <w:pPr>
              <w:jc w:val="right"/>
              <w:ind w:right="2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58,803</w:t>
            </w: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gridSpan w:val="2"/>
            <w:shd w:val="clear" w:color="auto" w:fill="DBDBDB"/>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40,011</w:t>
            </w: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gridSpan w:val="2"/>
            <w:shd w:val="clear" w:color="auto" w:fill="DBDBDB"/>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114,163</w:t>
            </w:r>
          </w:p>
        </w:tc>
        <w:tc>
          <w:tcPr>
            <w:tcW w:w="2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68,123</w:t>
            </w:r>
          </w:p>
        </w:tc>
        <w:tc>
          <w:tcPr>
            <w:tcW w:w="0" w:type="dxa"/>
            <w:vAlign w:val="bottom"/>
          </w:tcPr>
          <w:p>
            <w:pPr>
              <w:spacing w:after="0"/>
              <w:rPr>
                <w:sz w:val="1"/>
                <w:szCs w:val="1"/>
                <w:color w:val="auto"/>
              </w:rPr>
            </w:pPr>
          </w:p>
        </w:tc>
      </w:tr>
      <w:tr>
        <w:trPr>
          <w:trHeight w:val="20"/>
        </w:trPr>
        <w:tc>
          <w:tcPr>
            <w:tcW w:w="46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Information regarding revenue by stream:</w:t>
            </w:r>
          </w:p>
        </w:tc>
        <w:tc>
          <w:tcPr>
            <w:tcW w:w="2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DBDBDB"/>
            </w:tcBorders>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43,502</w:t>
            </w: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28,274</w:t>
            </w: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83,557</w:t>
            </w:r>
          </w:p>
        </w:tc>
        <w:tc>
          <w:tcPr>
            <w:tcW w:w="2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50,445</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18,331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11,816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Duolingo English Test</w:t>
            </w:r>
          </w:p>
        </w:tc>
        <w:tc>
          <w:tcPr>
            <w:tcW w:w="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4,833</w:t>
            </w: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4,598</w:t>
            </w: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9,868</w:t>
            </w:r>
          </w:p>
        </w:tc>
        <w:tc>
          <w:tcPr>
            <w:tcW w:w="2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Other (1)</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DBDBDB"/>
            </w:tcBorders>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58,803</w:t>
            </w:r>
          </w:p>
        </w:tc>
        <w:tc>
          <w:tcPr>
            <w:tcW w:w="20" w:type="dxa"/>
            <w:vAlign w:val="bottom"/>
            <w:tcBorders>
              <w:bottom w:val="single" w:sz="8" w:color="DBDBDB"/>
            </w:tcBorders>
            <w:shd w:val="clear" w:color="auto" w:fill="DBDBDB"/>
          </w:tcPr>
          <w:p>
            <w:pPr>
              <w:spacing w:after="0"/>
              <w:rPr>
                <w:sz w:val="24"/>
                <w:szCs w:val="24"/>
                <w:color w:val="auto"/>
              </w:rPr>
            </w:pPr>
          </w:p>
        </w:tc>
        <w:tc>
          <w:tcPr>
            <w:tcW w:w="80" w:type="dxa"/>
            <w:vAlign w:val="bottom"/>
            <w:tcBorders>
              <w:bottom w:val="single" w:sz="8" w:color="DBDBDB"/>
            </w:tcBorders>
            <w:shd w:val="clear" w:color="auto" w:fill="DBDBDB"/>
          </w:tcPr>
          <w:p>
            <w:pPr>
              <w:spacing w:after="0"/>
              <w:rPr>
                <w:sz w:val="24"/>
                <w:szCs w:val="24"/>
                <w:color w:val="auto"/>
              </w:rPr>
            </w:pPr>
          </w:p>
        </w:tc>
        <w:tc>
          <w:tcPr>
            <w:tcW w:w="380" w:type="dxa"/>
            <w:vAlign w:val="bottom"/>
            <w:tcBorders>
              <w:bottom w:val="single" w:sz="8" w:color="DBDBDB"/>
            </w:tcBorders>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40,011</w:t>
            </w:r>
          </w:p>
        </w:tc>
        <w:tc>
          <w:tcPr>
            <w:tcW w:w="20" w:type="dxa"/>
            <w:vAlign w:val="bottom"/>
            <w:tcBorders>
              <w:bottom w:val="single" w:sz="8" w:color="DBDBDB"/>
            </w:tcBorders>
            <w:shd w:val="clear" w:color="auto" w:fill="DBDBDB"/>
          </w:tcPr>
          <w:p>
            <w:pPr>
              <w:spacing w:after="0"/>
              <w:rPr>
                <w:sz w:val="24"/>
                <w:szCs w:val="24"/>
                <w:color w:val="auto"/>
              </w:rPr>
            </w:pPr>
          </w:p>
        </w:tc>
        <w:tc>
          <w:tcPr>
            <w:tcW w:w="80" w:type="dxa"/>
            <w:vAlign w:val="bottom"/>
            <w:tcBorders>
              <w:bottom w:val="single" w:sz="8" w:color="DBDBDB"/>
            </w:tcBorders>
            <w:shd w:val="clear" w:color="auto" w:fill="DBDBDB"/>
          </w:tcPr>
          <w:p>
            <w:pPr>
              <w:spacing w:after="0"/>
              <w:rPr>
                <w:sz w:val="24"/>
                <w:szCs w:val="24"/>
                <w:color w:val="auto"/>
              </w:rPr>
            </w:pPr>
          </w:p>
        </w:tc>
        <w:tc>
          <w:tcPr>
            <w:tcW w:w="380" w:type="dxa"/>
            <w:vAlign w:val="bottom"/>
            <w:tcBorders>
              <w:bottom w:val="single" w:sz="8" w:color="DBDBDB"/>
            </w:tcBorders>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114,163</w:t>
            </w:r>
          </w:p>
        </w:tc>
        <w:tc>
          <w:tcPr>
            <w:tcW w:w="20" w:type="dxa"/>
            <w:vAlign w:val="bottom"/>
            <w:tcBorders>
              <w:bottom w:val="single" w:sz="8" w:color="DBDBDB"/>
            </w:tcBorders>
            <w:shd w:val="clear" w:color="auto" w:fill="DBDBDB"/>
          </w:tcPr>
          <w:p>
            <w:pPr>
              <w:spacing w:after="0"/>
              <w:rPr>
                <w:sz w:val="24"/>
                <w:szCs w:val="24"/>
                <w:color w:val="auto"/>
              </w:rPr>
            </w:pPr>
          </w:p>
        </w:tc>
        <w:tc>
          <w:tcPr>
            <w:tcW w:w="20" w:type="dxa"/>
            <w:vAlign w:val="bottom"/>
            <w:tcBorders>
              <w:bottom w:val="single" w:sz="8" w:color="DBDBDB"/>
            </w:tcBorders>
            <w:shd w:val="clear" w:color="auto" w:fill="DBDBDB"/>
          </w:tcPr>
          <w:p>
            <w:pPr>
              <w:spacing w:after="0"/>
              <w:rPr>
                <w:sz w:val="24"/>
                <w:szCs w:val="24"/>
                <w:color w:val="auto"/>
              </w:rPr>
            </w:pPr>
          </w:p>
        </w:tc>
        <w:tc>
          <w:tcPr>
            <w:tcW w:w="80" w:type="dxa"/>
            <w:vAlign w:val="bottom"/>
            <w:tcBorders>
              <w:bottom w:val="single" w:sz="8" w:color="DBDBDB"/>
            </w:tcBorders>
            <w:shd w:val="clear" w:color="auto" w:fill="DBDBDB"/>
          </w:tcPr>
          <w:p>
            <w:pPr>
              <w:spacing w:after="0"/>
              <w:rPr>
                <w:sz w:val="24"/>
                <w:szCs w:val="24"/>
                <w:color w:val="auto"/>
              </w:rPr>
            </w:pPr>
          </w:p>
        </w:tc>
        <w:tc>
          <w:tcPr>
            <w:tcW w:w="20" w:type="dxa"/>
            <w:vAlign w:val="bottom"/>
            <w:tcBorders>
              <w:bottom w:val="single" w:sz="8" w:color="DBDBDB"/>
            </w:tcBorders>
            <w:shd w:val="clear" w:color="auto" w:fill="DBDBDB"/>
          </w:tcPr>
          <w:p>
            <w:pPr>
              <w:spacing w:after="0"/>
              <w:rPr>
                <w:sz w:val="24"/>
                <w:szCs w:val="24"/>
                <w:color w:val="auto"/>
              </w:rPr>
            </w:pPr>
          </w:p>
        </w:tc>
        <w:tc>
          <w:tcPr>
            <w:tcW w:w="3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68,123</w:t>
            </w:r>
          </w:p>
        </w:tc>
        <w:tc>
          <w:tcPr>
            <w:tcW w:w="0" w:type="dxa"/>
            <w:vAlign w:val="bottom"/>
          </w:tcPr>
          <w:p>
            <w:pPr>
              <w:spacing w:after="0"/>
              <w:rPr>
                <w:sz w:val="1"/>
                <w:szCs w:val="1"/>
                <w:color w:val="auto"/>
              </w:rPr>
            </w:pPr>
          </w:p>
        </w:tc>
      </w:tr>
      <w:tr>
        <w:trPr>
          <w:trHeight w:val="20"/>
        </w:trPr>
        <w:tc>
          <w:tcPr>
            <w:tcW w:w="466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4"/>
                <w:szCs w:val="14"/>
                <w:color w:val="auto"/>
              </w:rPr>
              <w:t>________________</w:t>
            </w:r>
          </w:p>
        </w:tc>
        <w:tc>
          <w:tcPr>
            <w:tcW w:w="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020" w:type="dxa"/>
            <w:vAlign w:val="bottom"/>
            <w:gridSpan w:val="3"/>
          </w:tcPr>
          <w:p>
            <w:pPr>
              <w:spacing w:after="0"/>
              <w:rPr>
                <w:sz w:val="20"/>
                <w:szCs w:val="20"/>
                <w:color w:val="auto"/>
              </w:rPr>
            </w:pPr>
            <w:r>
              <w:rPr>
                <w:rFonts w:ascii="Arial" w:cs="Arial" w:eastAsia="Arial" w:hAnsi="Arial"/>
                <w:sz w:val="14"/>
                <w:szCs w:val="14"/>
                <w:color w:val="auto"/>
              </w:rPr>
              <w:t>(1) Other revenue is mainly comprised of in app purchases of virtual goods.</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4660" w:type="dxa"/>
            <w:vAlign w:val="bottom"/>
          </w:tcPr>
          <w:p>
            <w:pPr>
              <w:spacing w:after="0"/>
              <w:rPr>
                <w:sz w:val="20"/>
                <w:szCs w:val="20"/>
                <w:color w:val="auto"/>
              </w:rPr>
            </w:pPr>
            <w:r>
              <w:rPr>
                <w:rFonts w:ascii="Arial" w:cs="Arial" w:eastAsia="Arial" w:hAnsi="Arial"/>
                <w:sz w:val="18"/>
                <w:szCs w:val="18"/>
                <w:color w:val="auto"/>
              </w:rPr>
              <w:t>Changes in deferred revenues were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6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340" w:type="dxa"/>
            <w:vAlign w:val="bottom"/>
            <w:tcBorders>
              <w:bottom w:val="single" w:sz="8" w:color="DBDBDB"/>
            </w:tcBorders>
          </w:tcPr>
          <w:p>
            <w:pPr>
              <w:spacing w:after="0"/>
              <w:rPr>
                <w:sz w:val="15"/>
                <w:szCs w:val="15"/>
                <w:color w:val="auto"/>
              </w:rPr>
            </w:pPr>
          </w:p>
        </w:tc>
        <w:tc>
          <w:tcPr>
            <w:tcW w:w="120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360" w:type="dxa"/>
            <w:vAlign w:val="bottom"/>
            <w:tcBorders>
              <w:bottom w:val="single" w:sz="8" w:color="DBDBDB"/>
            </w:tcBorders>
          </w:tcPr>
          <w:p>
            <w:pPr>
              <w:spacing w:after="0"/>
              <w:rPr>
                <w:sz w:val="15"/>
                <w:szCs w:val="15"/>
                <w:color w:val="auto"/>
              </w:rPr>
            </w:pPr>
          </w:p>
        </w:tc>
        <w:tc>
          <w:tcPr>
            <w:tcW w:w="1180" w:type="dxa"/>
            <w:vAlign w:val="bottom"/>
            <w:tcBorders>
              <w:bottom w:val="single" w:sz="8" w:color="DBDBDB"/>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DBDBDB"/>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4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Amount from beginning balance recognized into revenue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(41,498)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(19,833)</w:t>
            </w:r>
          </w:p>
        </w:tc>
        <w:tc>
          <w:tcPr>
            <w:tcW w:w="0" w:type="dxa"/>
            <w:vAlign w:val="bottom"/>
          </w:tcPr>
          <w:p>
            <w:pPr>
              <w:spacing w:after="0"/>
              <w:rPr>
                <w:sz w:val="1"/>
                <w:szCs w:val="1"/>
                <w:color w:val="auto"/>
              </w:rPr>
            </w:pPr>
          </w:p>
        </w:tc>
      </w:tr>
      <w:tr>
        <w:trPr>
          <w:trHeight w:val="230"/>
        </w:trPr>
        <w:tc>
          <w:tcPr>
            <w:tcW w:w="4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Recognition of deferred revenue</w:t>
            </w:r>
          </w:p>
        </w:tc>
        <w:tc>
          <w:tcPr>
            <w:tcW w:w="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(45,378)</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(30,737)</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103,081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68,897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340" w:type="dxa"/>
            <w:vAlign w:val="bottom"/>
            <w:tcBorders>
              <w:bottom w:val="single" w:sz="8" w:color="DBDBDB"/>
            </w:tcBorders>
          </w:tcPr>
          <w:p>
            <w:pPr>
              <w:spacing w:after="0"/>
              <w:rPr>
                <w:sz w:val="2"/>
                <w:szCs w:val="2"/>
                <w:color w:val="auto"/>
              </w:rPr>
            </w:pPr>
          </w:p>
        </w:tc>
        <w:tc>
          <w:tcPr>
            <w:tcW w:w="120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360" w:type="dxa"/>
            <w:vAlign w:val="bottom"/>
            <w:tcBorders>
              <w:bottom w:val="single" w:sz="8" w:color="DBDBDB"/>
            </w:tcBorders>
          </w:tcPr>
          <w:p>
            <w:pPr>
              <w:spacing w:after="0"/>
              <w:rPr>
                <w:sz w:val="2"/>
                <w:szCs w:val="2"/>
                <w:color w:val="auto"/>
              </w:rPr>
            </w:pPr>
          </w:p>
        </w:tc>
        <w:tc>
          <w:tcPr>
            <w:tcW w:w="118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Ending balance—June 30</w:t>
            </w:r>
          </w:p>
        </w:tc>
        <w:tc>
          <w:tcPr>
            <w:tcW w:w="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gridSpan w:val="2"/>
            <w:shd w:val="clear" w:color="auto" w:fill="DBDBDB"/>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70,997</w:t>
            </w:r>
          </w:p>
        </w:tc>
        <w:tc>
          <w:tcPr>
            <w:tcW w:w="20" w:type="dxa"/>
            <w:vAlign w:val="bottom"/>
            <w:tcBorders>
              <w:bottom w:val="single" w:sz="8" w:color="auto"/>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auto"/>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44,634</w:t>
            </w:r>
          </w:p>
        </w:tc>
        <w:tc>
          <w:tcPr>
            <w:tcW w:w="0" w:type="dxa"/>
            <w:vAlign w:val="bottom"/>
          </w:tcPr>
          <w:p>
            <w:pPr>
              <w:spacing w:after="0"/>
              <w:rPr>
                <w:sz w:val="1"/>
                <w:szCs w:val="1"/>
                <w:color w:val="auto"/>
              </w:rPr>
            </w:pPr>
          </w:p>
        </w:tc>
      </w:tr>
      <w:tr>
        <w:trPr>
          <w:trHeight w:val="20"/>
        </w:trPr>
        <w:tc>
          <w:tcPr>
            <w:tcW w:w="46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as of June 30, 2021 and December 31,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98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9,336</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center"/>
              <w:ind w:left="675"/>
              <w:spacing w:after="0"/>
              <w:rPr>
                <w:sz w:val="20"/>
                <w:szCs w:val="20"/>
                <w:color w:val="auto"/>
              </w:rPr>
            </w:pPr>
            <w:r>
              <w:rPr>
                <w:rFonts w:ascii="Arial" w:cs="Arial" w:eastAsia="Arial" w:hAnsi="Arial"/>
                <w:sz w:val="18"/>
                <w:szCs w:val="18"/>
                <w:color w:val="auto"/>
                <w:w w:val="97"/>
              </w:rPr>
              <w:t>7,536</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Furniture, fixtures and equipment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75"/>
              <w:spacing w:after="0"/>
              <w:rPr>
                <w:sz w:val="20"/>
                <w:szCs w:val="20"/>
                <w:color w:val="auto"/>
              </w:rPr>
            </w:pPr>
            <w:r>
              <w:rPr>
                <w:rFonts w:ascii="Arial" w:cs="Arial" w:eastAsia="Arial" w:hAnsi="Arial"/>
                <w:sz w:val="18"/>
                <w:szCs w:val="18"/>
                <w:color w:val="auto"/>
                <w:w w:val="97"/>
              </w:rPr>
              <w:t>1,959</w:t>
            </w:r>
          </w:p>
        </w:tc>
      </w:tr>
      <w:tr>
        <w:trPr>
          <w:trHeight w:val="223"/>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property and equipment</w:t>
            </w:r>
          </w:p>
        </w:tc>
        <w:tc>
          <w:tcPr>
            <w:tcW w:w="3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11,700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center"/>
              <w:ind w:left="675"/>
              <w:spacing w:after="0"/>
              <w:rPr>
                <w:sz w:val="20"/>
                <w:szCs w:val="20"/>
                <w:color w:val="auto"/>
              </w:rPr>
            </w:pPr>
            <w:r>
              <w:rPr>
                <w:rFonts w:ascii="Arial" w:cs="Arial" w:eastAsia="Arial" w:hAnsi="Arial"/>
                <w:sz w:val="18"/>
                <w:szCs w:val="18"/>
                <w:color w:val="auto"/>
                <w:w w:val="97"/>
              </w:rPr>
              <w:t>9,495</w:t>
            </w:r>
          </w:p>
        </w:tc>
      </w:tr>
      <w:tr>
        <w:trPr>
          <w:trHeight w:val="230"/>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55"/>
              <w:spacing w:after="0"/>
              <w:rPr>
                <w:sz w:val="20"/>
                <w:szCs w:val="20"/>
                <w:color w:val="auto"/>
              </w:rPr>
            </w:pPr>
            <w:r>
              <w:rPr>
                <w:rFonts w:ascii="Arial" w:cs="Arial" w:eastAsia="Arial" w:hAnsi="Arial"/>
                <w:sz w:val="18"/>
                <w:szCs w:val="18"/>
                <w:color w:val="auto"/>
              </w:rPr>
              <w:t>(3,067)</w:t>
            </w:r>
          </w:p>
        </w:tc>
      </w:tr>
      <w:tr>
        <w:trPr>
          <w:trHeight w:val="248"/>
        </w:trPr>
        <w:tc>
          <w:tcPr>
            <w:tcW w:w="79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property and equipment, net</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center"/>
              <w:ind w:left="675"/>
              <w:spacing w:after="0"/>
              <w:rPr>
                <w:sz w:val="20"/>
                <w:szCs w:val="20"/>
                <w:color w:val="auto"/>
              </w:rPr>
            </w:pPr>
            <w:r>
              <w:rPr>
                <w:rFonts w:ascii="Arial" w:cs="Arial" w:eastAsia="Arial" w:hAnsi="Arial"/>
                <w:sz w:val="18"/>
                <w:szCs w:val="18"/>
                <w:color w:val="auto"/>
                <w:w w:val="97"/>
              </w:rPr>
              <w:t>6,428</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Depreciation expense was $488 and $940 for the three and six months ended June 30, 2021 and $378 and $720 for the three and six months ended June 30, 2020, respectively, and is predominately included within General and administrative, with nominal amounts in Cost of revenues, Research and development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Sales and marketing in the Company’s consolidated statement of operations and comprehensive loss.</w:t>
      </w:r>
    </w:p>
    <w:p>
      <w:pPr>
        <w:spacing w:after="0" w:line="14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CAPITALIZED SOFTWARE, net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consists of the following as of June 30, 2021 and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98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center"/>
              <w:ind w:left="577"/>
              <w:spacing w:after="0"/>
              <w:rPr>
                <w:sz w:val="20"/>
                <w:szCs w:val="20"/>
                <w:color w:val="auto"/>
              </w:rPr>
            </w:pPr>
            <w:r>
              <w:rPr>
                <w:rFonts w:ascii="Arial" w:cs="Arial" w:eastAsia="Arial" w:hAnsi="Arial"/>
                <w:sz w:val="18"/>
                <w:szCs w:val="18"/>
                <w:color w:val="auto"/>
                <w:w w:val="97"/>
              </w:rPr>
              <w:t>9,912</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center"/>
              <w:ind w:left="677"/>
              <w:spacing w:after="0"/>
              <w:rPr>
                <w:sz w:val="20"/>
                <w:szCs w:val="20"/>
                <w:color w:val="auto"/>
              </w:rPr>
            </w:pPr>
            <w:r>
              <w:rPr>
                <w:rFonts w:ascii="Arial" w:cs="Arial" w:eastAsia="Arial" w:hAnsi="Arial"/>
                <w:sz w:val="18"/>
                <w:szCs w:val="18"/>
                <w:color w:val="auto"/>
                <w:w w:val="97"/>
              </w:rPr>
              <w:t>8,181</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57"/>
              <w:spacing w:after="0"/>
              <w:rPr>
                <w:sz w:val="20"/>
                <w:szCs w:val="20"/>
                <w:color w:val="auto"/>
              </w:rPr>
            </w:pPr>
            <w:r>
              <w:rPr>
                <w:rFonts w:ascii="Arial" w:cs="Arial" w:eastAsia="Arial" w:hAnsi="Arial"/>
                <w:sz w:val="18"/>
                <w:szCs w:val="18"/>
                <w:color w:val="auto"/>
              </w:rPr>
              <w:t>(6,181)</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57"/>
              <w:spacing w:after="0"/>
              <w:rPr>
                <w:sz w:val="20"/>
                <w:szCs w:val="20"/>
                <w:color w:val="auto"/>
              </w:rPr>
            </w:pPr>
            <w:r>
              <w:rPr>
                <w:rFonts w:ascii="Arial" w:cs="Arial" w:eastAsia="Arial" w:hAnsi="Arial"/>
                <w:sz w:val="18"/>
                <w:szCs w:val="18"/>
                <w:color w:val="auto"/>
              </w:rPr>
              <w:t>(5,885)</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center"/>
              <w:ind w:left="577"/>
              <w:spacing w:after="0"/>
              <w:rPr>
                <w:sz w:val="20"/>
                <w:szCs w:val="20"/>
                <w:color w:val="auto"/>
              </w:rPr>
            </w:pPr>
            <w:r>
              <w:rPr>
                <w:rFonts w:ascii="Arial" w:cs="Arial" w:eastAsia="Arial" w:hAnsi="Arial"/>
                <w:sz w:val="18"/>
                <w:szCs w:val="18"/>
                <w:color w:val="auto"/>
                <w:w w:val="97"/>
              </w:rPr>
              <w:t>3,731</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center"/>
              <w:ind w:left="677"/>
              <w:spacing w:after="0"/>
              <w:rPr>
                <w:sz w:val="20"/>
                <w:szCs w:val="20"/>
                <w:color w:val="auto"/>
              </w:rPr>
            </w:pPr>
            <w:r>
              <w:rPr>
                <w:rFonts w:ascii="Arial" w:cs="Arial" w:eastAsia="Arial" w:hAnsi="Arial"/>
                <w:sz w:val="18"/>
                <w:szCs w:val="18"/>
                <w:color w:val="auto"/>
                <w:w w:val="97"/>
              </w:rPr>
              <w:t>2,296</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Amortization expense of $148 and $296 for the three and six months ended June 30, 2021, and $243 and $302 for the three and six months ended June 30, 2020 is recorded in the Company’s consolidated statement of operations, respectively.</w:t>
      </w:r>
    </w:p>
    <w:p>
      <w:pPr>
        <w:spacing w:after="0" w:line="14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Amortization expense is included within the following financial statement line items within the Company’s consolidated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r>
      <w:tr>
        <w:trPr>
          <w:trHeight w:val="183"/>
        </w:trPr>
        <w:tc>
          <w:tcPr>
            <w:tcW w:w="4660" w:type="dxa"/>
            <w:vAlign w:val="bottom"/>
            <w:tcBorders>
              <w:bottom w:val="single" w:sz="8" w:color="DBDBDB"/>
            </w:tcBorders>
          </w:tcPr>
          <w:p>
            <w:pPr>
              <w:spacing w:after="0"/>
              <w:rPr>
                <w:sz w:val="15"/>
                <w:szCs w:val="15"/>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223"/>
        </w:trPr>
        <w:tc>
          <w:tcPr>
            <w:tcW w:w="4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w:t>
            </w:r>
          </w:p>
        </w:tc>
        <w:tc>
          <w:tcPr>
            <w:tcW w:w="1080" w:type="dxa"/>
            <w:vAlign w:val="bottom"/>
            <w:shd w:val="clear" w:color="auto" w:fill="DBDBDB"/>
          </w:tcPr>
          <w:p>
            <w:pPr>
              <w:jc w:val="right"/>
              <w:ind w:right="879"/>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859"/>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4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48"/>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DBDBDB"/>
          </w:tcPr>
          <w:p>
            <w:pPr>
              <w:jc w:val="right"/>
              <w:ind w:right="8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466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No assets were impaired during the three and six months ended June 30, 2021 and 2020.</w:t>
      </w:r>
    </w:p>
    <w:p>
      <w:pPr>
        <w:spacing w:after="0" w:line="11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income tax provision for interim periods is comprised of tax on ordinary income (loss) provided at the most recent projected annual effective tax rate (“PAETR”), adjusted for the tax effect of discrete items. Management estimates the PAETR each quarter based on the forecasted annual pretax income or (loss). The Company is required to reduce deferred tax assets by a valuation allowance if, based on all available evidence, it is considered more likely than not that some portion or all of the benefit of the deferred tax assets will not be realized in future periods. The Company also records the income tax impact of certain discrete, unusual or infrequently occurring items including changes in judgment about valuation allowances and effects of changes in tax laws or rates, in the interim period in which they occur.</w:t>
      </w:r>
    </w:p>
    <w:p>
      <w:pPr>
        <w:spacing w:after="0" w:line="1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actual year-to-date income tax expense (benefit) is the product of the most current PAETR and the actual year-to-date pretax income (loss) adjusted for any discrete tax items. Items unrelated to current period ordinary income or (loss) are recognized entirely in the period identified as a discrete item of tax. The income tax expense (benefit) for a particular quarter, except for the first quarter, is the difference between the year-to-date calculation of income tax expense (benefit) and the year-to-date calculation for the prior quarter. Items unrelated to current period ordinary income or (loss) are recognized entirely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period identified as a discrete item of tax. The inclusion of discrete items in a particular quarter can cause the actual effective rate for that quarter to vary significantly from the PAETR.</w:t>
      </w:r>
    </w:p>
    <w:p>
      <w:pPr>
        <w:spacing w:after="0" w:line="14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Therefore, the actual effective income tax rate for a particular quarter can vary significantly based upon the jurisdictional mix and timing of actual earnings compared to projected annual earnings, permanent items, earnings for those jurisdictions that maintain a valuation allowance, tax associated with jurisdictions excluded from the PAETR calculation and discrete items.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Effective Tax Rate</w:t>
      </w:r>
    </w:p>
    <w:p>
      <w:pPr>
        <w:spacing w:after="0" w:line="207"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The PAETR, which excludes the impact of discrete items, was (0.6)% and 21.6% as of the three months ended June 30, 2021 and 2020, respectively. The PAETR for the six months ended June 30, 2021 and 2020, was (0.1)% and (1.0)%, respectively. The PAETR was lower than the US federal statutory rate of 21.0% primarily due to the impact of maintaining a US valuation allowance provided on US deferred tax assets.</w:t>
      </w:r>
    </w:p>
    <w:p>
      <w:pPr>
        <w:spacing w:after="0" w:line="15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 continues to maintain a full valuation allowance on U.S. federal and state net deferred tax assets (excluding the tax effects of deferred tax liabilities associated with indefinite lived intangibles) for the period ending June 30, 2021 as a result of pretax losses incurred since the Company’s inception in early 2012. The Company is projecting pre-tax loss in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Prior Period Tax Expense</w:t>
      </w:r>
    </w:p>
    <w:p>
      <w:pPr>
        <w:spacing w:after="0" w:line="2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and six months ended June 30, 2021, the Company recognized income tax expense of $1 and $18 on pretax loss of $175 and $13,630, respectively.</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three and six months ended June 30, 2020, the Company recognized income tax expense of $11 and $22 on pretax income of $51 and loss of $2,171, respectively.</w:t>
      </w:r>
    </w:p>
    <w:p>
      <w:pPr>
        <w:spacing w:after="0" w:line="108"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is comprised of the following as of June 30, 2021 and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60" w:type="dxa"/>
            <w:vAlign w:val="bottom"/>
          </w:tcPr>
          <w:p>
            <w:pPr>
              <w:spacing w:after="0"/>
              <w:rPr>
                <w:sz w:val="16"/>
                <w:szCs w:val="16"/>
                <w:color w:val="auto"/>
              </w:rPr>
            </w:pPr>
          </w:p>
        </w:tc>
        <w:tc>
          <w:tcPr>
            <w:tcW w:w="15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8"/>
              </w:rPr>
              <w:t>Shares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Per share price</w:t>
            </w:r>
          </w:p>
        </w:tc>
        <w:tc>
          <w:tcPr>
            <w:tcW w:w="2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2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Authorized</w:t>
            </w: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liquidation</w:t>
            </w:r>
          </w:p>
        </w:tc>
        <w:tc>
          <w:tcPr>
            <w:tcW w:w="12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Funds received</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Fees incurred</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33"/>
              <w:spacing w:after="0" w:line="135" w:lineRule="exact"/>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6"/>
        </w:trPr>
        <w:tc>
          <w:tcPr>
            <w:tcW w:w="1760" w:type="dxa"/>
            <w:vAlign w:val="bottom"/>
            <w:tcBorders>
              <w:bottom w:val="single" w:sz="8" w:color="DBDBDB"/>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at issuance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DBDBDB"/>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23"/>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B</w:t>
            </w:r>
          </w:p>
        </w:tc>
        <w:tc>
          <w:tcPr>
            <w:tcW w:w="126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29"/>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D</w:t>
            </w:r>
          </w:p>
        </w:tc>
        <w:tc>
          <w:tcPr>
            <w:tcW w:w="126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30"/>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F</w:t>
            </w:r>
          </w:p>
        </w:tc>
        <w:tc>
          <w:tcPr>
            <w:tcW w:w="126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29"/>
        </w:trPr>
        <w:tc>
          <w:tcPr>
            <w:tcW w:w="1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17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H</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34,947</w:t>
            </w:r>
          </w:p>
        </w:tc>
        <w:tc>
          <w:tcPr>
            <w:tcW w:w="0" w:type="dxa"/>
            <w:vAlign w:val="bottom"/>
          </w:tcPr>
          <w:p>
            <w:pPr>
              <w:spacing w:after="0"/>
              <w:rPr>
                <w:sz w:val="1"/>
                <w:szCs w:val="1"/>
                <w:color w:val="auto"/>
              </w:rPr>
            </w:pPr>
          </w:p>
        </w:tc>
      </w:tr>
      <w:tr>
        <w:trPr>
          <w:trHeight w:val="248"/>
        </w:trPr>
        <w:tc>
          <w:tcPr>
            <w:tcW w:w="1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08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0" w:type="dxa"/>
            <w:vAlign w:val="bottom"/>
          </w:tcPr>
          <w:p>
            <w:pPr>
              <w:spacing w:after="0"/>
              <w:rPr>
                <w:sz w:val="1"/>
                <w:szCs w:val="1"/>
                <w:color w:val="auto"/>
              </w:rPr>
            </w:pPr>
          </w:p>
        </w:tc>
      </w:tr>
      <w:tr>
        <w:trPr>
          <w:trHeight w:val="20"/>
        </w:trPr>
        <w:tc>
          <w:tcPr>
            <w:tcW w:w="176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Each share of convertible preferred stock has a liquidation preference over common stock equal to the original issue price of the preferred stock plus any declared but unpaid dividends. No single class of preferred stock has liquidation preference that is senior in payment to other classes of preferred stock. The preferred stock does not accumulate undeclared and unpaid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7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Each share of convertible preferred stock is convertible into shares of common stock at the option of the stockholder based upon a conversion rate that is 1:1 and may be adjusted under certain circumstances as defined in the Company’s Amended and Restated Certificate of Incorporation. If the Company consummates a public offering from which the Company receives gross proceeds of at least $50,000, the conversion becomes mandatory for the convertible preferred stockholders. Also, the conversion becomes mandatory for a preferred stock class, if the holders of at least 65% of the then outstanding shares of preferred stock elect to convert. The Company has reserved an equal number of shares of common stock for the potential conversion of each series of convertible preferred stock. The convertible preferred stockholders have voting rights equal to common stockholders. The preferred stockholders are entitled to the number of votes equal to the number of shares of common stock into which the preferred shares could be converted.</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classes of convertible preferred stock are being classified as outside of stockholders’ deficit as the preferred stock has redemption features that are outside of the Company’s control upon certain triggering events, such as a “Deemed Liquidation Event.” In the case of a Deemed Liquidation Event, the holders of Preferred Stock are entitled to be paid out of the assets of the Company, prior and in preference to any distribution to the holders of the common stock. Because the Company’s common stockholders do not control the Company’s Board of Directors, a potential Deemed Liquidation Event is considered to be outside of the control of the Company, resulting in classification outside of stockholders’ deficit.</w:t>
      </w:r>
    </w:p>
    <w:p>
      <w:pPr>
        <w:spacing w:after="0" w:line="117"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7"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The Company has a stock incentive plan whereby the Board of Directors may grant stock options or restricted stock units to employees, directors and consultants to purchase shares of the Company’s common stock under the 2011 Equity Incentive Plan (Plan). The Company has authorized 10,113 common shares to be issued under the Plan. The Plan permits the granting of incentive stock options and nonqualified stock options. The Company’s stock options vest based on terms in the stock option agreements and generally vest over four years and have a term of ten years subject to the continuous service to the Company by the optionee. Incentive stock options may be granted at an exercise price of not less than 100% of the estimated fair value of the stock at the date of the grant as determined by the Company’s Board of Directors. If incentive stock options are granted to a stockholder who owns more than 10% of the voting power of all classes of stock of the Company, the exercise price of the incentive stock options must be at least 110% of the estimated fair value of the common stock at the date of the grant.</w:t>
      </w:r>
    </w:p>
    <w:p>
      <w:pPr>
        <w:spacing w:after="0" w:line="155"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In November of 2020, the Board approved the amended and restated Plan, which provides for, among other things, the ability of the Company to grant restricted stock units (RSUs). Each RSU award vests based upon the satisfaction, during the term of the RSUs, of two requirements: length of service and a liquidity event defined as a change in control or a qualified IPO. No compensation expense has been included for RSUs as the vesting conditions are not probable.</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June of 2021, the Company granted 1,800 performance-based RSUs to the Company’s founders (the Founder Awards). The Founder Awards vest upon the satisfaction of both a service-based condition and a performance-based condition and generally are settled 1 year after vesting. The service-based condition is satisfied as to 25% of the Founder Awards on each anniversary of the completion of the IPO, subject to the continuous service of the founders through the applicable date. The performance-based condition will be satisfied only if the closing price of the Company’s Class A common stock reaches certain stock-price hurdles that are significantly in excess of the Company’s current valuation over a period of 10 years. The Founder Awards are divided into ten equal tranches with each tranche becoming eligible to vest upon achievement of the specified stock-price hurdles. The estimated amount of unrecognized compensation expense for the Founder Awards as of June 30, 2021 was approximately $100,543, which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expects to recognize over a period of 1 year to 7 years, depending upon the achievement of the stock-price hurdles. No compensation expense was recorded as of June 30, 2021 as the performance-based vesting conditions were deemed not probable.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as of June 30, 2021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5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exercise</w:t>
            </w: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60" w:type="dxa"/>
            <w:vAlign w:val="bottom"/>
            <w:tcBorders>
              <w:bottom w:val="single" w:sz="8" w:color="DBDBDB"/>
            </w:tcBorders>
          </w:tcPr>
          <w:p>
            <w:pPr>
              <w:spacing w:after="0"/>
              <w:rPr>
                <w:sz w:val="15"/>
                <w:szCs w:val="15"/>
                <w:color w:val="auto"/>
              </w:rPr>
            </w:pPr>
          </w:p>
        </w:tc>
        <w:tc>
          <w:tcPr>
            <w:tcW w:w="15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options</w:t>
            </w:r>
          </w:p>
        </w:tc>
        <w:tc>
          <w:tcPr>
            <w:tcW w:w="14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outstanding at January 1, 2021</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8,365</w:t>
            </w:r>
          </w:p>
        </w:tc>
        <w:tc>
          <w:tcPr>
            <w:tcW w:w="4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230,596</w:t>
            </w: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Repurchased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Options outstanding at June 30, 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596,343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DBDBDB"/>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exercisable at June 30, 2021</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4,431</w:t>
            </w:r>
          </w:p>
        </w:tc>
        <w:tc>
          <w:tcPr>
            <w:tcW w:w="4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363,687</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total intrinsic value of options exercised was approximately $17,970 for the period ending June 30, 2021. There were 114 options available for grant at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the six months ended June 30, 2021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18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99"/>
              </w:rPr>
              <w:t>Share units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76"/>
        </w:trPr>
        <w:tc>
          <w:tcPr>
            <w:tcW w:w="8000" w:type="dxa"/>
            <w:vAlign w:val="bottom"/>
            <w:tcBorders>
              <w:bottom w:val="single" w:sz="8" w:color="DBDBDB"/>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Outstanding at January 1, 2021</w:t>
            </w:r>
          </w:p>
        </w:tc>
        <w:tc>
          <w:tcPr>
            <w:tcW w:w="1180" w:type="dxa"/>
            <w:vAlign w:val="bottom"/>
            <w:shd w:val="clear" w:color="auto" w:fill="DBDBDB"/>
          </w:tcPr>
          <w:p>
            <w:pPr>
              <w:spacing w:after="0"/>
              <w:rPr>
                <w:sz w:val="19"/>
                <w:szCs w:val="19"/>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30"/>
        </w:trPr>
        <w:tc>
          <w:tcPr>
            <w:tcW w:w="91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561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29"/>
        </w:trPr>
        <w:tc>
          <w:tcPr>
            <w:tcW w:w="918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4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18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at June 30, 2021</w:t>
            </w:r>
          </w:p>
        </w:tc>
        <w:tc>
          <w:tcPr>
            <w:tcW w:w="1180" w:type="dxa"/>
            <w:vAlign w:val="bottom"/>
            <w:tcBorders>
              <w:top w:val="single" w:sz="8" w:color="auto"/>
              <w:bottom w:val="single" w:sz="8" w:color="auto"/>
            </w:tcBorders>
            <w:shd w:val="clear" w:color="auto" w:fill="DBDBDB"/>
          </w:tcPr>
          <w:p>
            <w:pPr>
              <w:spacing w:after="0"/>
              <w:rPr>
                <w:sz w:val="21"/>
                <w:szCs w:val="21"/>
                <w:color w:val="auto"/>
              </w:rPr>
            </w:pPr>
          </w:p>
        </w:tc>
        <w:tc>
          <w:tcPr>
            <w:tcW w:w="3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3"/>
              </w:rPr>
              <w:t>595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As of June 30, 2021, there was approximately $23,972 of unrecognized compensation cost related to stock options granted under the plan. That cost is expected to be recognized over a weighted-average period of approximately two years. The amount of unrecognized compensation expense for RSUs as of June 30, 2021 was $30,783 with a weighted average remaining contractual life of four years, for a total unrecognized compensation expense of $54,755.</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February of 2021, the Company initiated a tender offer which allowed employees to sell up to 10% of their vested options or shares back to the Company at selling price of $59.77, which was above fair market value of $38.08. The Company paid $13,479 and incurred $5,275 of additional compensation expense related to this tender representing the difference between the aggregate selling price and fair market value of the options and shares sold, and a $7,335 increase to Additional paid-in capital. As a result of this tender, 220 options were put back into the option pool and 23 shares were retired with an $868 increase to Additional paid in capital.</w:t>
      </w:r>
    </w:p>
    <w:p>
      <w:pPr>
        <w:spacing w:after="0" w:line="154" w:lineRule="exact"/>
        <w:rPr>
          <w:sz w:val="20"/>
          <w:szCs w:val="20"/>
          <w:color w:val="auto"/>
        </w:rPr>
      </w:pPr>
    </w:p>
    <w:p>
      <w:pPr>
        <w:jc w:val="both"/>
        <w:ind w:right="460"/>
        <w:spacing w:after="0" w:line="271" w:lineRule="auto"/>
        <w:rPr>
          <w:sz w:val="20"/>
          <w:szCs w:val="20"/>
          <w:color w:val="auto"/>
        </w:rPr>
      </w:pPr>
      <w:r>
        <w:rPr>
          <w:rFonts w:ascii="Arial" w:cs="Arial" w:eastAsia="Arial" w:hAnsi="Arial"/>
          <w:sz w:val="18"/>
          <w:szCs w:val="18"/>
          <w:color w:val="auto"/>
        </w:rPr>
        <w:t>Compensation expense is recognized over the service period, which approximates the vesting period. Total compensation expense was $2,907 and $5,458 for the three and six months ended June 30, 2021, respectively and $1,681 and $2,835 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expense is included in the consolidated statements of operations as shown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Borders>
              <w:bottom w:val="single" w:sz="8" w:color="DBDBDB"/>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DBDBDB"/>
          </w:tcPr>
          <w:p>
            <w:pPr>
              <w:jc w:val="right"/>
              <w:ind w:right="779"/>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ind w:right="796"/>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DBDBDB"/>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r>
      <w:tr>
        <w:trPr>
          <w:trHeight w:val="248"/>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DBDBDB"/>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5,458</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2,835</w:t>
            </w:r>
          </w:p>
        </w:tc>
      </w:tr>
      <w:tr>
        <w:trPr>
          <w:trHeight w:val="20"/>
        </w:trPr>
        <w:tc>
          <w:tcPr>
            <w:tcW w:w="470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Nominal amounts of stock based compensation expense is capitalized into capitalized software.</w:t>
      </w:r>
    </w:p>
    <w:p>
      <w:pPr>
        <w:spacing w:after="0" w:line="149"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right="560"/>
        <w:spacing w:after="0" w:line="303"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 From time to time, the Company may become involved in various legal proceedings in the ordinary course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may be subject to third-party infringement claims.</w:t>
      </w:r>
    </w:p>
    <w:p>
      <w:pPr>
        <w:spacing w:after="0" w:line="98"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color w:val="auto"/>
        </w:rPr>
        <w:t>Sales and use and value-added tax (VAT)</w:t>
      </w:r>
      <w:r>
        <w:rPr>
          <w:rFonts w:ascii="Arial" w:cs="Arial" w:eastAsia="Arial" w:hAnsi="Arial"/>
          <w:sz w:val="18"/>
          <w:szCs w:val="18"/>
          <w:color w:val="auto"/>
        </w:rPr>
        <w:t>— The Company determined that it was required to pay sales and use and VAT taxes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The Company is in the process of filing voluntary disclosure agreements with certain jurisdictions and remitting the estimated taxes. If these jurisdictions determine that additional amounts are necessary, the Company will be required to pay accordingly.</w:t>
      </w:r>
    </w:p>
    <w:p>
      <w:pPr>
        <w:spacing w:after="0" w:line="116"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color w:val="auto"/>
        </w:rPr>
        <w:t>- The Company has determined that there were no transactions with related parties as of or during the three and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2021 and 2020.</w:t>
      </w:r>
    </w:p>
    <w:p>
      <w:pPr>
        <w:spacing w:after="0" w:line="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ACCRUED EXPENSES AND OTHER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98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VAT tax accrual</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related accruals</w:t>
            </w:r>
          </w:p>
        </w:tc>
        <w:tc>
          <w:tcPr>
            <w:tcW w:w="3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Employee related benefits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Obligations under current leases</w:t>
            </w:r>
          </w:p>
        </w:tc>
        <w:tc>
          <w:tcPr>
            <w:tcW w:w="3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Contributor awards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sponsors a profit sharing plan with a 401(k) feature, the Duolingo Retirement Plan, (the “Plan”) for eligible employees. The current Plan, effective January 1, 2021, provides for Company safe harbor matching contributions of 100% of the first 4% of the employees’ elective deferrals and 50% of the next 2%, with vesting starting upon the first day of employment. The prior year Plan provided for Company safe harbor matching contributions of 100% of the first 3% of the employees’ elective deferrals and 50% of the next 2%, with vesting starting upon the first day of employment. The Company also has the option to make discretionary matching or profit sharing contributions. The Company made safe harbor matching contributions of approximately $781 and $1,483 for the three and six months ended June 30, 2021, respectively and $472 and $813 for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discretionary matching or profit sharing contributions during the six months ended June 30, 2021 or 2020.</w:t>
      </w:r>
    </w:p>
    <w:p>
      <w:pPr>
        <w:spacing w:after="0" w:line="14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The Company considers all series of the convertible preferred stock to be participating securities. 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computed by dividing the net loss by the weighted-average number of shares of common stock outstanding during the period, less shares subject to repurchase. The diluted net loss per share attributable to common stockholders is computed by giving effect to all potential dilutive common stock equivalents outstanding for the period.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uses the more dilutive method of calculating the diluted income per share by applying the more dilutive of either (a) the treasury stock method, if-converted method, or (b) the two-class method in its diluted income (loss) per common share calculation. Potentially dilutive shares are determined by applying the treasury stock method to the assumed exercise of outstanding stock options and the assumed vesting of restricted stock. Potentially dilutive shares issuable upon conversion of the Convertible preferred stock are calculated using the if-converted method.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0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(13,648)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(2,193)</w:t>
            </w:r>
          </w:p>
        </w:tc>
      </w:tr>
      <w:tr>
        <w:trPr>
          <w:trHeight w:val="229"/>
        </w:trPr>
        <w:tc>
          <w:tcPr>
            <w:tcW w:w="4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Less: allocation to preferred stockholders</w:t>
            </w:r>
          </w:p>
        </w:tc>
        <w:tc>
          <w:tcPr>
            <w:tcW w:w="340" w:type="dxa"/>
            <w:vAlign w:val="bottom"/>
            <w:shd w:val="clear" w:color="auto" w:fill="DBDBDB"/>
          </w:tcPr>
          <w:p>
            <w:pPr>
              <w:spacing w:after="0"/>
              <w:rPr>
                <w:sz w:val="19"/>
                <w:szCs w:val="19"/>
                <w:color w:val="auto"/>
              </w:rPr>
            </w:pPr>
          </w:p>
        </w:tc>
        <w:tc>
          <w:tcPr>
            <w:tcW w:w="13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(loss) income allocated to common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(2,193)</w:t>
            </w:r>
          </w:p>
        </w:tc>
      </w:tr>
      <w:tr>
        <w:trPr>
          <w:trHeight w:val="20"/>
        </w:trPr>
        <w:tc>
          <w:tcPr>
            <w:tcW w:w="47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4700" w:type="dxa"/>
            <w:vAlign w:val="bottom"/>
            <w:shd w:val="clear" w:color="auto" w:fill="DBDBDB"/>
          </w:tcPr>
          <w:p>
            <w:pPr>
              <w:ind w:left="2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r>
      <w:tr>
        <w:trPr>
          <w:trHeight w:val="188"/>
        </w:trPr>
        <w:tc>
          <w:tcPr>
            <w:tcW w:w="4700" w:type="dxa"/>
            <w:vAlign w:val="bottom"/>
          </w:tcPr>
          <w:p>
            <w:pPr>
              <w:ind w:left="20"/>
              <w:spacing w:after="0" w:line="189" w:lineRule="exact"/>
              <w:rPr>
                <w:sz w:val="20"/>
                <w:szCs w:val="20"/>
                <w:color w:val="auto"/>
              </w:rPr>
            </w:pPr>
            <w:r>
              <w:rPr>
                <w:rFonts w:ascii="Arial" w:cs="Arial" w:eastAsia="Arial" w:hAnsi="Arial"/>
                <w:sz w:val="18"/>
                <w:szCs w:val="18"/>
                <w:color w:val="auto"/>
              </w:rPr>
              <w:t>Denominator for basic net income per common share -</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470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weighted-average shares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13,172</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12,439</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13,045</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12,441</w:t>
            </w:r>
          </w:p>
        </w:tc>
      </w:tr>
      <w:tr>
        <w:trPr>
          <w:trHeight w:val="21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 of dilutive securities</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Convertible preferred stock</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DBDBDB"/>
          </w:tcPr>
          <w:p>
            <w:pPr>
              <w:spacing w:after="0"/>
              <w:rPr>
                <w:sz w:val="19"/>
                <w:szCs w:val="19"/>
                <w:color w:val="auto"/>
              </w:rPr>
            </w:pPr>
          </w:p>
        </w:tc>
        <w:tc>
          <w:tcPr>
            <w:tcW w:w="13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168"/>
        </w:trPr>
        <w:tc>
          <w:tcPr>
            <w:tcW w:w="4700" w:type="dxa"/>
            <w:vAlign w:val="bottom"/>
          </w:tcPr>
          <w:p>
            <w:pPr>
              <w:ind w:left="20"/>
              <w:spacing w:after="0" w:line="168" w:lineRule="exact"/>
              <w:rPr>
                <w:sz w:val="20"/>
                <w:szCs w:val="20"/>
                <w:color w:val="auto"/>
              </w:rPr>
            </w:pPr>
            <w:r>
              <w:rPr>
                <w:rFonts w:ascii="Arial" w:cs="Arial" w:eastAsia="Arial" w:hAnsi="Arial"/>
                <w:sz w:val="18"/>
                <w:szCs w:val="18"/>
                <w:color w:val="auto"/>
              </w:rPr>
              <w:t>Denominator for dilutive net income per common share -</w:t>
            </w: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17"/>
        </w:trPr>
        <w:tc>
          <w:tcPr>
            <w:tcW w:w="470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weighted-average shares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13,172</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16,203</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13,045</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12,441</w:t>
            </w:r>
          </w:p>
        </w:tc>
      </w:tr>
      <w:tr>
        <w:trPr>
          <w:trHeight w:val="243"/>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Basic loss per common share</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(0.18)</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4"/>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Diluted loss per common share</w:t>
            </w: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(0.18)</w:t>
            </w:r>
          </w:p>
        </w:tc>
      </w:tr>
      <w:tr>
        <w:trPr>
          <w:trHeight w:val="20"/>
        </w:trPr>
        <w:tc>
          <w:tcPr>
            <w:tcW w:w="4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Since the Company was in a net loss position for the three and six months ended June 30, 2021 and the six months ended June 30, 2020, there is no difference between the number of shares used to calculate basic and diluted loss per share. The potential shares of common stock that were excluded from the computation of diluted net loss per share attributable to common stockholders for the period presented because including them would have been antidilutive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3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322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DBDBDB"/>
          </w:tcPr>
          <w:p>
            <w:pPr>
              <w:spacing w:after="0"/>
              <w:rPr>
                <w:sz w:val="19"/>
                <w:szCs w:val="19"/>
                <w:color w:val="auto"/>
              </w:rPr>
            </w:pPr>
          </w:p>
        </w:tc>
        <w:tc>
          <w:tcPr>
            <w:tcW w:w="16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18,488</w:t>
            </w:r>
          </w:p>
        </w:tc>
      </w:tr>
      <w:tr>
        <w:trPr>
          <w:trHeight w:val="229"/>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w:t>
            </w:r>
          </w:p>
        </w:tc>
      </w:tr>
      <w:tr>
        <w:trPr>
          <w:trHeight w:val="24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23,505</w:t>
            </w:r>
          </w:p>
        </w:tc>
        <w:tc>
          <w:tcPr>
            <w:tcW w:w="100" w:type="dxa"/>
            <w:vAlign w:val="bottom"/>
            <w:shd w:val="clear" w:color="auto" w:fill="DBDBDB"/>
          </w:tcPr>
          <w:p>
            <w:pPr>
              <w:spacing w:after="0"/>
              <w:rPr>
                <w:sz w:val="21"/>
                <w:szCs w:val="21"/>
                <w:color w:val="auto"/>
              </w:rPr>
            </w:pPr>
          </w:p>
        </w:tc>
        <w:tc>
          <w:tcPr>
            <w:tcW w:w="16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23,505</w:t>
            </w:r>
          </w:p>
        </w:tc>
        <w:tc>
          <w:tcPr>
            <w:tcW w:w="100" w:type="dxa"/>
            <w:vAlign w:val="bottom"/>
            <w:shd w:val="clear" w:color="auto" w:fill="DBDBDB"/>
          </w:tcPr>
          <w:p>
            <w:pPr>
              <w:spacing w:after="0"/>
              <w:rPr>
                <w:sz w:val="21"/>
                <w:szCs w:val="21"/>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22,252</w:t>
            </w:r>
          </w:p>
        </w:tc>
      </w:tr>
      <w:tr>
        <w:trPr>
          <w:trHeight w:val="20"/>
        </w:trPr>
        <w:tc>
          <w:tcPr>
            <w:tcW w:w="47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47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Dilutive shares under the as-converted method(1)</w:t>
            </w:r>
          </w:p>
        </w:tc>
        <w:tc>
          <w:tcPr>
            <w:tcW w:w="16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18,488</w:t>
            </w:r>
          </w:p>
        </w:tc>
        <w:tc>
          <w:tcPr>
            <w:tcW w:w="100" w:type="dxa"/>
            <w:vAlign w:val="bottom"/>
            <w:shd w:val="clear" w:color="auto" w:fill="DBDBDB"/>
          </w:tcPr>
          <w:p>
            <w:pPr>
              <w:spacing w:after="0"/>
              <w:rPr>
                <w:sz w:val="19"/>
                <w:szCs w:val="19"/>
                <w:color w:val="auto"/>
              </w:rPr>
            </w:pPr>
          </w:p>
        </w:tc>
        <w:tc>
          <w:tcPr>
            <w:tcW w:w="16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280" w:hanging="332"/>
        <w:spacing w:after="0" w:line="258" w:lineRule="auto"/>
        <w:tabs>
          <w:tab w:leader="none" w:pos="349"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dilutive shares under the as-converted method assume conversion of the Convertible preferred stock and are presented here merely for reference. In a net income position, diluted earnings per share is determined by the more dilutive of the two-class method or the as-converted method.</w:t>
      </w:r>
    </w:p>
    <w:p>
      <w:pPr>
        <w:spacing w:after="0" w:line="35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Subsequent events were evaluated events through August 12, 2021, the date that these unaudited condensed consolidated financial statements were available to be issued.</w:t>
      </w:r>
    </w:p>
    <w:p>
      <w:pPr>
        <w:spacing w:after="0" w:line="121"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b w:val="1"/>
          <w:bCs w:val="1"/>
          <w:color w:val="auto"/>
        </w:rPr>
        <w:t>Equity Plans</w:t>
      </w:r>
      <w:r>
        <w:rPr>
          <w:rFonts w:ascii="Arial" w:cs="Arial" w:eastAsia="Arial" w:hAnsi="Arial"/>
          <w:sz w:val="18"/>
          <w:szCs w:val="18"/>
          <w:color w:val="auto"/>
        </w:rPr>
        <w:t>— In July 2021, Duolingo adopted the 2021 Incentive Award Plan (2021 Plan) and the Employee Stock Purchase Plan (ESPP),</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became effective on July 26, 2021 in connection with the IPO. An aggregate of 7,832 shares and 1,119 shares of Class A common have been reserved for future issuance under the 2021 Plan and ESPP, respectively.</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Initial Public Offering</w:t>
      </w:r>
      <w:r>
        <w:rPr>
          <w:rFonts w:ascii="Arial" w:cs="Arial" w:eastAsia="Arial" w:hAnsi="Arial"/>
          <w:sz w:val="18"/>
          <w:szCs w:val="18"/>
          <w:color w:val="auto"/>
        </w:rPr>
        <w:t>— On July 30, 2021, Duolingo completed its IPO of 5,872 shares of its Class A common stock at a price to the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 $102.00 per share, 4,466 of which were sold by the Company and 1,406 of which were sold by certain selling stockholders, which includes the exercise in full by the underwriters of their option to purchase from the Company an additional 766 shares of the Company’s Class A common stock. The gross proceeds to the Company from the initial public offering were $455,523, before deducting underwriting discounts and commissions and estimated offering expenses payable by the Company. The Company did not receive any proceeds from the sale of shares of Class A common stock in the offering by the selling stockholders. Immediately prior to the completion of the IPO, all convertible preferred stock outstanding, totaling approximately 19,074 shares, was automatically converted into an equivalent number of shares of Class B common stock on a one-to-one basis and their carrying value of $182,609 was reclassified to stockholders’ equity.</w:t>
      </w:r>
    </w:p>
    <w:p>
      <w:pPr>
        <w:spacing w:after="0" w:line="150" w:lineRule="exact"/>
        <w:rPr>
          <w:sz w:val="20"/>
          <w:szCs w:val="20"/>
          <w:color w:val="auto"/>
        </w:rPr>
      </w:pPr>
    </w:p>
    <w:p>
      <w:pPr>
        <w:jc w:val="both"/>
        <w:ind w:right="360"/>
        <w:spacing w:after="0" w:line="290" w:lineRule="auto"/>
        <w:rPr>
          <w:sz w:val="20"/>
          <w:szCs w:val="20"/>
          <w:color w:val="auto"/>
        </w:rPr>
      </w:pPr>
      <w:r>
        <w:rPr>
          <w:rFonts w:ascii="Arial" w:cs="Arial" w:eastAsia="Arial" w:hAnsi="Arial"/>
          <w:sz w:val="17"/>
          <w:szCs w:val="17"/>
          <w:color w:val="auto"/>
        </w:rPr>
        <w:t>Prior to the IPO, deferred offering costs, which consisted primarily of accounting, legal and other fees related to the IPO, were capitalized within other assets, current in the unaudited condensed consolidated balance sheets. Upon the consummation of the IPO, approximately $4,000 of deferred offering costs were reclassified into stockholders’ equity as an offset to IPO proceeds. As of June 30, 2021, there was $2,627 of deferred offering costs recorded in the unaudited condensed consolidated balance sheet, of which $1,076 had not been paid.</w:t>
      </w:r>
    </w:p>
    <w:p>
      <w:pPr>
        <w:spacing w:after="0" w:line="100" w:lineRule="exact"/>
        <w:rPr>
          <w:sz w:val="20"/>
          <w:szCs w:val="20"/>
          <w:color w:val="auto"/>
        </w:rPr>
      </w:pPr>
    </w:p>
    <w:p>
      <w:pPr>
        <w:ind w:right="2980"/>
        <w:spacing w:after="0" w:line="485"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Management's Discussion and Analysis of Financial Condition and Results of Operations</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for the fiscal year ended December 31, 2020 included in the final prospectus dated as of July 27, 2021 and filed with the SEC, pursuant to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424(b)(4) on July 28, 2021 (our Final Prospectus). This discussion and analysis and other parts of this Quarterly Report on Form 10-Q contain forward-looking statements, such as those relating to our plans, objectives, expectations, intentions, and beliefs, that involve risks, uncertainties and assumptions. Our actual results could differ materially from these forward-looking statements as a result of many factors, including those discussed in the section titled “Risk Factors,” “Special Note Regarding Forward-Looking Statements”, and “Special Note Regarding Operating Metrics” included elsewhere in this Quarterly Report on Form 10-Q. Our historical results are not necessarily indicative of the results that may be expected for any periods in the future. Unless the context otherwise requires, all references in this report to “Duolingo,” the “Company”, “we,” “our,” “us,” or similar terms refer to Duolingo, Inc. and its subsidiaries.</w:t>
      </w:r>
    </w:p>
    <w:p>
      <w:pPr>
        <w:spacing w:after="0" w:line="151"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Amounts reported in millions are rounded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7"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Duolingo is the leading global mobile learning platform, offering courses in 40 languages to approximately 40 million monthly active users. Our flagship app has organically become the world’s most popular way to learn languages and the top-grossing app in the Education category on both Google Play and the Apple App Store. We believe that we have become the preeminent online destination for language learning due to our beautifully designed products, exceptional user engagement, and demonstrated learning efficacy.</w:t>
      </w:r>
    </w:p>
    <w:p>
      <w:pPr>
        <w:spacing w:after="0" w:line="152"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Our mission is to develop the best education in the world and make it universally available. Education has the ability to transform lives and create opportunities for social and economic advancement. However, access to high quality education is out of reach for too many people worldwide. We started Duolingo to provide access to quality education to everyone, and we started with a focus on language learning because of its potential to power both economic advancement and deep human connection.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GAAP. With respect to monthly active users (MAUs) and daily active users (DAUs), along with paid subscribers, these operating metrics help inform management about the underlying growth in users of our platform, and are a measure of our monetization efforts with respect to Duolingo Plus. Other companies, including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may calculate these measures differently or not at all, which reduces their usefulness as comparative measures.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6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dollar amounts in thousands)</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10"/>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Monthly active users (MAUs)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Paid subscribers (at period end)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Subscription bookings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48,941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36,581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99,407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67,317</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Total bookings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64,538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49,569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130,367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86,449</w:t>
            </w:r>
          </w:p>
        </w:tc>
      </w:tr>
      <w:tr>
        <w:trPr>
          <w:trHeight w:val="108"/>
        </w:trPr>
        <w:tc>
          <w:tcPr>
            <w:tcW w:w="4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Net loss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(13,648)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(2,193)</w:t>
            </w: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3,702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4,573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1,463</w:t>
            </w:r>
          </w:p>
        </w:tc>
      </w:tr>
      <w:tr>
        <w:trPr>
          <w:trHeight w:val="365"/>
        </w:trPr>
        <w:tc>
          <w:tcPr>
            <w:tcW w:w="46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8,461</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13,180</w:t>
            </w: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7,868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5,929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10,864</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185"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b w:val="1"/>
          <w:bCs w:val="1"/>
          <w:i w:val="1"/>
          <w:iCs w:val="1"/>
          <w:color w:val="auto"/>
        </w:rPr>
        <w:t xml:space="preserve">Monthly Active Users (MAUs). </w:t>
      </w:r>
      <w:r>
        <w:rPr>
          <w:rFonts w:ascii="Arial" w:cs="Arial" w:eastAsia="Arial" w:hAnsi="Arial"/>
          <w:sz w:val="18"/>
          <w:szCs w:val="18"/>
          <w:color w:val="auto"/>
        </w:rPr>
        <w:t>MAUs are defined as unique Duolingo users who engage with our mobile language learning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language learning section of our website each month. MAUs are reported for a measurement period by taking the average of each calendar month in that measurement period. MAUs are a measure of the size of our global active user community on Duolingo.</w:t>
      </w:r>
    </w:p>
    <w:p>
      <w:pPr>
        <w:spacing w:after="0" w:line="13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three months ended June 30, 2021 and 2020, we had approximately 37.9 million and 39.2 million MAUs, respectively, representing a decrease of (3)%. We believe that the decline is attributable to the significant increase in MAU we saw during three months ended June 30, 2020, which coincided with the start of the COVID-19 pandemic and which led to increased use of our product. For the six months ended June 30, 2021 and 2020, we had approximately 38.9 million and 36.4 million MAUs, respectively, representing an increase of 7%. We grow MAUs by attracting new users, retaining existing users, and by reengaging the millions of former users who return to our language learning app because of our product initiatives and brand marketing.</w:t>
      </w:r>
    </w:p>
    <w:p>
      <w:pPr>
        <w:spacing w:after="0" w:line="13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 xml:space="preserve">Daily Active Users (DAUs). </w:t>
      </w:r>
      <w:r>
        <w:rPr>
          <w:rFonts w:ascii="Arial" w:cs="Arial" w:eastAsia="Arial" w:hAnsi="Arial"/>
          <w:sz w:val="17"/>
          <w:szCs w:val="17"/>
          <w:color w:val="auto"/>
        </w:rPr>
        <w:t>DAUs are defined as unique Duolingo users who engage with our mobile language learning application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12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three months ended June 30, 2021 and 2020, we had approximately 9.1 million and 9.0 million DAUs, respectively, representing an increase of 2%. For the six months ended June 30, 2021 and 2020, we had approximately 9.3 million and 7.9 million DAUs, respectively, representing an increase of 18%. The DAU / MAU ratio, which we believe is an indicator of user engagement, increased to approximately 24% as of June 30, 2021 from approximately 23% as of June 30, 2020. We grow DAUs by making the product more fun and engaging, as well as through our marketing efforts.</w:t>
      </w:r>
    </w:p>
    <w:p>
      <w:pPr>
        <w:spacing w:after="0" w:line="132"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i w:val="1"/>
          <w:iCs w:val="1"/>
          <w:color w:val="auto"/>
        </w:rPr>
        <w:t xml:space="preserve">Paid Subscribers. </w:t>
      </w:r>
      <w:r>
        <w:rPr>
          <w:rFonts w:ascii="Arial" w:cs="Arial" w:eastAsia="Arial" w:hAnsi="Arial"/>
          <w:sz w:val="18"/>
          <w:szCs w:val="18"/>
          <w:color w:val="auto"/>
        </w:rPr>
        <w:t>Paid subscribers are defined as users who pay for access to Duolingo Plus and had an active subscription as of the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measurement period. Each unique user account is treated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single paid subscriber regardless of whether such user purchases multiple subscriptions, and the count of paid subscribers does not include users who are currently on a free trial.</w:t>
      </w:r>
    </w:p>
    <w:p>
      <w:pPr>
        <w:spacing w:after="0" w:line="14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As of June 30, 2021 and 2020, we had approximately 1.9 million and 1.3 million Paid subscribers, respectively, representing an increase of 46%. We grow paid subscribers by growing our free user base, converting a greater number of users to paid subscribers, and retaining subscribers.</w:t>
      </w:r>
    </w:p>
    <w:p>
      <w:pPr>
        <w:spacing w:after="0" w:line="12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 xml:space="preserve">Subscription Bookings and Total Bookings. </w:t>
      </w:r>
      <w:r>
        <w:rPr>
          <w:rFonts w:ascii="Arial" w:cs="Arial" w:eastAsia="Arial" w:hAnsi="Arial"/>
          <w:sz w:val="18"/>
          <w:szCs w:val="18"/>
          <w:color w:val="auto"/>
        </w:rPr>
        <w:t>Subscription bookings represent the amounts we receive from a purchase of a subscription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Duolingo Plus. Total bookings represent the amounts we receive from a purchase of a subscription to Duolingo Plus, a registration for a Duolingo English Test, an in-app purchase for a virtual good and from advertising networks for advertisements served to our users. We believe bookings provide an indication of trends in our operating results, including cash flows, that are not necessarily reflected in our revenue because we recognize subscription revenue ratably over the lifetime of a subscription, which is generally from one to twelve months.</w:t>
      </w:r>
    </w:p>
    <w:p>
      <w:pPr>
        <w:spacing w:after="0" w:line="14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For the three months ended June 30, 2021 and 2020, we generated $48.9 million and $36.6 million of subscription bookings, respectively, representing an increase of 34%. This increase was driven by the increase in average subscribers over the period and by a mix shift toward more annual subscriptions. For the three months ended June 30, 2021 and 2020, we generated $64.5 million and $49.6 million total bookings, respectively, representing an increase of 30%. The increase in total bookings was driven by the growth in subscription bookings, advertising bookings, and in-app purchases, and was offset by a decline in DET. We believe DET declined year-over-year because the period ending June 30, 2020 coincided with the start of the COVID-19 pandemic which impacted the Duolingo English Test as we described in our Final Prospectus and below in the section “Impact of COVID”. Note that because we defer some of DET bookings, revenue for the DET increased year over year even though bookings declined. For the six months ended June 30, 2021 and 2020, we generated $99.4 million and $67.3 million of subscription bookings, respectively, representing an increase of 48%. For the six months ended June 30, 2021 and 2020, we generated $130.4 million and $86.4 million total bookings, respectively, representing an increase of 51%. We generate subscription bookings by selling first time and renewal subscriptions as well as subscriptions to subscribers who previously had a subscription and return. As we grow our user base, convert a greater proportion of users to first time subscribers, increase renewal rates, and increase the proportion of re-subscribers, we increase subscription bookings.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use certain non-GAAP financial measures to supplement our unaudited condensed consolidated financial statements , which are presented in accordance with GAAP. These non-GAAP financial measures include Adjusted EBITDA and free cash flow. We use these non-GAAP financial measures for financial and operational decision-making and as a means to evaluate period-to-period comparisons. By excluding certain items that may not be indicative of our recurring core operating results, we believe that Adjusted EBITDA and free cash flow provide meaningful supplemental info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financials measures differently or not at all, which reduces their usefulness as comparative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9"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is defined as net loss excluding interest (income) expense, net, income tax provision,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IPO and public company readiness costs, stock-based compensation expense, tender offer-related costs and other expenses.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 The following table presents a reconciliation of our net loss, the most directly comparable financial measure presented in accordance with GAAP,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4"/>
        </w:trPr>
        <w:tc>
          <w:tcPr>
            <w:tcW w:w="468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4680" w:type="dxa"/>
            <w:vAlign w:val="bottom"/>
            <w:tcBorders>
              <w:bottom w:val="single" w:sz="8" w:color="DBDBDB"/>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DBDBDB"/>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(13,648)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IPO and public company readiness costs(1)</w:t>
            </w:r>
          </w:p>
        </w:tc>
        <w:tc>
          <w:tcPr>
            <w:tcW w:w="98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Tender offer-related costs(2)</w:t>
            </w:r>
          </w:p>
        </w:tc>
        <w:tc>
          <w:tcPr>
            <w:tcW w:w="980" w:type="dxa"/>
            <w:vAlign w:val="bottom"/>
            <w:shd w:val="clear" w:color="auto" w:fill="DBDBDB"/>
          </w:tcPr>
          <w:p>
            <w:pPr>
              <w:spacing w:after="0"/>
              <w:rPr>
                <w:sz w:val="19"/>
                <w:szCs w:val="19"/>
                <w:color w:val="auto"/>
              </w:rPr>
            </w:pPr>
          </w:p>
        </w:tc>
        <w:tc>
          <w:tcPr>
            <w:tcW w:w="6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expenses(3)</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DBDBDB"/>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980" w:type="dxa"/>
            <w:vAlign w:val="bottom"/>
            <w:tcBorders>
              <w:bottom w:val="single" w:sz="8" w:color="auto"/>
            </w:tcBorders>
            <w:shd w:val="clear" w:color="auto" w:fill="DBDBDB"/>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0"/>
        </w:trPr>
        <w:tc>
          <w:tcPr>
            <w:tcW w:w="46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77" w:lineRule="exact"/>
        <w:rPr>
          <w:sz w:val="20"/>
          <w:szCs w:val="20"/>
          <w:color w:val="auto"/>
        </w:rPr>
      </w:pPr>
    </w:p>
    <w:p>
      <w:pPr>
        <w:ind w:left="340" w:right="120" w:hanging="332"/>
        <w:spacing w:after="0" w:line="241" w:lineRule="auto"/>
        <w:tabs>
          <w:tab w:leader="none" w:pos="3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 These costs are included within our unaudited interim condensed consolidated financial statements included elsewhere in this Quarterly Report on Form</w:t>
      </w:r>
    </w:p>
    <w:p>
      <w:pPr>
        <w:ind w:left="340"/>
        <w:spacing w:after="0"/>
        <w:rPr>
          <w:rFonts w:ascii="Arial" w:cs="Arial" w:eastAsia="Arial" w:hAnsi="Arial"/>
          <w:sz w:val="14"/>
          <w:szCs w:val="14"/>
          <w:color w:val="auto"/>
        </w:rPr>
      </w:pPr>
      <w:r>
        <w:rPr>
          <w:rFonts w:ascii="Arial" w:cs="Arial" w:eastAsia="Arial" w:hAnsi="Arial"/>
          <w:sz w:val="14"/>
          <w:szCs w:val="14"/>
          <w:color w:val="auto"/>
        </w:rPr>
        <w:t>10-Q as follows:</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4"/>
        </w:trPr>
        <w:tc>
          <w:tcPr>
            <w:tcW w:w="394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thousands)</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394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1000" w:type="dxa"/>
            <w:vAlign w:val="bottom"/>
            <w:shd w:val="clear" w:color="auto" w:fill="DBDBDB"/>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DBDBDB"/>
          </w:tcPr>
          <w:p>
            <w:pPr>
              <w:ind w:lef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00" w:type="dxa"/>
            <w:vAlign w:val="bottom"/>
            <w:tcBorders>
              <w:bottom w:val="single" w:sz="8" w:color="DBDBDB"/>
            </w:tcBorders>
          </w:tcPr>
          <w:p>
            <w:pPr>
              <w:spacing w:after="0"/>
              <w:rPr>
                <w:sz w:val="16"/>
                <w:szCs w:val="16"/>
                <w:color w:val="auto"/>
              </w:rPr>
            </w:pP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000" w:type="dxa"/>
            <w:vAlign w:val="bottom"/>
            <w:shd w:val="clear" w:color="auto" w:fill="DBDBDB"/>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1,213</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DBDBDB"/>
          </w:tcPr>
          <w:p>
            <w:pPr>
              <w:ind w:lef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1,693</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ind w:left="9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240" w:hanging="332"/>
        <w:spacing w:after="0" w:line="260"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costs related to our tender offer initiated in February 2021 (see Note 8 to our unaudited condensed consolidated financial statements included elsewhere in this Quarterly Report on Form 10-Q), including fees incurred, as follows</w:t>
      </w:r>
      <w:r>
        <w:rPr>
          <w:rFonts w:ascii="Arial" w:cs="Arial" w:eastAsia="Arial" w:hAnsi="Arial"/>
          <w:sz w:val="17"/>
          <w:szCs w:val="17"/>
          <w:color w:val="auto"/>
        </w:rPr>
        <w:t>:</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250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thousands)</w:t>
            </w:r>
          </w:p>
        </w:tc>
        <w:tc>
          <w:tcPr>
            <w:tcW w:w="140" w:type="dxa"/>
            <w:vAlign w:val="bottom"/>
          </w:tcPr>
          <w:p>
            <w:pPr>
              <w:spacing w:after="0"/>
              <w:rPr>
                <w:sz w:val="16"/>
                <w:szCs w:val="16"/>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 of revenues</w:t>
            </w:r>
          </w:p>
        </w:tc>
        <w:tc>
          <w:tcPr>
            <w:tcW w:w="20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Research and</w:t>
            </w: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Sales and marketing</w:t>
            </w: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General and</w:t>
            </w:r>
          </w:p>
        </w:tc>
        <w:tc>
          <w:tcPr>
            <w:tcW w:w="300" w:type="dxa"/>
            <w:vAlign w:val="bottom"/>
          </w:tcPr>
          <w:p>
            <w:pPr>
              <w:spacing w:after="0"/>
              <w:rPr>
                <w:sz w:val="16"/>
                <w:szCs w:val="16"/>
                <w:color w:val="auto"/>
              </w:rPr>
            </w:pPr>
          </w:p>
        </w:tc>
        <w:tc>
          <w:tcPr>
            <w:tcW w:w="10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development</w:t>
            </w:r>
          </w:p>
        </w:tc>
        <w:tc>
          <w:tcPr>
            <w:tcW w:w="16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administrative</w:t>
            </w:r>
          </w:p>
        </w:tc>
        <w:tc>
          <w:tcPr>
            <w:tcW w:w="3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Tender offer</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DBDBDB"/>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3,302</w:t>
            </w:r>
          </w:p>
        </w:tc>
        <w:tc>
          <w:tcPr>
            <w:tcW w:w="80" w:type="dxa"/>
            <w:vAlign w:val="bottom"/>
            <w:tcBorders>
              <w:top w:val="single" w:sz="8" w:color="DBDBDB"/>
            </w:tcBorders>
            <w:shd w:val="clear" w:color="auto" w:fill="DBDBDB"/>
          </w:tcPr>
          <w:p>
            <w:pPr>
              <w:spacing w:after="0"/>
              <w:rPr>
                <w:sz w:val="15"/>
                <w:szCs w:val="15"/>
                <w:color w:val="auto"/>
              </w:rPr>
            </w:pPr>
          </w:p>
        </w:tc>
        <w:tc>
          <w:tcPr>
            <w:tcW w:w="660" w:type="dxa"/>
            <w:vAlign w:val="bottom"/>
            <w:tcBorders>
              <w:top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Borders>
              <w:top w:val="single" w:sz="8" w:color="DBDBDB"/>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5,275</w:t>
            </w: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Arial" w:cs="Arial" w:eastAsia="Arial" w:hAnsi="Arial"/>
                <w:sz w:val="14"/>
                <w:szCs w:val="14"/>
                <w:color w:val="auto"/>
              </w:rPr>
              <w:t>Fees and taxes paid on tender offer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8"/>
        </w:trPr>
        <w:tc>
          <w:tcPr>
            <w:tcW w:w="25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3,302</w:t>
            </w: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2,114</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300" w:type="dxa"/>
            <w:vAlign w:val="bottom"/>
            <w:tcBorders>
              <w:top w:val="single" w:sz="8" w:color="auto"/>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5,599</w:t>
            </w:r>
          </w:p>
        </w:tc>
        <w:tc>
          <w:tcPr>
            <w:tcW w:w="0" w:type="dxa"/>
            <w:vAlign w:val="bottom"/>
          </w:tcPr>
          <w:p>
            <w:pPr>
              <w:spacing w:after="0"/>
              <w:rPr>
                <w:sz w:val="1"/>
                <w:szCs w:val="1"/>
                <w:color w:val="auto"/>
              </w:rPr>
            </w:pPr>
          </w:p>
        </w:tc>
      </w:tr>
      <w:tr>
        <w:trPr>
          <w:trHeight w:val="20"/>
        </w:trPr>
        <w:tc>
          <w:tcPr>
            <w:tcW w:w="25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200" w:hanging="332"/>
        <w:spacing w:after="0" w:line="247"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one-time cash awards to Duolingo contributors under our non-employee volunteer program included within Sales and marketing expenses within our Consolidated Statement of Operations. During the three months ended June 30, 2021 we reduced the amount previously reserved in order to reflect those awards that were not claimed, resulting in a reduction of the expense. See Note 2 to our unaudited condensed consolidated financial statements included elsewhere in this Quarterly Report on Form 10-Q.</w:t>
      </w:r>
    </w:p>
    <w:p>
      <w:pPr>
        <w:spacing w:after="0" w:line="155"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Adjusted EBITDA increases as we grow revenue, improve gross margin, and reduce operating expenses as a percentage of revenue, or through a combination of those drivers. For the three months ended June 30, 2021 and 2020, we generated $3.7 million and $2.3 million of Adjusted EBITDA, respectively. For the six months ended June 30, 2021 and 2020, we generated $4.6 million and $1.5 million of Adjusted EBITDA, respectively. The increase in Adjusted EBITDA occurred because of revenue growth and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increase in gross profit offset by growth in operating expenses adjusted for costs incurred related to IPO and public company readiness and other costs which did not occur in the prior year.</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Free cash flow represents net cash provided by operating activities, reduced by purchases of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software development costs, and increased by IPO and public company readiness costs and other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The following table presents a reconciliation of net cash provided by operating activities, the most directly comparable financial measure calculated in accordance with GAAP, to free cash flow: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4700" w:type="dxa"/>
            <w:vAlign w:val="bottom"/>
            <w:tcBorders>
              <w:bottom w:val="single" w:sz="8" w:color="DBDBDB"/>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DBDBDB"/>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8,461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center"/>
              <w:ind w:left="515"/>
              <w:spacing w:after="0"/>
              <w:rPr>
                <w:sz w:val="20"/>
                <w:szCs w:val="20"/>
                <w:color w:val="auto"/>
              </w:rPr>
            </w:pPr>
            <w:r>
              <w:rPr>
                <w:rFonts w:ascii="Arial" w:cs="Arial" w:eastAsia="Arial" w:hAnsi="Arial"/>
                <w:sz w:val="18"/>
                <w:szCs w:val="18"/>
                <w:color w:val="auto"/>
                <w:w w:val="97"/>
              </w:rPr>
              <w:t>4,227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Less: Capitalized software development costs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center"/>
              <w:ind w:left="495"/>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9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center"/>
              <w:ind w:left="495"/>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Plus: IPO and public company readiness costs(1)</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center"/>
              <w:ind w:left="515"/>
              <w:spacing w:after="0"/>
              <w:rPr>
                <w:sz w:val="20"/>
                <w:szCs w:val="20"/>
                <w:color w:val="auto"/>
              </w:rPr>
            </w:pPr>
            <w:r>
              <w:rPr>
                <w:rFonts w:ascii="Arial" w:cs="Arial" w:eastAsia="Arial" w:hAnsi="Arial"/>
                <w:sz w:val="18"/>
                <w:szCs w:val="18"/>
                <w:color w:val="auto"/>
                <w:w w:val="97"/>
              </w:rPr>
              <w:t>1,693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Plus: Other(2)</w:t>
            </w:r>
          </w:p>
        </w:tc>
        <w:tc>
          <w:tcPr>
            <w:tcW w:w="9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3,643</w:t>
            </w:r>
          </w:p>
        </w:tc>
        <w:tc>
          <w:tcPr>
            <w:tcW w:w="10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center"/>
              <w:ind w:left="515"/>
              <w:spacing w:after="0"/>
              <w:rPr>
                <w:sz w:val="20"/>
                <w:szCs w:val="20"/>
                <w:color w:val="auto"/>
              </w:rPr>
            </w:pPr>
            <w:r>
              <w:rPr>
                <w:rFonts w:ascii="Arial" w:cs="Arial" w:eastAsia="Arial" w:hAnsi="Arial"/>
                <w:sz w:val="18"/>
                <w:szCs w:val="18"/>
                <w:color w:val="auto"/>
                <w:w w:val="97"/>
              </w:rPr>
              <w:t>3,643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515"/>
              <w:spacing w:after="0"/>
              <w:rPr>
                <w:sz w:val="20"/>
                <w:szCs w:val="20"/>
                <w:color w:val="auto"/>
              </w:rPr>
            </w:pPr>
            <w:r>
              <w:rPr>
                <w:rFonts w:ascii="Arial" w:cs="Arial" w:eastAsia="Arial" w:hAnsi="Arial"/>
                <w:sz w:val="18"/>
                <w:szCs w:val="18"/>
                <w:color w:val="auto"/>
                <w:w w:val="97"/>
              </w:rPr>
              <w:t>5,929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77" w:lineRule="exact"/>
        <w:rPr>
          <w:sz w:val="20"/>
          <w:szCs w:val="20"/>
          <w:color w:val="auto"/>
        </w:rPr>
      </w:pPr>
    </w:p>
    <w:p>
      <w:pPr>
        <w:ind w:left="340" w:right="580" w:hanging="332"/>
        <w:spacing w:after="0" w:line="258"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w:t>
      </w:r>
    </w:p>
    <w:p>
      <w:pPr>
        <w:spacing w:after="0" w:line="139" w:lineRule="exact"/>
        <w:rPr>
          <w:rFonts w:ascii="Arial" w:cs="Arial" w:eastAsia="Arial" w:hAnsi="Arial"/>
          <w:sz w:val="14"/>
          <w:szCs w:val="14"/>
          <w:color w:val="auto"/>
        </w:rPr>
      </w:pPr>
    </w:p>
    <w:p>
      <w:pPr>
        <w:ind w:left="340" w:right="220" w:hanging="332"/>
        <w:spacing w:after="0" w:line="249"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payment of one-time cash awards to Duolingo contributors under our non-employee volunteer program included within Sales and marketing expenses within our unaudited condensed consolidated statement of operations and comprehensive loss. See Note 2 to our unaudited condensed consolidated financial statements included elsewhere in this Quarterly Report on Form 10-Q.</w:t>
      </w:r>
    </w:p>
    <w:p>
      <w:pPr>
        <w:spacing w:after="0" w:line="222" w:lineRule="exact"/>
        <w:rPr>
          <w:sz w:val="20"/>
          <w:szCs w:val="20"/>
          <w:color w:val="auto"/>
        </w:rPr>
      </w:pPr>
    </w:p>
    <w:p>
      <w:pPr>
        <w:jc w:val="both"/>
        <w:ind w:right="80"/>
        <w:spacing w:after="0" w:line="269" w:lineRule="auto"/>
        <w:rPr>
          <w:sz w:val="20"/>
          <w:szCs w:val="20"/>
          <w:color w:val="auto"/>
        </w:rPr>
      </w:pPr>
      <w:r>
        <w:rPr>
          <w:rFonts w:ascii="Arial" w:cs="Arial" w:eastAsia="Arial" w:hAnsi="Arial"/>
          <w:sz w:val="18"/>
          <w:szCs w:val="18"/>
          <w:color w:val="auto"/>
        </w:rPr>
        <w:t>For the three months ended June 30, 2021 and 2020, we generated $2.1 and $7.9 of free cash flow, respectively. The decrease in free cash flow was the result of a decrease in net cash provided by operating activities driven primarily by changes in working capital. Additionally, free cash flow was reduced by higher capital expenditures and capitalized software development costs. For the six months ended June 30, 2021 and 2020, we generated $5.9 and $10.9 of free cash flow,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date, the COVID-19 pandemic has not had a significant negative impact on our operations or financial performance. We believe that COVID-19 increased our operating metrics and financial metrics for a period of time in 2020 due, in part, to stay at home and other social distancing measures, most notably in the second quarter. The pandemic also increased adoption of the Duolingo English Test. Because this increase was driven in part by increased acceptance of the test, and because we believe universities are unlikely to stop accepting the test when the pandemic ends, we do not expect the Duolingo English Test to revert to pre-pandemic levels.</w:t>
      </w:r>
    </w:p>
    <w:p>
      <w:pPr>
        <w:spacing w:after="0" w:line="154"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extent of the impact of the COVID-19 pandemic on our operational and financial performance, however, depends on certain developments, including ongoing social distancing measures, and future prevention and mitigation measures, as well as the potential for some of these measures to be reinstituted in the event of repeat waves of the virus. Any such developments may have adverse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on global economic conditions and consumer confidence and spending, and could materially adversely affect demand, or subscribers’ ability to pay, for our products and services. For additional information, see “Risk Factors—General Risk Factors—Our business and results of operations may be materially adversely affected by the recent COVID-19 outbreak or other similar outbreaks.”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We generate revenue primarily from the sale of subscriptions. The term-length of our subscription agreements are primarily monthly or annual. We have historically had a six-month subscription plan but during the fourth quarter of 2020, we began to phase it out. During the three months ended June 30, 2021, we began to roll out a family plan. We also generate revenue from advertising, the in-app sale of virtual goods, and our English assessment test, the Duolingo English Test.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0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Cost of revenue predominantly consists of third-party payment processing fees charged by various distribution channel and hosting fees. To a much lesser extent, cost of revenue includes wages and share-based compensation for certain employees in the capacity of customer support, amortization of revenue generating capitalized software, and depreciation of certain property and equipment.</w:t>
      </w:r>
    </w:p>
    <w:p>
      <w:pPr>
        <w:spacing w:after="0" w:line="14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intend to continue to invest additional resources in our infrastructure and our customer support and success organization to expand the capabilities of our platform and ensure that our users are realizing the full benefit of our products. The level, timing, and relative investment in these areas could affect our cost of revenue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profit may fluctuate from period to period as our revenue fluctuates, and also as a result of the timing and amount of investments we make in items related to cost of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We invest heavily in research and development in order to drive user engagement and customer satisfaction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platform, which we believe helps to drive organic growth in new users. This, in turn, drives additional growth in, and better lifetime value of, our paid subscribers, as well as increased advertising revenue from impressions from our free users. Expenses are primarily made up of costs incurred for the development of new and improved products and features in our applications. Such expenses include compensation of engineers, designers, product managers, including share-based compensation, materials, travel and direct costs associated with the design and required testing of our platform. We expect engineers, designers, and product managers to represent a significant portion of our employees for the foreseeable future. Many of our new products and improvements to our platform require large investments and involve substantial time and risks to develop and launch. Some of these products may not be well received or may take a long time for users to adopt. As a result, the benefits of our research and development investments may be difficult to forecast. We expect to continue to spend a significant portion of our revenue on research and development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9"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and social media spend, field marketing, travel, trade show sponsorships and events, conferences and other employee related compensation, including share-based compensation for personnel engaged in sales and marketing functions, and amortization of non-revenue generating capitalized software used to promote Duolingo. We expect our sales and marketing expenses will decline as a percentage of revenue as our revenue grows over the long-term.</w:t>
      </w:r>
    </w:p>
    <w:p>
      <w:pPr>
        <w:spacing w:after="0" w:line="124"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primarily consist of employee related compensation (including share-based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and other general overhead costs that support our operations. We expect to incur additional general and administrative expenses as a result of operating as a public company, including expenses to comply with the rules and regulations of the SEC and Listing Rules of the Nasdaq Global Select Market, as well as higher expenses for corporate insurance, director and officer insurance, investor relations, and professional services. We expect that our general and administrative expenses will increase in absolute dollars as our business grows. However, we expect that our general and administrative expenses will decrease as a percentage of our revenue as our revenue grows over the long-term.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Other income, net consists primarily of income earned on our money market funds included in cash and cash equivalents and on our marketable securities, offset by interest expense. Other income (expense), net also includes a minimal amount of foreign currency exchange gains and losses.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statements of operations data, including year-over-year change,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1320" w:type="dxa"/>
            <w:vAlign w:val="bottom"/>
          </w:tcPr>
          <w:p>
            <w:pPr>
              <w:spacing w:after="0"/>
              <w:rPr>
                <w:sz w:val="16"/>
                <w:szCs w:val="16"/>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23"/>
        </w:trPr>
        <w:tc>
          <w:tcPr>
            <w:tcW w:w="3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58,803</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40,011</w:t>
            </w:r>
          </w:p>
        </w:tc>
        <w:tc>
          <w:tcPr>
            <w:tcW w:w="100" w:type="dxa"/>
            <w:vAlign w:val="bottom"/>
            <w:tcBorders>
              <w:top w:val="single" w:sz="8" w:color="DBDBDB"/>
            </w:tcBorders>
            <w:shd w:val="clear" w:color="auto" w:fill="DBDBDB"/>
          </w:tcPr>
          <w:p>
            <w:pPr>
              <w:spacing w:after="0"/>
              <w:rPr>
                <w:sz w:val="19"/>
                <w:szCs w:val="19"/>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114,163</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68,123</w:t>
            </w:r>
          </w:p>
        </w:tc>
        <w:tc>
          <w:tcPr>
            <w:tcW w:w="100" w:type="dxa"/>
            <w:vAlign w:val="bottom"/>
            <w:tcBorders>
              <w:top w:val="single" w:sz="8" w:color="DBDBDB"/>
            </w:tcBorders>
            <w:shd w:val="clear" w:color="auto" w:fill="DBDBDB"/>
          </w:tcPr>
          <w:p>
            <w:pPr>
              <w:spacing w:after="0"/>
              <w:rPr>
                <w:sz w:val="19"/>
                <w:szCs w:val="19"/>
                <w:color w:val="auto"/>
              </w:rPr>
            </w:pP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3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 (1) (2)</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16,137</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11,809</w:t>
            </w:r>
          </w:p>
        </w:tc>
        <w:tc>
          <w:tcPr>
            <w:tcW w:w="100" w:type="dxa"/>
            <w:vAlign w:val="bottom"/>
            <w:tcBorders>
              <w:bottom w:val="single" w:sz="8" w:color="DBDBDB"/>
            </w:tcBorders>
          </w:tcPr>
          <w:p>
            <w:pPr>
              <w:spacing w:after="0"/>
              <w:rPr>
                <w:sz w:val="19"/>
                <w:szCs w:val="19"/>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31,156</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100" w:type="dxa"/>
            <w:vAlign w:val="bottom"/>
            <w:tcBorders>
              <w:bottom w:val="single" w:sz="8" w:color="DBDBDB"/>
            </w:tcBorders>
          </w:tcPr>
          <w:p>
            <w:pPr>
              <w:spacing w:after="0"/>
              <w:rPr>
                <w:sz w:val="19"/>
                <w:szCs w:val="19"/>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56</w:t>
            </w:r>
          </w:p>
        </w:tc>
      </w:tr>
      <w:tr>
        <w:trPr>
          <w:trHeight w:val="223"/>
        </w:trPr>
        <w:tc>
          <w:tcPr>
            <w:tcW w:w="3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42,666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28,202</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83,007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48,100</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73</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 (1)</w:t>
            </w: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21,940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12,111</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81</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44,469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21,687</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105</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Sales and marketing (1) (2)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14,136</w:t>
            </w:r>
          </w:p>
        </w:tc>
        <w:tc>
          <w:tcPr>
            <w:tcW w:w="10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108</w:t>
            </w:r>
          </w:p>
        </w:tc>
      </w:tr>
      <w:tr>
        <w:trPr>
          <w:trHeight w:val="230"/>
        </w:trPr>
        <w:tc>
          <w:tcPr>
            <w:tcW w:w="3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and administrative (1)</w:t>
            </w:r>
          </w:p>
        </w:tc>
        <w:tc>
          <w:tcPr>
            <w:tcW w:w="18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7,384</w:t>
            </w:r>
          </w:p>
        </w:tc>
        <w:tc>
          <w:tcPr>
            <w:tcW w:w="100" w:type="dxa"/>
            <w:vAlign w:val="bottom"/>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57</w:t>
            </w: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23,038</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14,650</w:t>
            </w:r>
          </w:p>
        </w:tc>
        <w:tc>
          <w:tcPr>
            <w:tcW w:w="100" w:type="dxa"/>
            <w:vAlign w:val="bottom"/>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57</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28,120</w:t>
            </w:r>
          </w:p>
        </w:tc>
        <w:tc>
          <w:tcPr>
            <w:tcW w:w="100" w:type="dxa"/>
            <w:vAlign w:val="bottom"/>
          </w:tcPr>
          <w:p>
            <w:pPr>
              <w:spacing w:after="0"/>
              <w:rPr>
                <w:sz w:val="19"/>
                <w:szCs w:val="19"/>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96,899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50,473</w:t>
            </w:r>
          </w:p>
        </w:tc>
        <w:tc>
          <w:tcPr>
            <w:tcW w:w="100" w:type="dxa"/>
            <w:vAlign w:val="bottom"/>
          </w:tcPr>
          <w:p>
            <w:pPr>
              <w:spacing w:after="0"/>
              <w:rPr>
                <w:sz w:val="19"/>
                <w:szCs w:val="19"/>
                <w:color w:val="auto"/>
              </w:rPr>
            </w:pP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92</w:t>
            </w:r>
          </w:p>
        </w:tc>
      </w:tr>
      <w:tr>
        <w:trPr>
          <w:trHeight w:val="230"/>
        </w:trPr>
        <w:tc>
          <w:tcPr>
            <w:tcW w:w="3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(13,892)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485</w:t>
            </w:r>
          </w:p>
        </w:tc>
      </w:tr>
      <w:tr>
        <w:trPr>
          <w:trHeight w:val="230"/>
        </w:trPr>
        <w:tc>
          <w:tcPr>
            <w:tcW w:w="3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DBDBDB"/>
            </w:tcBorders>
          </w:tcPr>
          <w:p>
            <w:pPr>
              <w:spacing w:after="0"/>
              <w:rPr>
                <w:sz w:val="19"/>
                <w:szCs w:val="19"/>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DBDBDB"/>
            </w:tcBorders>
          </w:tcPr>
          <w:p>
            <w:pPr>
              <w:spacing w:after="0"/>
              <w:rPr>
                <w:sz w:val="19"/>
                <w:szCs w:val="19"/>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30</w:t>
            </w:r>
          </w:p>
        </w:tc>
      </w:tr>
      <w:tr>
        <w:trPr>
          <w:trHeight w:val="168"/>
        </w:trPr>
        <w:tc>
          <w:tcPr>
            <w:tcW w:w="3360" w:type="dxa"/>
            <w:vAlign w:val="bottom"/>
            <w:shd w:val="clear" w:color="auto" w:fill="DBDBDB"/>
          </w:tcPr>
          <w:p>
            <w:pPr>
              <w:ind w:left="20"/>
              <w:spacing w:after="0" w:line="168" w:lineRule="exact"/>
              <w:rPr>
                <w:sz w:val="20"/>
                <w:szCs w:val="20"/>
                <w:color w:val="auto"/>
              </w:rPr>
            </w:pPr>
            <w:r>
              <w:rPr>
                <w:rFonts w:ascii="Arial" w:cs="Arial" w:eastAsia="Arial" w:hAnsi="Arial"/>
                <w:sz w:val="18"/>
                <w:szCs w:val="18"/>
                <w:color w:val="auto"/>
              </w:rPr>
              <w:t>(Loss) income before provision for</w:t>
            </w:r>
          </w:p>
        </w:tc>
        <w:tc>
          <w:tcPr>
            <w:tcW w:w="18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r>
      <w:tr>
        <w:trPr>
          <w:trHeight w:val="217"/>
        </w:trPr>
        <w:tc>
          <w:tcPr>
            <w:tcW w:w="33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(528)</w:t>
            </w:r>
          </w:p>
        </w:tc>
      </w:tr>
      <w:tr>
        <w:trPr>
          <w:trHeight w:val="229"/>
        </w:trPr>
        <w:tc>
          <w:tcPr>
            <w:tcW w:w="3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DBDB"/>
            </w:tcBorders>
          </w:tcPr>
          <w:p>
            <w:pPr>
              <w:spacing w:after="0"/>
              <w:rPr>
                <w:sz w:val="19"/>
                <w:szCs w:val="19"/>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DBDBDB"/>
            </w:tcBorders>
          </w:tcPr>
          <w:p>
            <w:pPr>
              <w:spacing w:after="0"/>
              <w:rPr>
                <w:sz w:val="19"/>
                <w:szCs w:val="19"/>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18</w:t>
            </w:r>
          </w:p>
        </w:tc>
      </w:tr>
      <w:tr>
        <w:trPr>
          <w:trHeight w:val="248"/>
        </w:trPr>
        <w:tc>
          <w:tcPr>
            <w:tcW w:w="3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(loss) and income</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8"/>
                <w:szCs w:val="18"/>
                <w:color w:val="auto"/>
                <w:w w:val="99"/>
              </w:rPr>
              <w:t>(540)%</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(13,648)</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522 %</w:t>
            </w:r>
          </w:p>
        </w:tc>
      </w:tr>
      <w:tr>
        <w:trPr>
          <w:trHeight w:val="20"/>
        </w:trPr>
        <w:tc>
          <w:tcPr>
            <w:tcW w:w="33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stock-based compensation expenses as follows:</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3240" w:type="dxa"/>
            <w:vAlign w:val="bottom"/>
            <w:gridSpan w:val="3"/>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314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40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8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wp:posOffset>
            </wp:positionV>
            <wp:extent cx="665226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52260" cy="2743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 of 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Sales and marketing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General and administrative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w:t>
        <w:tab/>
        <w:t>Includes amortization of capitalized software as follows: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432"/>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432"/>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1,675</w:t>
            </w:r>
          </w:p>
        </w:tc>
      </w:tr>
      <w:tr>
        <w:trPr>
          <w:trHeight w:val="27"/>
        </w:trPr>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58"/>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2,835</w:t>
            </w:r>
          </w:p>
        </w:tc>
      </w:tr>
      <w:tr>
        <w:trPr>
          <w:trHeight w:val="27"/>
        </w:trPr>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-839470</wp:posOffset>
            </wp:positionV>
            <wp:extent cx="665226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52260" cy="27432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-290830</wp:posOffset>
            </wp:positionV>
            <wp:extent cx="665226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52260" cy="274320"/>
                    </a:xfrm>
                    <a:prstGeom prst="rect">
                      <a:avLst/>
                    </a:prstGeom>
                    <a:noFill/>
                  </pic:spPr>
                </pic:pic>
              </a:graphicData>
            </a:graphic>
          </wp:anchor>
        </w:drawing>
      </w:r>
    </w:p>
    <w:p>
      <w:pPr>
        <w:spacing w:after="0" w:line="851" w:lineRule="exact"/>
        <w:rPr>
          <w:sz w:val="20"/>
          <w:szCs w:val="20"/>
          <w:color w:val="auto"/>
        </w:rPr>
      </w:pPr>
    </w:p>
    <w:p>
      <w:pPr>
        <w:sectPr>
          <w:pgSz w:w="11900" w:h="16838" w:orient="portrait"/>
          <w:cols w:equalWidth="0" w:num="2">
            <w:col w:w="3860" w:space="560"/>
            <w:col w:w="6820"/>
          </w:cols>
          <w:pgMar w:left="320" w:top="1440" w:right="339" w:bottom="1440" w:gutter="0" w:footer="0" w:header="0"/>
          <w:type w:val="continuous"/>
        </w:sectPr>
      </w:pPr>
    </w:p>
    <w:tbl>
      <w:tblPr>
        <w:tblLayout w:type="fixed"/>
        <w:tblInd w:w="34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8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183"/>
        </w:trPr>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revenues(a)</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w:t>
            </w:r>
          </w:p>
        </w:tc>
      </w:tr>
      <w:tr>
        <w:trPr>
          <w:trHeight w:val="189"/>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marketing(a)</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w:t>
            </w:r>
          </w:p>
        </w:tc>
        <w:tc>
          <w:tcPr>
            <w:tcW w:w="8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r>
      <w:tr>
        <w:trPr>
          <w:trHeight w:val="208"/>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148</w:t>
            </w:r>
          </w:p>
        </w:tc>
        <w:tc>
          <w:tcPr>
            <w:tcW w:w="8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302</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660" w:right="760" w:hanging="328"/>
        <w:spacing w:after="0" w:line="258" w:lineRule="auto"/>
        <w:tabs>
          <w:tab w:leader="none" w:pos="6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Amortization of capitalized software is recorded to cost of revenue and selling and marketing for revenue and non-revenue generating capitalized software, respectively.</w:t>
      </w:r>
    </w:p>
    <w:p>
      <w:pPr>
        <w:spacing w:after="0" w:line="14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table sets forth the components of our consolidated statements of operations for each of the periods presented as a percentage of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27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46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6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BDBDB"/>
            </w:tcBorders>
          </w:tcPr>
          <w:p>
            <w:pPr>
              <w:spacing w:after="0"/>
              <w:rPr>
                <w:sz w:val="18"/>
                <w:szCs w:val="18"/>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0"/>
        </w:trPr>
        <w:tc>
          <w:tcPr>
            <w:tcW w:w="55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100 %</w:t>
            </w:r>
          </w:p>
        </w:tc>
      </w:tr>
      <w:tr>
        <w:trPr>
          <w:trHeight w:val="213"/>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Cost of revenues</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DBDBDB"/>
            </w:tcBorders>
          </w:tcPr>
          <w:p>
            <w:pPr>
              <w:spacing w:after="0"/>
              <w:rPr>
                <w:sz w:val="18"/>
                <w:szCs w:val="18"/>
                <w:color w:val="auto"/>
              </w:rPr>
            </w:pPr>
          </w:p>
        </w:tc>
        <w:tc>
          <w:tcPr>
            <w:tcW w:w="16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DBDBDB"/>
            </w:tcBorders>
          </w:tcPr>
          <w:p>
            <w:pPr>
              <w:spacing w:after="0"/>
              <w:rPr>
                <w:sz w:val="18"/>
                <w:szCs w:val="18"/>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w:t>
            </w:r>
          </w:p>
        </w:tc>
      </w:tr>
      <w:tr>
        <w:trPr>
          <w:trHeight w:val="213"/>
        </w:trPr>
        <w:tc>
          <w:tcPr>
            <w:tcW w:w="55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Gross profit</w:t>
            </w:r>
          </w:p>
        </w:tc>
        <w:tc>
          <w:tcPr>
            <w:tcW w:w="5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5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DBDBDB"/>
          </w:tcPr>
          <w:p>
            <w:pPr>
              <w:spacing w:after="0"/>
              <w:rPr>
                <w:sz w:val="18"/>
                <w:szCs w:val="18"/>
                <w:color w:val="auto"/>
              </w:rPr>
            </w:pPr>
          </w:p>
        </w:tc>
        <w:tc>
          <w:tcPr>
            <w:tcW w:w="162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73</w:t>
            </w:r>
          </w:p>
        </w:tc>
        <w:tc>
          <w:tcPr>
            <w:tcW w:w="80" w:type="dxa"/>
            <w:vAlign w:val="bottom"/>
            <w:shd w:val="clear" w:color="auto" w:fill="DBDBDB"/>
          </w:tcPr>
          <w:p>
            <w:pPr>
              <w:spacing w:after="0"/>
              <w:rPr>
                <w:sz w:val="18"/>
                <w:szCs w:val="18"/>
                <w:color w:val="auto"/>
              </w:rPr>
            </w:pPr>
          </w:p>
        </w:tc>
        <w:tc>
          <w:tcPr>
            <w:tcW w:w="16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71</w:t>
            </w:r>
          </w:p>
        </w:tc>
      </w:tr>
      <w:tr>
        <w:trPr>
          <w:trHeight w:val="213"/>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55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DBDBDB"/>
          </w:tcPr>
          <w:p>
            <w:pPr>
              <w:spacing w:after="0"/>
              <w:rPr>
                <w:sz w:val="19"/>
                <w:szCs w:val="19"/>
                <w:color w:val="auto"/>
              </w:rPr>
            </w:pPr>
          </w:p>
        </w:tc>
        <w:tc>
          <w:tcPr>
            <w:tcW w:w="162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39</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32</w:t>
            </w:r>
          </w:p>
        </w:tc>
      </w:tr>
      <w:tr>
        <w:trPr>
          <w:trHeight w:val="213"/>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Sales and marketing</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21</w:t>
            </w:r>
          </w:p>
        </w:tc>
      </w:tr>
      <w:tr>
        <w:trPr>
          <w:trHeight w:val="216"/>
        </w:trPr>
        <w:tc>
          <w:tcPr>
            <w:tcW w:w="4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General and administrative</w:t>
            </w:r>
          </w:p>
        </w:tc>
        <w:tc>
          <w:tcPr>
            <w:tcW w:w="1060" w:type="dxa"/>
            <w:vAlign w:val="bottom"/>
            <w:tcBorders>
              <w:bottom w:val="single" w:sz="8" w:color="auto"/>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DBDBDB"/>
          </w:tcPr>
          <w:p>
            <w:pPr>
              <w:spacing w:after="0"/>
              <w:rPr>
                <w:sz w:val="18"/>
                <w:szCs w:val="18"/>
                <w:color w:val="auto"/>
              </w:rPr>
            </w:pPr>
          </w:p>
        </w:tc>
        <w:tc>
          <w:tcPr>
            <w:tcW w:w="1620" w:type="dxa"/>
            <w:vAlign w:val="bottom"/>
            <w:tcBorders>
              <w:bottom w:val="single" w:sz="8" w:color="auto"/>
            </w:tcBorders>
            <w:shd w:val="clear" w:color="auto" w:fill="DBDBDB"/>
          </w:tcPr>
          <w:p>
            <w:pPr>
              <w:jc w:val="right"/>
              <w:ind w:right="140"/>
              <w:spacing w:after="0"/>
              <w:rPr>
                <w:sz w:val="20"/>
                <w:szCs w:val="20"/>
                <w:color w:val="auto"/>
              </w:rPr>
            </w:pPr>
            <w:r>
              <w:rPr>
                <w:rFonts w:ascii="Arial" w:cs="Arial" w:eastAsia="Arial" w:hAnsi="Arial"/>
                <w:sz w:val="16"/>
                <w:szCs w:val="16"/>
                <w:color w:val="auto"/>
              </w:rPr>
              <w:t>20</w:t>
            </w:r>
          </w:p>
        </w:tc>
        <w:tc>
          <w:tcPr>
            <w:tcW w:w="80" w:type="dxa"/>
            <w:vAlign w:val="bottom"/>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22</w:t>
            </w:r>
          </w:p>
        </w:tc>
      </w:tr>
      <w:tr>
        <w:trPr>
          <w:trHeight w:val="209"/>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74</w:t>
            </w:r>
          </w:p>
        </w:tc>
      </w:tr>
      <w:tr>
        <w:trPr>
          <w:trHeight w:val="219"/>
        </w:trPr>
        <w:tc>
          <w:tcPr>
            <w:tcW w:w="55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Operating loss</w:t>
            </w:r>
          </w:p>
        </w:tc>
        <w:tc>
          <w:tcPr>
            <w:tcW w:w="560" w:type="dxa"/>
            <w:vAlign w:val="bottom"/>
            <w:shd w:val="clear" w:color="auto" w:fill="DBDBDB"/>
          </w:tcPr>
          <w:p>
            <w:pPr>
              <w:ind w:left="2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DBDBDB"/>
          </w:tcPr>
          <w:p>
            <w:pPr>
              <w:ind w:left="1160"/>
              <w:spacing w:after="0"/>
              <w:rPr>
                <w:sz w:val="20"/>
                <w:szCs w:val="20"/>
                <w:color w:val="auto"/>
              </w:rPr>
            </w:pPr>
            <w:r>
              <w:rPr>
                <w:rFonts w:ascii="Arial" w:cs="Arial" w:eastAsia="Arial" w:hAnsi="Arial"/>
                <w:sz w:val="16"/>
                <w:szCs w:val="16"/>
                <w:color w:val="auto"/>
              </w:rPr>
              <w:t>(12)</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ind w:left="1280"/>
              <w:spacing w:after="0"/>
              <w:rPr>
                <w:sz w:val="20"/>
                <w:szCs w:val="20"/>
                <w:color w:val="auto"/>
              </w:rPr>
            </w:pPr>
            <w:r>
              <w:rPr>
                <w:rFonts w:ascii="Arial" w:cs="Arial" w:eastAsia="Arial" w:hAnsi="Arial"/>
                <w:sz w:val="16"/>
                <w:szCs w:val="16"/>
                <w:color w:val="auto"/>
              </w:rPr>
              <w:t>(3)</w:t>
            </w:r>
          </w:p>
        </w:tc>
      </w:tr>
      <w:tr>
        <w:trPr>
          <w:trHeight w:val="213"/>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income, net</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6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18"/>
                <w:szCs w:val="18"/>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55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720" w:type="dxa"/>
            <w:vAlign w:val="bottom"/>
            <w:gridSpan w:val="3"/>
            <w:shd w:val="clear" w:color="auto" w:fill="DBDBDB"/>
          </w:tcPr>
          <w:p>
            <w:pPr>
              <w:jc w:val="right"/>
              <w:ind w:right="127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DBDBDB"/>
          </w:tcPr>
          <w:p>
            <w:pPr>
              <w:ind w:left="1160"/>
              <w:spacing w:after="0"/>
              <w:rPr>
                <w:sz w:val="20"/>
                <w:szCs w:val="20"/>
                <w:color w:val="auto"/>
              </w:rPr>
            </w:pPr>
            <w:r>
              <w:rPr>
                <w:rFonts w:ascii="Arial" w:cs="Arial" w:eastAsia="Arial" w:hAnsi="Arial"/>
                <w:sz w:val="16"/>
                <w:szCs w:val="16"/>
                <w:color w:val="auto"/>
              </w:rPr>
              <w:t>(12)</w:t>
            </w:r>
          </w:p>
        </w:tc>
        <w:tc>
          <w:tcPr>
            <w:tcW w:w="80" w:type="dxa"/>
            <w:vAlign w:val="bottom"/>
            <w:shd w:val="clear" w:color="auto" w:fill="DBDBDB"/>
          </w:tcPr>
          <w:p>
            <w:pPr>
              <w:spacing w:after="0"/>
              <w:rPr>
                <w:sz w:val="18"/>
                <w:szCs w:val="18"/>
                <w:color w:val="auto"/>
              </w:rPr>
            </w:pPr>
          </w:p>
        </w:tc>
        <w:tc>
          <w:tcPr>
            <w:tcW w:w="1640" w:type="dxa"/>
            <w:vAlign w:val="bottom"/>
            <w:shd w:val="clear" w:color="auto" w:fill="DBDBDB"/>
          </w:tcPr>
          <w:p>
            <w:pPr>
              <w:ind w:left="1280"/>
              <w:spacing w:after="0"/>
              <w:rPr>
                <w:sz w:val="20"/>
                <w:szCs w:val="20"/>
                <w:color w:val="auto"/>
              </w:rPr>
            </w:pPr>
            <w:r>
              <w:rPr>
                <w:rFonts w:ascii="Arial" w:cs="Arial" w:eastAsia="Arial" w:hAnsi="Arial"/>
                <w:sz w:val="16"/>
                <w:szCs w:val="16"/>
                <w:color w:val="auto"/>
              </w:rPr>
              <w:t>(3)</w:t>
            </w:r>
          </w:p>
        </w:tc>
      </w:tr>
      <w:tr>
        <w:trPr>
          <w:trHeight w:val="213"/>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Provision for income taxes</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6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18"/>
                <w:szCs w:val="18"/>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33"/>
        </w:trPr>
        <w:tc>
          <w:tcPr>
            <w:tcW w:w="55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loss</w:t>
            </w:r>
          </w:p>
        </w:tc>
        <w:tc>
          <w:tcPr>
            <w:tcW w:w="1720" w:type="dxa"/>
            <w:vAlign w:val="bottom"/>
            <w:gridSpan w:val="3"/>
            <w:shd w:val="clear" w:color="auto" w:fill="DBDBDB"/>
          </w:tcPr>
          <w:p>
            <w:pPr>
              <w:ind w:left="200"/>
              <w:spacing w:after="0"/>
              <w:rPr>
                <w:sz w:val="20"/>
                <w:szCs w:val="20"/>
                <w:color w:val="auto"/>
              </w:rPr>
            </w:pPr>
            <w:r>
              <w:rPr>
                <w:rFonts w:ascii="Arial" w:cs="Arial" w:eastAsia="Arial" w:hAnsi="Arial"/>
                <w:sz w:val="16"/>
                <w:szCs w:val="16"/>
                <w:color w:val="auto"/>
              </w:rPr>
              <w:t>— %</w:t>
            </w:r>
          </w:p>
        </w:tc>
        <w:tc>
          <w:tcPr>
            <w:tcW w:w="660" w:type="dxa"/>
            <w:vAlign w:val="bottom"/>
            <w:gridSpan w:val="2"/>
            <w:shd w:val="clear" w:color="auto" w:fill="DBDBDB"/>
          </w:tcPr>
          <w:p>
            <w:pPr>
              <w:ind w:left="180"/>
              <w:spacing w:after="0"/>
              <w:rPr>
                <w:sz w:val="20"/>
                <w:szCs w:val="20"/>
                <w:color w:val="auto"/>
              </w:rPr>
            </w:pPr>
            <w:r>
              <w:rPr>
                <w:rFonts w:ascii="Arial" w:cs="Arial" w:eastAsia="Arial" w:hAnsi="Arial"/>
                <w:sz w:val="16"/>
                <w:szCs w:val="16"/>
                <w:color w:val="auto"/>
              </w:rPr>
              <w:t>— %</w:t>
            </w:r>
          </w:p>
        </w:tc>
        <w:tc>
          <w:tcPr>
            <w:tcW w:w="1620" w:type="dxa"/>
            <w:vAlign w:val="bottom"/>
            <w:shd w:val="clear" w:color="auto" w:fill="DBDBDB"/>
          </w:tcPr>
          <w:p>
            <w:pPr>
              <w:ind w:left="1160"/>
              <w:spacing w:after="0"/>
              <w:rPr>
                <w:sz w:val="20"/>
                <w:szCs w:val="20"/>
                <w:color w:val="auto"/>
              </w:rPr>
            </w:pPr>
            <w:r>
              <w:rPr>
                <w:rFonts w:ascii="Arial" w:cs="Arial" w:eastAsia="Arial" w:hAnsi="Arial"/>
                <w:sz w:val="16"/>
                <w:szCs w:val="16"/>
                <w:color w:val="auto"/>
              </w:rPr>
              <w:t>(12)%</w:t>
            </w:r>
          </w:p>
        </w:tc>
        <w:tc>
          <w:tcPr>
            <w:tcW w:w="80" w:type="dxa"/>
            <w:vAlign w:val="bottom"/>
            <w:shd w:val="clear" w:color="auto" w:fill="DBDBDB"/>
          </w:tcPr>
          <w:p>
            <w:pPr>
              <w:spacing w:after="0"/>
              <w:rPr>
                <w:sz w:val="20"/>
                <w:szCs w:val="20"/>
                <w:color w:val="auto"/>
              </w:rPr>
            </w:pPr>
          </w:p>
        </w:tc>
        <w:tc>
          <w:tcPr>
            <w:tcW w:w="1640" w:type="dxa"/>
            <w:vAlign w:val="bottom"/>
            <w:shd w:val="clear" w:color="auto" w:fill="DBDBDB"/>
          </w:tcPr>
          <w:p>
            <w:pPr>
              <w:ind w:left="1280"/>
              <w:spacing w:after="0"/>
              <w:rPr>
                <w:sz w:val="20"/>
                <w:szCs w:val="20"/>
                <w:color w:val="auto"/>
              </w:rPr>
            </w:pPr>
            <w:r>
              <w:rPr>
                <w:rFonts w:ascii="Arial" w:cs="Arial" w:eastAsia="Arial" w:hAnsi="Arial"/>
                <w:sz w:val="16"/>
                <w:szCs w:val="16"/>
                <w:color w:val="auto"/>
              </w:rPr>
              <w:t>(3)%</w:t>
            </w:r>
          </w:p>
        </w:tc>
      </w:tr>
      <w:tr>
        <w:trPr>
          <w:trHeight w:val="20"/>
        </w:trPr>
        <w:tc>
          <w:tcPr>
            <w:tcW w:w="446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$18.8 million, or 47%, to $58.8 million during the three months ended June 30, 2021, from revenue of $40.0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2020. The main driver was an increase in subscription revenue of $15.2 million, primarily due to an increase in the average number of paid subscribers during three months ended June 30, 2021 as compared to same period in the prior year, with the remainder of the increase driven by a change in mix of plans purchased and increased pricing. We also saw an increase in advertising revenues, due to a 2% increase in DAUs, which resulted in increased advertisements served, and a year-over-year increase in average revenue per DAU for our ads. Duolingo English Test revenue continues to grow, attributable to the growth initiatives we implemented during 2020 in addition to the durability of the growth that began during the COVID-19 pandemic. Finally, other revenue increased $1.1 million, or 371%, to $1.4 million during the three months ended June 30, 2021, from revenue of $0.3 million during the three months ended June 30, 2020, due to growth in in-app purchases.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Revenues increased $46.0 million, or 68%, to $114.2 million during the six months ended June 30, 2021, from revenue of $68.1 million during the six months ended June 30, 2020. The main driver was an increase in subscription revenue of $33.1 million, primarily due to an increase in the average number of paid subscribers during the six months ended June 30, 2021 as compared to the six months ended June 30, 2020, in addition to a change in mix of plans purchased. In addition, advertising revenues increased $6.5 million. The increase was driven by the increase in DAUs during the six months ended June 30, 2021 as compared to the six months ended June 30, 2020, which resulted in increased advertisements served. Average revenue per DAU for our ads also increased period over period. Duolingo English Test revenue also increased by $4.5 million and other revenue increased $1.9 million, due to the same reasons mentioned above.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provides the changes in revenue by product type: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BDBDB"/>
            </w:tcBorders>
          </w:tcPr>
          <w:p>
            <w:pPr>
              <w:spacing w:after="0"/>
              <w:rPr>
                <w:sz w:val="15"/>
                <w:szCs w:val="15"/>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DBDBDB"/>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BDBDB"/>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BDBDB"/>
            </w:tcBorders>
          </w:tcPr>
          <w:p>
            <w:pPr>
              <w:spacing w:after="0"/>
              <w:rPr>
                <w:sz w:val="15"/>
                <w:szCs w:val="15"/>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2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Subscription</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43,502</w:t>
            </w:r>
          </w:p>
        </w:tc>
        <w:tc>
          <w:tcPr>
            <w:tcW w:w="360" w:type="dxa"/>
            <w:vAlign w:val="bottom"/>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28,274</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15,228</w:t>
            </w:r>
          </w:p>
        </w:tc>
        <w:tc>
          <w:tcPr>
            <w:tcW w:w="100" w:type="dxa"/>
            <w:vAlign w:val="bottom"/>
            <w:shd w:val="clear" w:color="auto" w:fill="DBDBDB"/>
          </w:tcPr>
          <w:p>
            <w:pPr>
              <w:spacing w:after="0"/>
              <w:rPr>
                <w:sz w:val="15"/>
                <w:szCs w:val="15"/>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54 %</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83,557</w:t>
            </w: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50,445</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33,112</w:t>
            </w:r>
          </w:p>
        </w:tc>
        <w:tc>
          <w:tcPr>
            <w:tcW w:w="100" w:type="dxa"/>
            <w:vAlign w:val="bottom"/>
            <w:shd w:val="clear" w:color="auto" w:fill="DBDBDB"/>
          </w:tcPr>
          <w:p>
            <w:pPr>
              <w:spacing w:after="0"/>
              <w:rPr>
                <w:sz w:val="15"/>
                <w:szCs w:val="15"/>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9,056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2,248</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18,331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11,816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6,515</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89"/>
        </w:trPr>
        <w:tc>
          <w:tcPr>
            <w:tcW w:w="2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Duolingo English Test</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4,833</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4,598</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DBDBDB"/>
          </w:tcPr>
          <w:p>
            <w:pPr>
              <w:spacing w:after="0"/>
              <w:rPr>
                <w:sz w:val="16"/>
                <w:szCs w:val="16"/>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9,868</w:t>
            </w: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5,351</w:t>
            </w: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4,517</w:t>
            </w:r>
          </w:p>
        </w:tc>
        <w:tc>
          <w:tcPr>
            <w:tcW w:w="10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84 %</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Borders>
              <w:bottom w:val="single" w:sz="8" w:color="DBDBDB"/>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327 %</w:t>
            </w: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2,407</w:t>
            </w:r>
          </w:p>
        </w:tc>
        <w:tc>
          <w:tcPr>
            <w:tcW w:w="10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511</w:t>
            </w:r>
          </w:p>
        </w:tc>
        <w:tc>
          <w:tcPr>
            <w:tcW w:w="8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100" w:type="dxa"/>
            <w:vAlign w:val="bottom"/>
            <w:tcBorders>
              <w:bottom w:val="single" w:sz="8" w:color="DBDBDB"/>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371 %</w:t>
            </w:r>
          </w:p>
        </w:tc>
        <w:tc>
          <w:tcPr>
            <w:tcW w:w="0" w:type="dxa"/>
            <w:vAlign w:val="bottom"/>
          </w:tcPr>
          <w:p>
            <w:pPr>
              <w:spacing w:after="0"/>
              <w:rPr>
                <w:sz w:val="1"/>
                <w:szCs w:val="1"/>
                <w:color w:val="auto"/>
              </w:rPr>
            </w:pPr>
          </w:p>
        </w:tc>
      </w:tr>
      <w:tr>
        <w:trPr>
          <w:trHeight w:val="203"/>
        </w:trPr>
        <w:tc>
          <w:tcPr>
            <w:tcW w:w="20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revenues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58,803</w:t>
            </w:r>
          </w:p>
        </w:tc>
        <w:tc>
          <w:tcPr>
            <w:tcW w:w="360" w:type="dxa"/>
            <w:vAlign w:val="bottom"/>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40,011</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18,792</w:t>
            </w:r>
          </w:p>
        </w:tc>
        <w:tc>
          <w:tcPr>
            <w:tcW w:w="10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47 %</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114,163</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68,123</w:t>
            </w: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46,040</w:t>
            </w:r>
          </w:p>
        </w:tc>
        <w:tc>
          <w:tcPr>
            <w:tcW w:w="10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20"/>
        </w:trPr>
        <w:tc>
          <w:tcPr>
            <w:tcW w:w="20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 Total gross margin increased during the three and six months ended June 30, 2021,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periods in the previous year. This increase is mainly due to increased advertisements served to free users which positively impacted advertising margins, and reduced payment processing fees for subscription revenue due to improved retention and mix.</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 in cost of revenue, along with related gross margins: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92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9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9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96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5"/>
                <w:szCs w:val="15"/>
                <w:color w:val="auto"/>
              </w:rPr>
            </w:pPr>
          </w:p>
        </w:tc>
        <w:tc>
          <w:tcPr>
            <w:tcW w:w="136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b w:val="1"/>
                <w:bCs w:val="1"/>
                <w:color w:val="auto"/>
              </w:rPr>
              <w:t>Gross Margin</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b w:val="1"/>
                <w:bCs w:val="1"/>
                <w:color w:val="auto"/>
              </w:rPr>
              <w:t>Gross Margin</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Costs</w:t>
            </w: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DBDBDB"/>
            </w:tcBorders>
            <w:gridSpan w:val="2"/>
          </w:tcPr>
          <w:p>
            <w:pPr>
              <w:ind w:left="220"/>
              <w:spacing w:after="0"/>
              <w:rPr>
                <w:sz w:val="20"/>
                <w:szCs w:val="20"/>
                <w:color w:val="auto"/>
              </w:rPr>
            </w:pPr>
            <w:r>
              <w:rPr>
                <w:rFonts w:ascii="Arial" w:cs="Arial" w:eastAsia="Arial" w:hAnsi="Arial"/>
                <w:sz w:val="14"/>
                <w:szCs w:val="14"/>
                <w:b w:val="1"/>
                <w:bCs w:val="1"/>
                <w:color w:val="auto"/>
              </w:rPr>
              <w:t>Gross Margin</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rPr>
              <w:t>Gross Margin</w:t>
            </w:r>
          </w:p>
        </w:tc>
        <w:tc>
          <w:tcPr>
            <w:tcW w:w="0" w:type="dxa"/>
            <w:vAlign w:val="bottom"/>
          </w:tcPr>
          <w:p>
            <w:pPr>
              <w:spacing w:after="0"/>
              <w:rPr>
                <w:sz w:val="1"/>
                <w:szCs w:val="1"/>
                <w:color w:val="auto"/>
              </w:rPr>
            </w:pPr>
          </w:p>
        </w:tc>
      </w:tr>
      <w:tr>
        <w:trPr>
          <w:trHeight w:val="168"/>
        </w:trPr>
        <w:tc>
          <w:tcPr>
            <w:tcW w:w="1520" w:type="dxa"/>
            <w:vAlign w:val="bottom"/>
            <w:shd w:val="clear" w:color="auto" w:fill="DBDBDB"/>
          </w:tcPr>
          <w:p>
            <w:pPr>
              <w:ind w:left="20"/>
              <w:spacing w:after="0" w:line="168" w:lineRule="exact"/>
              <w:rPr>
                <w:sz w:val="20"/>
                <w:szCs w:val="20"/>
                <w:color w:val="auto"/>
              </w:rPr>
            </w:pPr>
            <w:r>
              <w:rPr>
                <w:rFonts w:ascii="Arial" w:cs="Arial" w:eastAsia="Arial" w:hAnsi="Arial"/>
                <w:sz w:val="18"/>
                <w:szCs w:val="18"/>
                <w:color w:val="auto"/>
              </w:rPr>
              <w:t>Total cost of</w:t>
            </w:r>
          </w:p>
        </w:tc>
        <w:tc>
          <w:tcPr>
            <w:tcW w:w="220" w:type="dxa"/>
            <w:vAlign w:val="bottom"/>
            <w:vMerge w:val="restart"/>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16,137</w:t>
            </w:r>
          </w:p>
        </w:tc>
        <w:tc>
          <w:tcPr>
            <w:tcW w:w="1640" w:type="dxa"/>
            <w:vAlign w:val="bottom"/>
            <w:gridSpan w:val="4"/>
            <w:vMerge w:val="restart"/>
            <w:shd w:val="clear" w:color="auto" w:fill="DBDBDB"/>
          </w:tcPr>
          <w:p>
            <w:pPr>
              <w:jc w:val="right"/>
              <w:ind w:right="100"/>
              <w:spacing w:after="0"/>
              <w:rPr>
                <w:sz w:val="20"/>
                <w:szCs w:val="20"/>
                <w:color w:val="auto"/>
              </w:rPr>
            </w:pPr>
            <w:r>
              <w:rPr>
                <w:rFonts w:ascii="Arial" w:cs="Arial" w:eastAsia="Arial" w:hAnsi="Arial"/>
                <w:sz w:val="18"/>
                <w:szCs w:val="18"/>
                <w:color w:val="auto"/>
              </w:rPr>
              <w:t>72.6 %  $</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11,809</w:t>
            </w:r>
          </w:p>
        </w:tc>
        <w:tc>
          <w:tcPr>
            <w:tcW w:w="1680" w:type="dxa"/>
            <w:vAlign w:val="bottom"/>
            <w:gridSpan w:val="4"/>
            <w:vMerge w:val="restart"/>
            <w:shd w:val="clear" w:color="auto" w:fill="DBDBDB"/>
          </w:tcPr>
          <w:p>
            <w:pPr>
              <w:jc w:val="right"/>
              <w:ind w:right="100"/>
              <w:spacing w:after="0"/>
              <w:rPr>
                <w:sz w:val="20"/>
                <w:szCs w:val="20"/>
                <w:color w:val="auto"/>
              </w:rPr>
            </w:pPr>
            <w:r>
              <w:rPr>
                <w:rFonts w:ascii="Arial" w:cs="Arial" w:eastAsia="Arial" w:hAnsi="Arial"/>
                <w:sz w:val="18"/>
                <w:szCs w:val="18"/>
                <w:color w:val="auto"/>
              </w:rPr>
              <w:t>70.5 %  $</w:t>
            </w: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31,156</w:t>
            </w:r>
          </w:p>
        </w:tc>
        <w:tc>
          <w:tcPr>
            <w:tcW w:w="1680" w:type="dxa"/>
            <w:vAlign w:val="bottom"/>
            <w:gridSpan w:val="4"/>
            <w:vMerge w:val="restart"/>
            <w:shd w:val="clear" w:color="auto" w:fill="DBDBDB"/>
          </w:tcPr>
          <w:p>
            <w:pPr>
              <w:jc w:val="right"/>
              <w:ind w:right="120"/>
              <w:spacing w:after="0"/>
              <w:rPr>
                <w:sz w:val="20"/>
                <w:szCs w:val="20"/>
                <w:color w:val="auto"/>
              </w:rPr>
            </w:pPr>
            <w:r>
              <w:rPr>
                <w:rFonts w:ascii="Arial" w:cs="Arial" w:eastAsia="Arial" w:hAnsi="Arial"/>
                <w:sz w:val="18"/>
                <w:szCs w:val="18"/>
                <w:color w:val="auto"/>
              </w:rPr>
              <w:t>72.7 %  $</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20,023</w:t>
            </w:r>
          </w:p>
        </w:tc>
        <w:tc>
          <w:tcPr>
            <w:tcW w:w="6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20" w:type="dxa"/>
            <w:vAlign w:val="bottom"/>
            <w:shd w:val="clear" w:color="auto" w:fill="DBDBDB"/>
          </w:tcPr>
          <w:p>
            <w:pPr>
              <w:ind w:left="180"/>
              <w:spacing w:after="0" w:line="190" w:lineRule="exact"/>
              <w:rPr>
                <w:sz w:val="20"/>
                <w:szCs w:val="20"/>
                <w:color w:val="auto"/>
              </w:rPr>
            </w:pPr>
            <w:r>
              <w:rPr>
                <w:rFonts w:ascii="Arial" w:cs="Arial" w:eastAsia="Arial" w:hAnsi="Arial"/>
                <w:sz w:val="18"/>
                <w:szCs w:val="18"/>
                <w:color w:val="auto"/>
              </w:rPr>
              <w:t>revenues</w:t>
            </w:r>
          </w:p>
        </w:tc>
        <w:tc>
          <w:tcPr>
            <w:tcW w:w="220" w:type="dxa"/>
            <w:vAlign w:val="bottom"/>
            <w:vMerge w:val="continue"/>
            <w:shd w:val="clear" w:color="auto" w:fill="DBDBDB"/>
          </w:tcPr>
          <w:p>
            <w:pPr>
              <w:spacing w:after="0"/>
              <w:rPr>
                <w:sz w:val="18"/>
                <w:szCs w:val="18"/>
                <w:color w:val="auto"/>
              </w:rPr>
            </w:pPr>
          </w:p>
        </w:tc>
        <w:tc>
          <w:tcPr>
            <w:tcW w:w="780" w:type="dxa"/>
            <w:vAlign w:val="bottom"/>
            <w:vMerge w:val="continue"/>
            <w:shd w:val="clear" w:color="auto" w:fill="DBDBDB"/>
          </w:tcPr>
          <w:p>
            <w:pPr>
              <w:spacing w:after="0"/>
              <w:rPr>
                <w:sz w:val="18"/>
                <w:szCs w:val="18"/>
                <w:color w:val="auto"/>
              </w:rPr>
            </w:pPr>
          </w:p>
        </w:tc>
        <w:tc>
          <w:tcPr>
            <w:tcW w:w="1640" w:type="dxa"/>
            <w:vAlign w:val="bottom"/>
            <w:gridSpan w:val="4"/>
            <w:vMerge w:val="continue"/>
            <w:shd w:val="clear" w:color="auto" w:fill="DBDBDB"/>
          </w:tcPr>
          <w:p>
            <w:pPr>
              <w:spacing w:after="0"/>
              <w:rPr>
                <w:sz w:val="18"/>
                <w:szCs w:val="18"/>
                <w:color w:val="auto"/>
              </w:rPr>
            </w:pPr>
          </w:p>
        </w:tc>
        <w:tc>
          <w:tcPr>
            <w:tcW w:w="780" w:type="dxa"/>
            <w:vAlign w:val="bottom"/>
            <w:vMerge w:val="continue"/>
            <w:shd w:val="clear" w:color="auto" w:fill="DBDBDB"/>
          </w:tcPr>
          <w:p>
            <w:pPr>
              <w:spacing w:after="0"/>
              <w:rPr>
                <w:sz w:val="18"/>
                <w:szCs w:val="18"/>
                <w:color w:val="auto"/>
              </w:rPr>
            </w:pPr>
          </w:p>
        </w:tc>
        <w:tc>
          <w:tcPr>
            <w:tcW w:w="1680" w:type="dxa"/>
            <w:vAlign w:val="bottom"/>
            <w:gridSpan w:val="4"/>
            <w:vMerge w:val="continue"/>
            <w:shd w:val="clear" w:color="auto" w:fill="DBDBDB"/>
          </w:tcPr>
          <w:p>
            <w:pPr>
              <w:spacing w:after="0"/>
              <w:rPr>
                <w:sz w:val="18"/>
                <w:szCs w:val="18"/>
                <w:color w:val="auto"/>
              </w:rPr>
            </w:pPr>
          </w:p>
        </w:tc>
        <w:tc>
          <w:tcPr>
            <w:tcW w:w="780" w:type="dxa"/>
            <w:vAlign w:val="bottom"/>
            <w:vMerge w:val="continue"/>
            <w:shd w:val="clear" w:color="auto" w:fill="DBDBDB"/>
          </w:tcPr>
          <w:p>
            <w:pPr>
              <w:spacing w:after="0"/>
              <w:rPr>
                <w:sz w:val="18"/>
                <w:szCs w:val="18"/>
                <w:color w:val="auto"/>
              </w:rPr>
            </w:pPr>
          </w:p>
        </w:tc>
        <w:tc>
          <w:tcPr>
            <w:tcW w:w="1680" w:type="dxa"/>
            <w:vAlign w:val="bottom"/>
            <w:gridSpan w:val="4"/>
            <w:vMerge w:val="continue"/>
            <w:shd w:val="clear" w:color="auto" w:fill="DBDBDB"/>
          </w:tcPr>
          <w:p>
            <w:pPr>
              <w:spacing w:after="0"/>
              <w:rPr>
                <w:sz w:val="18"/>
                <w:szCs w:val="18"/>
                <w:color w:val="auto"/>
              </w:rPr>
            </w:pPr>
          </w:p>
        </w:tc>
        <w:tc>
          <w:tcPr>
            <w:tcW w:w="800" w:type="dxa"/>
            <w:vAlign w:val="bottom"/>
            <w:vMerge w:val="continue"/>
            <w:shd w:val="clear" w:color="auto" w:fill="DBDBDB"/>
          </w:tcPr>
          <w:p>
            <w:pPr>
              <w:spacing w:after="0"/>
              <w:rPr>
                <w:sz w:val="18"/>
                <w:szCs w:val="18"/>
                <w:color w:val="auto"/>
              </w:rPr>
            </w:pPr>
          </w:p>
        </w:tc>
        <w:tc>
          <w:tcPr>
            <w:tcW w:w="1360" w:type="dxa"/>
            <w:vAlign w:val="bottom"/>
            <w:gridSpan w:val="2"/>
            <w:shd w:val="clear" w:color="auto" w:fill="DBDBDB"/>
          </w:tcPr>
          <w:p>
            <w:pPr>
              <w:jc w:val="right"/>
              <w:spacing w:after="0" w:line="190" w:lineRule="exact"/>
              <w:rPr>
                <w:sz w:val="20"/>
                <w:szCs w:val="20"/>
                <w:color w:val="auto"/>
              </w:rPr>
            </w:pPr>
            <w:r>
              <w:rPr>
                <w:rFonts w:ascii="Arial" w:cs="Arial" w:eastAsia="Arial" w:hAnsi="Arial"/>
                <w:sz w:val="18"/>
                <w:szCs w:val="18"/>
                <w:color w:val="auto"/>
              </w:rPr>
              <w:t>70.6 %</w:t>
            </w:r>
          </w:p>
        </w:tc>
        <w:tc>
          <w:tcPr>
            <w:tcW w:w="0" w:type="dxa"/>
            <w:vAlign w:val="bottom"/>
          </w:tcPr>
          <w:p>
            <w:pPr>
              <w:spacing w:after="0"/>
              <w:rPr>
                <w:sz w:val="1"/>
                <w:szCs w:val="1"/>
                <w:color w:val="auto"/>
              </w:rPr>
            </w:pPr>
          </w:p>
        </w:tc>
      </w:tr>
      <w:tr>
        <w:trPr>
          <w:trHeight w:val="20"/>
        </w:trPr>
        <w:tc>
          <w:tcPr>
            <w:tcW w:w="15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increased $9.8 million, or 81%, to $21.9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2021 from $12.1 million during the three months ended June 30, 2020. The majority of this is due to increase in employee costs of $7.8 million and contractor costs of $0.9 million. Research and development also increased $22.8 million, or 105%, to $44.5 million during the six months ended June 30, 2021 from $21.7 million during the six months ended June 30, 2020. The increase is mainly attributable to an increase in employee costs of $16.1 million and contractor costs of $1.4 million. Additionally, we incurred costs of $3.3 million related to the tender offer we initiated in February 2021, which resulted in an increase during the six months ended June 30, 2021. Research and development continues to be our highest operating expense as we invest heavily in it in order to drive user engagement with and customer satisfaction in our platform, which we believe helps to drive organic growth in new MAUs and DAUs; this in turn drives additional growth in, and better retention of, paid subscribers, as well as increased advertising opportunities with free users.</w:t>
      </w:r>
    </w:p>
    <w:p>
      <w:pPr>
        <w:spacing w:after="0" w:line="132" w:lineRule="exact"/>
        <w:rPr>
          <w:sz w:val="20"/>
          <w:szCs w:val="20"/>
          <w:color w:val="auto"/>
        </w:rPr>
      </w:pPr>
    </w:p>
    <w:p>
      <w:pPr>
        <w:ind w:right="400"/>
        <w:spacing w:after="0" w:line="303"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increased $1.0 million, or 12%, to $9.6 million during the three months ended June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$8.6 million during the three months ended June 30, 2020.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incurred $0.2 million of additional expenses related to employee costs, the majority of the increase is due to increased spending on media and brand to support both our revenue growth and IPO readiness.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Sales and marketing increased $15.3 million, or 108%, to $29.4 million during the six months ended June 30, 2021 from $14.1 million during the six months ended June 30, 2020. While we incurred $5.1 million of costs related to one-time cash awards we granted to Duolingo contributors under our non-employee volunteer program, which we refer to as contributor awards, and $1.0 million of additional expenses related to employee costs, of which $0.2 million was related to the tender offer, the majority of the increase is from spending on media and brand advertising. See Note 2 to our unaudited condensed consolidated financial statements included elsewhere in this this Quarterly Report on Form 10-Q for further discussion of the contributor awards.</w:t>
      </w:r>
    </w:p>
    <w:p>
      <w:pPr>
        <w:spacing w:after="0" w:line="130" w:lineRule="exact"/>
        <w:rPr>
          <w:sz w:val="20"/>
          <w:szCs w:val="20"/>
          <w:color w:val="auto"/>
        </w:rPr>
      </w:pPr>
    </w:p>
    <w:p>
      <w:pPr>
        <w:ind w:right="380"/>
        <w:spacing w:after="0" w:line="284"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increased $4.2 million, or 57%, to $11.6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2021 from $7.4 million during the three months ended June 30, 2020. The main drivers of this increase were related to the following:</w:t>
      </w:r>
    </w:p>
    <w:p>
      <w:pPr>
        <w:spacing w:after="0" w:line="12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employee-related costs of $2.4 million, including costs incurred as we begin to prepare to operate as a public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Professional fees of $1.3 million, of which $0.8 million was related to IPO and public readiness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increases of $0.5 million, due to increased travel, sales and VAT taxes and depreciation.</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General and administrative increased $8.4 million, or 57%, to $23.0 million during the six months ended June 30, 2021 from $14.7 million during the six months ended June 30, 2020. The main drivers of this increase were related to the following:</w:t>
      </w:r>
    </w:p>
    <w:p>
      <w:pPr>
        <w:spacing w:after="0" w:line="13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employee-related costs of $5.3 million, of which $1.8 million was related to the tender offer,</w:t>
      </w:r>
    </w:p>
    <w:p>
      <w:pPr>
        <w:spacing w:after="0" w:line="171"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Professional fees of $2.9 million, of which $1.2 million was related to IPO and public readiness costs and $0.3 million was related to the tender offer,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costs incurred to expand to our facilities footprint of $0.5 million, of which $0.2 million is related to increased depreciation,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of $0.2 million related to franchise and sales and VAT taxes, expected to be paid out in the current year, and</w:t>
      </w:r>
    </w:p>
    <w:p>
      <w:pPr>
        <w:spacing w:after="0" w:line="171"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increases were partially offset by a $0.5 million reduction in travel related costs due to COVID-19 restrictions put in place in the prior year.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income (expense), net increased $0.3 million during the three months ended June 30, 2021 mainly due to the sale of an R&amp;D tax credit during the current year. Other income (expense), net increased $0.1 million, during the six months ended June 30, 2021 due to the sale of an R&amp;D tax credit, partially offset by a decrease due to changes in foreign currency rates.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inception, we have financed operations primarily through revenues and the net proceeds we have received from issuance of equity and debt securities. We have raised a total of $183.3 million in capital financing, less issuance costs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June 30, 2021, we had $114.6 million in cash and cash equivalents. Our cash and cash equivalents primarily consist of bank deposits and money market funds. Our marketable securities consist of commercial debt, certificates of deposit, U.S. government treasury and agency securities, and commercial paper.</w:t>
      </w:r>
    </w:p>
    <w:p>
      <w:pPr>
        <w:spacing w:after="0" w:line="14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In addition to cash and cash equivalents available as of June 30, 2021, we received aggregate net proceeds of $431.1 million from the Initial Public Offering on July 30, 2021, after deducting underwriting discounts and fees of $24.5 million and offering costs of $4.0 million. 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and renewal activity, the timing of cash received from platforms, the expansion of our sales and marketing activities, the introduction of new products and the enhancements to existing products and the current uncertainty in the global markets resulting from the ongoing COVID-19 pandemic on our operations. We may be required to seek additional equity.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5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 substantial source of our cash from operations is from our deferred revenue, which is included in the liabilities section of our condensed consolidated balance sheet. Deferred revenue consists of the unearned portion of customer billings, which is recognized as revenue in accordance with our revenue recognition policy. As of June 30, 2021, we had deferred revenue of $71.0 million, which is recorded as a current liability and expected to be recognized as revenue in the next 12 months, provided all other revenue recognition criteria have been met.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183"/>
        </w:trPr>
        <w:tc>
          <w:tcPr>
            <w:tcW w:w="79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223"/>
        </w:trPr>
        <w:tc>
          <w:tcPr>
            <w:tcW w:w="7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4,227</w:t>
            </w:r>
          </w:p>
        </w:tc>
        <w:tc>
          <w:tcPr>
            <w:tcW w:w="1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spacing w:after="0"/>
              <w:rPr>
                <w:sz w:val="20"/>
                <w:szCs w:val="20"/>
                <w:color w:val="auto"/>
              </w:rPr>
            </w:pPr>
            <w:r>
              <w:rPr>
                <w:rFonts w:ascii="Arial" w:cs="Arial" w:eastAsia="Arial" w:hAnsi="Arial"/>
                <w:sz w:val="18"/>
                <w:szCs w:val="18"/>
                <w:color w:val="auto"/>
              </w:rPr>
              <w:t>13,180</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rPr>
              <w:t>(3,634)</w:t>
            </w:r>
          </w:p>
        </w:tc>
        <w:tc>
          <w:tcPr>
            <w:tcW w:w="180" w:type="dxa"/>
            <w:vAlign w:val="bottom"/>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20"/>
              <w:spacing w:after="0"/>
              <w:rPr>
                <w:sz w:val="20"/>
                <w:szCs w:val="20"/>
                <w:color w:val="auto"/>
              </w:rPr>
            </w:pPr>
            <w:r>
              <w:rPr>
                <w:rFonts w:ascii="Arial" w:cs="Arial" w:eastAsia="Arial" w:hAnsi="Arial"/>
                <w:sz w:val="18"/>
                <w:szCs w:val="18"/>
                <w:color w:val="auto"/>
              </w:rPr>
              <w:t>(2,316)</w:t>
            </w:r>
          </w:p>
        </w:tc>
      </w:tr>
      <w:tr>
        <w:trPr>
          <w:trHeight w:val="230"/>
        </w:trPr>
        <w:tc>
          <w:tcPr>
            <w:tcW w:w="7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(used for) provided by financing activities</w:t>
            </w:r>
          </w:p>
        </w:tc>
        <w:tc>
          <w:tcPr>
            <w:tcW w:w="980" w:type="dxa"/>
            <w:vAlign w:val="bottom"/>
            <w:tcBorders>
              <w:bottom w:val="single" w:sz="8" w:color="auto"/>
            </w:tcBorders>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(6,447)</w:t>
            </w:r>
          </w:p>
        </w:tc>
        <w:tc>
          <w:tcPr>
            <w:tcW w:w="180" w:type="dxa"/>
            <w:vAlign w:val="bottom"/>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8"/>
                <w:szCs w:val="18"/>
                <w:color w:val="auto"/>
              </w:rPr>
              <w:t>10,426</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(5,854)</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21,290</w:t>
            </w:r>
          </w:p>
        </w:tc>
      </w:tr>
      <w:tr>
        <w:trPr>
          <w:trHeight w:val="20"/>
        </w:trPr>
        <w:tc>
          <w:tcPr>
            <w:tcW w:w="7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 We have generated positive cash flows and have supplemented working capital requirements through net proceeds from the sale of equity and debt securities.</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provided by operating activities for the six months ended June 30, 2021 decreased $9.0 million, or 68%, to $4.2 million. This decrease was due mainly to an increase in net loss for the periods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0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Cash used in investing activities increased $1.3 million, or 57%, to $3.6 million for the six months ended June 30, 2021, from investing activities for the six months ended June 30, 2020 of $2.3 million.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increase is due to capitalization of software development costs and capital expenditures to purchase property and equipment to support office space and site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Cash used for financing activities for the six months ended June 30, 2021 was $6.4 million, and was driven by payments made as a result of the tender offer of $8.2 million in addition to amounts paid related to deferred offering costs of $1.6 million. These payments were partially offset by proceeds from the exercise of stock options of $3.3 million. Cash provided by financing activities for the six months ended June 30, 2020 was $10.4 million and primarily relates to the issuance of convertible preferred stock, net of issuance costs, of $10.0 million, in addition to proceeds from exercises of stock options of $0.5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June 30, 2021, there were no material changes outside the ordinary course of business to the contractual obligations, as disclosed in our Final Prospectus.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Obligations</w:t>
      </w:r>
    </w:p>
    <w:p>
      <w:pPr>
        <w:spacing w:after="0" w:line="207"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condensed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“Management’s Discussion and Analysis of Financial Condition and Results of Operations” set forth in our Final Prospectus.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Note 2, Basis of Presentation and Summary of Significant Accounting Policies in the notes to our condensed consolidated financial statements included in Part I, Item I of this Quarterly Report on Form 10-Q for a discussion of 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an “emerging growth company” as defined under the JOBS Act.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71" w:lineRule="exact"/>
        <w:rPr>
          <w:sz w:val="20"/>
          <w:szCs w:val="20"/>
          <w:color w:val="auto"/>
        </w:rPr>
      </w:pPr>
    </w:p>
    <w:p>
      <w:pPr>
        <w:ind w:right="2740"/>
        <w:spacing w:after="0" w:line="512" w:lineRule="auto"/>
        <w:rPr>
          <w:sz w:val="20"/>
          <w:szCs w:val="20"/>
          <w:color w:val="auto"/>
        </w:rPr>
      </w:pPr>
      <w:r>
        <w:rPr>
          <w:rFonts w:ascii="Arial" w:cs="Arial" w:eastAsia="Arial" w:hAnsi="Arial"/>
          <w:sz w:val="18"/>
          <w:szCs w:val="18"/>
          <w:color w:val="auto"/>
        </w:rPr>
        <w:t xml:space="preserve">results and financial statements of companies who have adopted the new or revised accounting standards. </w:t>
      </w: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Interest Rate Risk</w:t>
      </w:r>
    </w:p>
    <w:p>
      <w:pPr>
        <w:spacing w:after="0" w:line="2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June 30, 2021, we had $104 million of cash equivalents invested in money market funds. Our cash and cash equivalents are held for working capital purposes in addition to future investments in our product. We do not enter into investments for trading or speculative purposes. Our investments are exposed to market risk due to a fluctuation in interest rates, which may affect our interest income and the fair market value of our investments. As of June 30, 2021, a hypothetical 10% relative change in interest rates would not have a material impact on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7"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the design and operation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207"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As disclosed in the “Risk Factors” section of the final prospectus, we previously identified a material weakness with our internal control over financial reporting as we had not designed or maintained an effective control environment and associated control activities to meet our accounting and reporting requirements. Specifically we did not have a sufficient complement of personnel with an appropriate degree of internal controls and accounting knowledge, we did not have a sufficiently documented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assessment process to identify and analyze risks of misstatement due to error and/or fraud and in certain cases we did not have appropriate reviews over journal entries and third party reported information to allow for reliable and timely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Efforts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During 2020, we established a remediation plan to address our material weakness and we have been actively engaged in the implementation of remediation efforts to address the material weakness. As part of our commitment we have hired a complement of personnel, have established a risk assessment process, established reviews over journal entries and third party reported information and continue to evaluate the additional internal controls we have designed in 2020 and 2021.</w:t>
      </w:r>
    </w:p>
    <w:p>
      <w:pPr>
        <w:spacing w:after="0" w:line="15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While we believe that these efforts will improve our internal control over financial reporting, our remediation is ongoing and will require validation and testing of the design and operating effectiveness of internal controls over a sustained period of financial reporting cycles. There can be no assurance that the measures we have taken to date, and are continuing to implement, will be sufficient to remediate the material weaknesses described above or prevent future material weaknesses or other deficiencies from occurring. There is no assurance that we will not identify additional material weaknesses in our internal control over financial reporting in the future.</w:t>
      </w:r>
    </w:p>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believe we are making progress toward achieving effectiveness of our internal controls and disclosure controls.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subsequent evaluation of their effectiveness.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Except as otherwise described herein, there were no changes in our internal control over financial reporting, as defined in Rules 13a-15(f) and 15d-15(f) under the Exchange Act, during the quarter ended June 30, 2021 that materially affected, or are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desired objectives.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Our business, operations and financial results are subject to various risks and uncertainties, including those described below, that could materially adversely affect our business, results of operations, financial condition, and the trading price of our Class A common stock. You should carefully consider the risks and uncertainties described below, together with all of the other information contained in this Quarterly Report on Form 10-Q, including "Management's Discussion and Analysis of Financial Condition and Results of Operations" and the financial statements and the related notes. If any of the following risks actually occur, it could harm our business, prospects, operating results, and financial condition and future prospects. In such event, the market price of our Class A common stock could decline and you could lose all or part of your investment.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13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We expect that the size of our user base will fluctuate or decline in one or more markets from time to time. If people do not perceive our products to be useful, effective, reliable, and/or trustworthy, we may not be able to attract or keep users or otherwise maintain or increase the frequency and duration of their engagement or the percentage of users that are converted into paying subscribers. There is no guarantee that we will not experience an erosion of our user base or engagement levels. User engagement can be difficult to measure, particularly as we introduce new and different products and services. Any number of factors can negatively affect user stickiness, growth, engagement and conversion, including if:</w:t>
      </w:r>
    </w:p>
    <w:p>
      <w:pPr>
        <w:spacing w:after="0" w:line="14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increasingly engage with other competitive products or services instead of our own;</w:t>
      </w:r>
    </w:p>
    <w:p>
      <w:pPr>
        <w:spacing w:after="0" w:line="171" w:lineRule="exact"/>
        <w:rPr>
          <w:rFonts w:ascii="Arial" w:cs="Arial" w:eastAsia="Arial" w:hAnsi="Arial"/>
          <w:sz w:val="18"/>
          <w:szCs w:val="18"/>
          <w:color w:val="auto"/>
        </w:rPr>
      </w:pPr>
    </w:p>
    <w:p>
      <w:pPr>
        <w:ind w:left="660" w:right="7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 behavior on any of our products changes, including decreases in the frequency and duration of use of our products and services;</w:t>
      </w:r>
    </w:p>
    <w:p>
      <w:pPr>
        <w:spacing w:after="0" w:line="14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feel that their experience is diminished as a result of the decisions we make with respect to the frequency, prominence, format, size and quality of ads that we display;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become concerned about our user data practices or other matters related to privacy and the sharing of user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lose confidence in our ability to teach language or other subjects or have concerns related to security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users are no longer willing to pay for subscriptions or in-app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7" w:lineRule="exact"/>
        <w:rPr>
          <w:sz w:val="20"/>
          <w:szCs w:val="20"/>
          <w:color w:val="auto"/>
        </w:rPr>
      </w:pPr>
    </w:p>
    <w:p>
      <w:pPr>
        <w:ind w:left="660" w:right="2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users have difficulty installing, updating or otherwise accessing our products on mobile devices as a result of actions by us or third parties that we rely on to distribute our products and deliver our services;</w:t>
      </w:r>
    </w:p>
    <w:p>
      <w:pPr>
        <w:spacing w:after="0" w:line="143"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introduce new features, products or services that users find engaging or if we introduce new products or services, or make changes to existing products and services, that are not favorably received;</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initiatives designed to attract and keep users and increase engagement are unsuccessful or discontinued, whether as a result of actions by us, third parties or otherwise;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a decrease in user stickiness as a result of users no longer being interested in pursuing online language learning or reaching a point where they feel our product cannot advance their language ability;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initiatives that may enable greater use of our products, including low-cost or discounted data plans, are discontinued;</w:t>
      </w:r>
    </w:p>
    <w:p>
      <w:pPr>
        <w:spacing w:after="0" w:line="171"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adopt terms, policies or procedures related to areas such as user data or advertising that are perceived negatively by our users or the general public;</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combat inappropriate or abusive activity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provide adequate customer service to users, marketers or other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protect our brand image or reputation;</w:t>
      </w:r>
    </w:p>
    <w:p>
      <w:pPr>
        <w:spacing w:after="0" w:line="171"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our partners or companies in our industry are the subject of adverse media reports or other negative publicity, including as a result of our or their user data practices;</w:t>
      </w:r>
    </w:p>
    <w:p>
      <w:pPr>
        <w:spacing w:after="0" w:line="143" w:lineRule="exact"/>
        <w:rPr>
          <w:rFonts w:ascii="Arial" w:cs="Arial" w:eastAsia="Arial" w:hAnsi="Arial"/>
          <w:sz w:val="18"/>
          <w:szCs w:val="18"/>
          <w:color w:val="auto"/>
        </w:rPr>
      </w:pPr>
    </w:p>
    <w:p>
      <w:pPr>
        <w:ind w:left="660" w:right="38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14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internet shutdowns or other actions by governments that affect the accessibility of our products in any of our markets;</w:t>
      </w:r>
    </w:p>
    <w:p>
      <w:pPr>
        <w:spacing w:after="0" w:line="143"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14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changes in prevailing social, cultural or political preferences in the markets where we operate;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changes mandated by legislation, regulatory authorities or litigation that adversely affect our products or users.</w:t>
      </w:r>
    </w:p>
    <w:p>
      <w:pPr>
        <w:spacing w:after="0" w:line="1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 not access our products regularly throughout the day. Any decrease in user stickiness, growth or engagement could render our products less attractive to users, which is likely to have a material and adverse impact on our revenue, business, financial condition and results of operations. If our user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17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rate slows or declines, we will become increasingly dependent on our ability to maintain or increase levels of user engagement and monetization in order to drive revenue growth.</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online language learning industry is highly competitive, with a consistent stream of new products and entrants. As a result, new products, entrants and business models are likely to continue to emerge, both in the United States and abroad. It is possible that a new product could gain rapid scale at the expense of existing brands through harnessing a new technology, or a new or existing distribution channel, creating a new or different approach to connecting people or some other means.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w:t>
      </w:r>
    </w:p>
    <w:p>
      <w:pPr>
        <w:spacing w:after="0" w:line="152"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Many of the current and potential competitors, both domestically and internationally, have substantially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and/or cost-effectively than us to new or changing opportunities, new or emerging technologies or changes in customer requirements and preferences, or to offer lower prices than ours or to offer free language-learning products or services.</w:t>
      </w:r>
    </w:p>
    <w:p>
      <w:pPr>
        <w:spacing w:after="0" w:line="15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stories, news, digital textbooks, and through other means, which compete with our products. We estimate that there are thousands of free mobile applications for language learning; free products are provided in at least 50 languages by private companies, universities and government agencies. Low barriers to entry allow start-up companies with lower costs and less pressure for profitability to compete with us. Competitors that are focused more on user acquisition rather than profitability may be able to offer products at significantly lower prices or for free. As free online translation services improve and become more widely available and used, people may generally become less interested in language learning. If we cannot successfully attract users of these free products and convert a sufficient portion of these free users into paying users, our business could be adversely affected. If free products become more engaging and competitive or gain widespread acceptance by the public, demand for our products could decline or we may have to lower our prices, which could adversely impact our revenue and other results.</w:t>
      </w:r>
    </w:p>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For example, in 2020, Apple released “Translate," an iOS translation app developed by Apple for iOS devices, to translate text sentences or speech between several languages. Potential competitors also include established social media companies that may develop products, features, or services that may compete with ours or operators of mobile operating systems and app stores. These social media and mobile platform competitors could use strong or dominant positions in one or more markets, and ready access to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large pools of potential users and personal information regarding those users, to gain competitive advantages over us. These may include offering different product features, services or pricing models that users may prefer, which may enable them to acquire and engage users at the expense of our user growth or engagement.</w:t>
      </w:r>
    </w:p>
    <w:p>
      <w:pPr>
        <w:spacing w:after="0" w:line="14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11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Changes to our existing brand and products, or the introduction of a new brand or products, could fail to attract or keep users or generate revenue and profits.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ability to keep, increase, and engage our user base and to increase our revenue depends heavily on our ability to continue to evolve our existing brand and products and to create successful new brands and products. We may introduce significant changes to our existing brand and products, or acquire or introduce new and unproven brands, products and product extensions, including using technologies with which we have little or no prior development or operating experience.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in 2020, we launched our Duolingo ABC app, which has not yet generated any revenue for us. There is no guarantee that investing in new lines of business, new products, new product extensions and other initiatives will succeed. If our new or enhanced brands, products or product extensions fail to engage users, we may fail to attract or keep users or to generate sufficient revenue, operating margin, or other value to justify our investments, and our business may be materially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as a result, our past results may not be indicative of future operating performance.</w:t>
      </w:r>
    </w:p>
    <w:p>
      <w:pPr>
        <w:spacing w:after="0" w:line="20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a limited operating history, which makes it difficult to forecast our future results. You should not rely on our past quarterly operating results as indicators of future performance. You should take into account and evaluate our prospects in light of the risks and uncertainties frequently encountered by companies in rapidly-evolving markets like ours.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had operating losses each year since our inception and we may not achieve or maintain profitability in the future.</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have incurred operating losses each year since our inception and we may not achieve or maintain profitability in the future. Although our revenue has increased each quarter since the first quarter of 2018,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3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have experienced rapid growth and demand for our services since inception. We have expanded our operations rapidly and have limited operating experience at our current size. As we have grown, we have increased our employee headcount and we expect headcount growth to continue for the foreseeable future. From December 31, 2018 to June 30, 2021, our headcount grew from approximately 140 employees to over 400 employees.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If our management team does not effectively scale with our growth, we may experience erosion to our brand,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w:t>
      </w:r>
    </w:p>
    <w:p>
      <w:pPr>
        <w:spacing w:after="0" w:line="15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11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 margin and profitability. If these efforts are not successful, our ability to grow revenue will be harmed, which could materially adversely affect our business and financial performance.</w:t>
      </w:r>
    </w:p>
    <w:p>
      <w:pPr>
        <w:spacing w:after="0" w:line="12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Our quarterly operating results and other operating metrics may fluctuate from quarter to quarter, which makes these metrics difficult to predict.</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quarterly operating results and other operating metrics have fluctuated in the past and may continue to fluctuate from quarter to quarter, which makes them difficult to predict. Our financial condition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results in any given quarter can be influenced by numerous factors, many of which we are unable to predict or are outside of our control, including, for example:</w:t>
      </w:r>
    </w:p>
    <w:p>
      <w:pPr>
        <w:spacing w:after="0" w:line="13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size and effectiveness of our marketing efforts;</w:t>
      </w:r>
    </w:p>
    <w:p>
      <w:pPr>
        <w:spacing w:after="0" w:line="171"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success of new product, service and feature introductions by us or our competitors or any other change in the competitive landscape of our market;</w:t>
      </w:r>
    </w:p>
    <w:p>
      <w:pPr>
        <w:spacing w:after="0" w:line="143"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rate at which we attract new users, the level of engagement of such users and the propensity of such users to subscribe to our brands or to purchase à la carte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expansion into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errors in our forecasting of the demand for our products and services, which could lead to lower revenue or increased costs, or both;</w:t>
      </w:r>
    </w:p>
    <w:p>
      <w:pPr>
        <w:spacing w:after="0" w:line="182" w:lineRule="exact"/>
        <w:rPr>
          <w:rFonts w:ascii="Arial" w:cs="Arial" w:eastAsia="Arial" w:hAnsi="Arial"/>
          <w:sz w:val="17"/>
          <w:szCs w:val="17"/>
          <w:color w:val="auto"/>
        </w:rPr>
      </w:pPr>
    </w:p>
    <w:p>
      <w:pPr>
        <w:ind w:left="660" w:right="4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sales and marketing, product development or other operating expenses that we may incur to grow and expand our operations and to remain competitive;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diversification and growth of our revenue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gross margins and operating margins;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and changes in the proportion of our expenses denominated in foreign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right="8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development and improvement of the quality of the Duolingo language app and Duolingo English Test, other Duolingo experiences, including, enhancing existing and creating new products, services, technology and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continued development and upgrading of our technology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system failures or breaches of security or privacy;</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intellectual property rights and successfully defend against claims of infringement, misappropriation or other violations of third-party intellectual property;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143" w:lineRule="exact"/>
        <w:rPr>
          <w:rFonts w:ascii="Arial" w:cs="Arial" w:eastAsia="Arial" w:hAnsi="Arial"/>
          <w:sz w:val="18"/>
          <w:szCs w:val="18"/>
          <w:color w:val="auto"/>
        </w:rPr>
      </w:pPr>
    </w:p>
    <w:p>
      <w:pPr>
        <w:ind w:left="660" w:right="42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business or macroeconomic conditions, including the impact of the current COVID-19 outbreak, lower consumer confidence in our business or in the online learning industry generally, recessionary conditions, increased unemployment rates, stagnant or declining wages, political unrest, armed conflicts, or natural disasters.</w:t>
      </w:r>
    </w:p>
    <w:p>
      <w:pPr>
        <w:spacing w:after="0" w:line="1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2" w:name="page43"/>
    <w:bookmarkEnd w:id="42"/>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Our user metrics and other estimates are subject to inherent challenges in measurement, and real or perceived inaccuracies in those metrics may negatively affect our reputation and our business.</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track certain key operational metrics and non-GAAP financial measures, including MAUs, DAUs, paid subscribers, subscription bookings, total bookings, Adjusted EBITDA and free cash flow,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 system to miscount the user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are used across large populations globally.</w:t>
      </w:r>
    </w:p>
    <w:p>
      <w:pPr>
        <w:spacing w:after="0" w:line="16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results of operations, and financial condition could be materially adversely affected.</w:t>
      </w:r>
    </w:p>
    <w:p>
      <w:pPr>
        <w:spacing w:after="0" w:line="120" w:lineRule="exact"/>
        <w:rPr>
          <w:sz w:val="20"/>
          <w:szCs w:val="20"/>
          <w:color w:val="auto"/>
        </w:rPr>
      </w:pPr>
    </w:p>
    <w:p>
      <w:pPr>
        <w:jc w:val="both"/>
        <w:ind w:right="440"/>
        <w:spacing w:after="0" w:line="291" w:lineRule="auto"/>
        <w:rPr>
          <w:sz w:val="20"/>
          <w:szCs w:val="20"/>
          <w:color w:val="auto"/>
        </w:rPr>
      </w:pPr>
      <w:r>
        <w:rPr>
          <w:rFonts w:ascii="Arial" w:cs="Arial" w:eastAsia="Arial" w:hAnsi="Arial"/>
          <w:sz w:val="17"/>
          <w:szCs w:val="17"/>
          <w:b w:val="1"/>
          <w:bCs w:val="1"/>
          <w:i w:val="1"/>
          <w:iCs w:val="1"/>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changes to our detriment, if we violate, or if a platform provider believes that we have violated, the terms and conditions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3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platform, or if any of these platforms loses market share or falls out of favor or is unavailable for a prolonged period of time, our business will suffer.</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products depend on mobile app stores and other third parties such as data center service providers, as well as third party payment aggregators, computer systems, internet transit providers and other communications systems and service providers. Our mobile applications are almost exclusively accessed through and depend on the Apple App Store and the Google Play Store. While our mobile applications are generally free to download from these stores, we offer our users the opportunity to purchase subscriptions and certain à la carte features through these applications. We determine the prices at which these subscriptions and features are sold. Purchases of these subscriptions and features via our mobile applications are mainly processed through the in-app payment systems provided by Apple and Google. We pay Apple and Google, as applicable, a meaningful share (generally 30%) of the revenue we receive from transactions processed through in-app payment systems. In 2020, we derived 51% of our revenue and 53% of our total bookings from the Apple App Store, and 19% of our revenue and 20% of our total bookings from the Google Play Store. The timing of their payments also may change, which may negatively impact our cash receipts and working capital. While we do not anticipate any interruption in their distribution platforms or ability to accept customer payments, any such disruptions, even temporary, may have material impacts on our business and operations.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are subject to the standard policies and terms of service of third-party platforms, which govern the promotion, distribution, content and operation generally of apps on the platform. Each platform provider 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In addition, our distribution agreements with Apple and Google are generally terminable by Apple or Google without cause with 30 days prior written notice (to the extent allowed by applicable local law). Apple and Google may also terminate our agreements with them immediately (unless a longer period is required by applicable law) under certain circumstances, including upon our uncured breach of such agreements. To the extent Apple, Google or other third party platform providers on which we rely make such changes or terminate our agreements with them, our business, financial condition and results of operations could be materially adversely affected.</w:t>
      </w:r>
    </w:p>
    <w:p>
      <w:pPr>
        <w:spacing w:after="0" w:line="15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users can share information with their friends on the platform or across platforms. For example, in December 2017, Apple revised its App Store Guidelines to require the disclosure of the odds of receiving certain types of virtual items from “loot boxes” (or similar mechanisms that offer a paid license to randomized virtual items) before customers purchase a license for the virtual items, and in May 2019 Google revised its Play Store policies to require similar disclosures. As another example, in 2020 Apple announced that a version update of iOS 14 will require its users, on an app-by-app basis, to explicitly opt-in to the use of identifier-for-advertising, a device identifier assigned by Apple to each of its devices and used by advertisers to attribute app installs to advertising campaigns, target users through user acquisition, and deliver targeted ads. Based on statements from Apple, we anticipate these changes will take effect in 2021. We are continuing to evaluate how these rules or announced changes may affect our business,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significantly reduce our ability to distribute our products to users, decrease the size of the user base we could convert into paying users, or decrease the revenues we derive from paying users or advertisers, each of which would materially and adversely affect our business, financial condition and results of operations.</w:t>
      </w:r>
    </w:p>
    <w:p>
      <w:pPr>
        <w:spacing w:after="0" w:line="136" w:lineRule="exact"/>
        <w:rPr>
          <w:sz w:val="20"/>
          <w:szCs w:val="20"/>
          <w:color w:val="auto"/>
        </w:rPr>
      </w:pPr>
    </w:p>
    <w:p>
      <w:pPr>
        <w:jc w:val="both"/>
        <w:ind w:right="260"/>
        <w:spacing w:after="0" w:line="269" w:lineRule="auto"/>
        <w:rPr>
          <w:sz w:val="20"/>
          <w:szCs w:val="20"/>
          <w:color w:val="auto"/>
        </w:rPr>
      </w:pPr>
      <w:r>
        <w:rPr>
          <w:rFonts w:ascii="Arial" w:cs="Arial" w:eastAsia="Arial" w:hAnsi="Arial"/>
          <w:sz w:val="18"/>
          <w:szCs w:val="18"/>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users’ ability to access our app or access social features, our business, financial condition, results of operations or reputation may be harmed.</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and/or prolonged it could adversely affect our business, financial condition, results of operations or reputation.</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an agreement that continues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15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Any failure, disruption or interference with our use of hosted cloud computing services and systems provided by third-parties, like AWS or Google Cloud, could adversely impact our business, financial condition or results of operations. In addition, since many of the technical specialists responsible for managing disruptions to our technology infrastructure are working from home in accordance with shelter-in-place orders issued due to the COVID-19 pandemic, the time required to remedy any interruption may increase.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business interruption, which may cause interruption in service of our products, security breaches or the loss of data or functionality, leading to a negative effect on our business, financial condition or results of operations.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derive a portion of our revenues from advertisements. If we are unable to continue to compete for these advertisements, or if any events occur that negatively impact our relationships with advertising networks, our advertising revenues and operating results would be negatively impacted.</w:t>
      </w:r>
    </w:p>
    <w:p>
      <w:pPr>
        <w:spacing w:after="0" w:line="152"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We generate advertising revenue from the sale of display and video advertising delivered through advertising impressions. In 2020, approximately 17% of our total revenues were derived from advertising. We generally enter into arrangements with the major programmatic advertising networks to monetize our advertising inventory. We need to maintain good relationships with these advertising networks to provide us with a sufficient inventory of advertisements. 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and enhance returns for our advertising partners. If our relationship with any advertising partners terminates for any reason, or if the commercial terms of our relationships are changed or do not continue to be renewed on favorable terms, we would need to qualify new advertising partners, which could negatively impact our revenues, at least in the short term.</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As of April 2021, Apple has deployed further changes, requiring its users with a version of iOS 14 (and presumably future iOS versions) to opt into the use of identifier-for-advertising on a per app basis. Furthermore, laws and regulations may also make it more difficult to deliver personalized or targeted advertising or impose requirements that result in more users making elections to block our ability to deliver targeted ads. If users do not elect to participate in functionality that supports the delivery of targeted advertising on their devices, our ability to deliver effective advertising campaigns could suffer, which could cause our business, financial condition, or results of operations to suffer. The impact of these operating systems changes or potential future regulation on targeted advertising is highly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we are not able to maintain the value and reputation of our brand, our ability to expand our base of users may be impaired, and our business and financial results may be harmed.</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or “apps,” and the low barriers to entry for companies offering language learning products and services. Many of our new users are referred by existing users. Maintaining our brand will depend largely on our ability to continue to provide useful, reliable, trustworthy and innovative products, which we may not do successfully.</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Further, we may experience media, legislative, or regulatory scrutiny of our actions or decisions regarding user privacy, encryption, content, contributors, advertising and other issues, which may materially adversely affect our reputation and brand. In addition, we may fail to respond expeditiously or 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growth and profitability rely, in part, on our ability to attract and keep users through cost-effective marketing efforts, including through our social media presence and use of social media influencers. Any failure in these efforts could materially adversely affect our business, financial condition and results of operations.</w:t>
      </w:r>
    </w:p>
    <w:p>
      <w:pPr>
        <w:spacing w:after="0" w:line="15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have increased our marketing expenditures over time in order to attract and keep users and sustain our growth. For the three months ended June 30, 2021 and 2020, our sales and marketing expenses were $9.6 million and $8.6 million, respectively. For the six months ended June 30, 2021 and 2020, our sales and marketing expenses were $29.4 million and $14.1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 expenditures to newer advertising channels, such as mobile and online video platforms as well as targeted campaigns in which we communicate directly with potential, former and current users via new virtual means.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Any failure to do so could materially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risks as a mission-based company.</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a critical contributor to our success has been our commitment to make free language learning available worldwide in an effort to help people throughout the world improve their economic 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 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As a result, our brand and reputation may be negatively affected by actions we take that are viewed as contrary to that mission,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as features that are only available to Plus subscribers or changes to the free offering that are viewed as undermining how fun or effective the free offering is. In these or other circumstances, the damage to our reputation may be greater than to other companies that do not share similar values with us, and it may take us longer to recover from such an incident and gain back the trust of our users.</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may make decisions regarding our business and products in accordance with Duolingo’s mission and values that may reduce our short-or medium-term operating results if we believe those decisions are consistent with the mission and will improve the aggregate user experience. Although we expect that our commitment to Duolingo’s mission will, accordingly, improve our financial performance over the long term, these decisions may not be consistent with the expectations of investors and any longer-term benefits may not materialize within the time frame we expect or at all, which could harm our business, revenue and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materially adversely affect our business, brand image or reputation.</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Unfavorable publicity or media reports regarding us, our privacy practices, data security compromises or breaches, product changes, product or service quality or features, litigation or regulatory activity or regarding the actions of our partners, our users, our employees or other companies in our industry, could materially adversely affect our brand image or reputation, regardless of the veracity of such publicity or media reports. If we fail to protect our brand image or reputation, we may experience material adverse effects to the size, demographics, engagement, and loyalty of our user base, resulting in decreased revenue, fewer app installs (or increased app uninstalls), or slower user growth rates.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 us to be negative, the price of our Class A common stock may be materially adversely affected. Any of the foregoing could materially adversely affect our business, financial condition and results of operations.</w:t>
      </w:r>
    </w:p>
    <w:p>
      <w:pPr>
        <w:spacing w:after="0" w:line="12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 See “—Our employees could engage in misconduct that materially adversely affects us.”</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resulting from the COVID-19 pandemic,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52"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Finally, effective succession planning is also important to our future success.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consultants and third party providers could engage in misconduct that materially adversely affects us.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employees, consultants and third party providers could engage in misconduct that materially and adversely affects us.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these parties,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 party providers were to engage in or be accused of misconduct, we could be exposed to legal liability, incur substantial costs, our business and reputation could be materially adversely affected, and we could fail to retain key employees. See “—Unfavorable media coverage could seriously harm our business, brand image or reputation.”</w:t>
      </w:r>
    </w:p>
    <w:p>
      <w:pPr>
        <w:spacing w:after="0" w:line="11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If the acceptance by educational organizations of technology-based education does not continue to grow, or if technology-based education is discouraged by educational organizations, it could have a material adverse effect on our business.</w:t>
      </w:r>
    </w:p>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success depends in part upon the continued adoption by educational organizations, such as schools, of technology-based education initiatives, including online learning. Some educators utilize our language learning application or Duolingo for Schools, our free web-based tool for teachers, as part of their curriculums or as a supplement to their curriculums. Based on a 2020 survey, we believe that almost 40% of foreign language teachers in US K-12 schools use Duolingo in their classrooms in some form. However, some academics and educators oppose online education in principle and have expressed concerns regarding the perceived loss of control over the education process that could result from offering or utilizing courses online. If the acceptance of technology-based education does not continue to grow, or if schools and other educational organizations do not continue to utilize our language learning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classroom or do not promote the utilization of our language learning application outside of the classroom, our ability to continue to grow our language learning application could be impaired.</w:t>
      </w:r>
    </w:p>
    <w:p>
      <w:pPr>
        <w:spacing w:after="0" w:line="10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If the recognition by schools and other educational organizations of the value of technology-based assessment does not continue to grow, or if schools and other organizations reduce their reliance on assessment in general, our ability to generate revenue from our assessment, including our Duolingo English Test, could be impaired.</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success of the Duolingo English Test depends in part upon the continued recognition and acceptance by schools and other educational organizations of technology-based assessment and upon the continued utilization of assessment in general. As a result of the COVID-19 pandemic, in 2020, a number of universities waived standardized test requirements for admissions requirements and some universities plan to phase out requirements for standardized testing altogether. In addition, some have questioned the validity of language assessments taken online. If schools and other educational organizations reduce their reliance, or altogether cease to use standardized testing as part of admissions processes or otherwise, or reduce or eliminate reliance on standardized testing, it would have a material adverse effect on our Duolingo English Test business, which could adversely affect our revenues and results of operations.</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Both our language learning application and the Duolingo English Test are available all over the world. Operating internationally, particularly in countries in which we have limited experience, exposes us to a number of additional risks, including:</w:t>
      </w:r>
    </w:p>
    <w:p>
      <w:pPr>
        <w:spacing w:after="0" w:line="13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and cultural differences;</w:t>
      </w:r>
    </w:p>
    <w:p>
      <w:pPr>
        <w:spacing w:after="0" w:line="171"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resources required to localize our platform and services, which often requires the translation of our platform into foreign languages and adaptation for local practices and regulatory requirements;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levels of social and technological acceptance of our products or lack of acceptance of them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fluctuations, and in particular, decreases in the value of foreign currencies relative to the US dollar;</w:t>
      </w:r>
    </w:p>
    <w:p>
      <w:pPr>
        <w:spacing w:after="0" w:line="171"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transfer of funds among countries and back to the United States, as well as costs associated with repatriating funds to the United States;</w:t>
      </w:r>
    </w:p>
    <w:p>
      <w:pPr>
        <w:spacing w:after="0" w:line="143"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and potentially adverse tax laws, including resulting from the complexities of foreign corporate income tax systems, value added tax (VAT) regimes, tax withholding rules, and other indirect taxes, tax collection or remittance obligations, and restrictions on the repatriation of earnings;</w:t>
      </w:r>
    </w:p>
    <w:p>
      <w:pPr>
        <w:spacing w:after="0" w:line="147"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143"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challenges due to different laws and regulatory environments, particularly in the case of privacy, data security, and content, which are complex, sometimes inconsistent, and subject to unexpected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5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competitive environments that favor local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or varied protection for our intellectual property rights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 usage and/or penetration of internet-connected consumer electronic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tension or social unrest and economic instability, particularly in countries in which we operate;</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 sanctions, political unrest, terrorism, war, health and safety epidemics (such as the COVID-19 pandemic) or the threat of any of these events; and</w:t>
      </w:r>
    </w:p>
    <w:p>
      <w:pPr>
        <w:spacing w:after="0" w:line="143"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breaches or violation of any anti-corruption laws, rules or regulations applicable to our business, including but not limited to the Foreign Corrupt Practices Act of 1977, as amended.</w:t>
      </w:r>
    </w:p>
    <w:p>
      <w:pPr>
        <w:spacing w:after="0" w:line="157"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Moreover, geopolitical tensions or regulatory uncertainty in countries in which we operate, such as China, may prevent us from operating in certain countries or increase our costs of operating in those countries. 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to the factors listed above, we have invested to expand our operations in China, which is an intensely competitive market, both on the consumer side and from a talent perspective. We expect to continue to incur significant expenses to operate our business in China, and we may not achieve profitability in that market. As we expand our operations in China, the above factors, sentiment of the workforce in China, and China’s policy towards foreign direct investment and for profit educational technology companies may particularly impact our operations in China. Further, as we expand our operations in China, we expect to continue to make modifications to the way our website, mobile apps, offerings, and features function in China as compared to other countries. In addition, we need to ensure that our business practices in China are compliant with local laws and regulations, which may be interpreted and enforced in ways that are different from our interpretation, and/or create obligations on us that are costly to meet or conflict with laws in other jurisdictions. For instance, recently our language learning application became unavailable for download on most app stores in China. While we believe this is temporary and we are in discussions with authorities that we believe will result in us being restored to such app stores, it serves as an example of how the Chinese regulatory regime could adversely impact our efforts in China. Our office of approximately 19 employees in Beijing makes it easier for the Chinese authorities to bring enforcement actions against us.</w:t>
      </w:r>
    </w:p>
    <w:p>
      <w:pPr>
        <w:spacing w:after="0" w:line="15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10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Our business and results of operations may be materially adversely affected by the recent COVID-19 pandemic or other similar outbreaks.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business could be materially adversely affected by the outbreak of a widespread health epidemic or pandemic, including the COVID-19 pandemic. The COVID-19 pandemic has reached across the globe, resulting in the implementation of significant governmental measures, including lockdowns, closures, quarantines, and travel bans intended to control the spread of the virus. While some of these measures have been relaxed over the past few months in certain parts of the world, ongoing social distancing measures, and future prevention and mitigation measures, as well as the potential for some of these measures to be reinstituted in the event of repeat waves of the virus, are likely to have an adverse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global economic conditions and consumer confidence and spending, and could materially adversely affect demand, or users’ ability to pay, for our products and services.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public health epidemic or pandemic, including COVID-19, poses the risk that Duolingo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In addition, in response to the COVID-19 outbreak, we have taken several precautions that may adversely impact employee productivity, such as requiring employees to work remotely, imposing travel restrictions, and temporarily closing office locations.</w:t>
      </w:r>
    </w:p>
    <w:p>
      <w:pPr>
        <w:spacing w:after="0" w:line="1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 widespread epidemic, pandemic or other health crisis could also cause significant volatility in global markets. The COVID-19 outbreak has caused disruption in financial markets, which if it continues or intensifies, could reduce our ability to access capital and thereby negatively impact our liquidity.</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Furthermore health crises such as COVID-19 may disrupt or alter behaviors of large numbers of users or potential users due to either mandated stay at home orders or the lifting of such orders or non-mandated changes in consumer behavior. The impact of such changes are very hard to predict and could either serve to accelerate, slow down or just make less predictable user growth and behavior, all of which could negatively impact our operating results and our ability to predict them.</w:t>
      </w:r>
    </w:p>
    <w:p>
      <w:pPr>
        <w:spacing w:after="0" w:line="152" w:lineRule="exact"/>
        <w:rPr>
          <w:sz w:val="20"/>
          <w:szCs w:val="20"/>
          <w:color w:val="auto"/>
        </w:rPr>
      </w:pPr>
    </w:p>
    <w:p>
      <w:pPr>
        <w:ind w:right="720"/>
        <w:spacing w:after="0" w:line="269" w:lineRule="auto"/>
        <w:rPr>
          <w:sz w:val="20"/>
          <w:szCs w:val="20"/>
          <w:color w:val="auto"/>
        </w:rPr>
      </w:pPr>
      <w:r>
        <w:rPr>
          <w:rFonts w:ascii="Arial" w:cs="Arial" w:eastAsia="Arial" w:hAnsi="Arial"/>
          <w:sz w:val="18"/>
          <w:szCs w:val="18"/>
          <w:color w:val="auto"/>
        </w:rPr>
        <w:t>We intend to continue to execute on our strategic plans and operational initiatives during the COVID-19 outbreak; however, the aforementioned uncertainties may result in delays or modifications to these plans and initiatives. Part of our growth strategy includes increasing the number of international users and expanding into additional geographies. The timing and success of our international expansion may be negatively impacted by COVID-19, which could impede our anticipated growth.</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outbreak could increase the magnitude of many of the other risks described in this Quarterly Report on Form 10-Q,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An economic downturn or economic uncertainty may adversely affect consumer discretionary spending and demand for our products and services.</w:t>
      </w:r>
    </w:p>
    <w:p>
      <w:pPr>
        <w:spacing w:after="0" w:line="134"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consumer demand for our products may not grow as we expect. Our sensitivity to economic cycles and any related fluctuation in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our products and services could materially adversely affect our business, financial condition, and results of operations. In addition, political instability or adverse political developments, could harm our business, financial condition and results of operations.</w:t>
      </w:r>
    </w:p>
    <w:p>
      <w:pPr>
        <w:spacing w:after="0" w:line="10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Security breaches of our networks, systems or applications, improper unauthorized access to or disclosure of our proprietary data or user-related data, including personal data, other hacking and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158"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products and services and the operation of our business involve the collection, storage, processing, and transmission of data, including personal data. The information systems that store and process such data are susceptible to increasing threats of continually evolving cybersecurity risks. In particular, our industry is prone to cyber-attacks by third parties seeking unauthorized access to confidential or sensitive data, including user personal data, or to disrupt our ability to provide services. We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data processed on such systems can cause interruptions, delays or operational malfunctions, which in turn could have a material adverse effect on our business, results of operations, financial condition and prospects.</w:t>
      </w:r>
    </w:p>
    <w:p>
      <w:pPr>
        <w:spacing w:after="0" w:line="153"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In addition, the risks related to a security breach or disruption, including through ransomware, a distributed denial-of-service (DDoS)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Such security breaches or disruptions have occurred on our systems in the past and will occur on our systems in the future. We also regularly encounter attempts to create false or undesirable user accounts and ads or take other actions on our platform for objectionable ends. As a result of our prominence, the size of our user base, the volume of personal data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15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user data, including personal information, content, or payment information from users,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enhance our protective measures or to investigate and remediate any information security vulnerabilities. Our efforts to protect our confidential and sensitive data, the data of our users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5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In addition, third parties may attempt to fraudulently induce employees or users to disclose information in order to gain access to our data or our users’ data. Cyber-attacks continue to evolve in sophistication and volume, and may be difficult to detect for long periods of time. Although we have developed systems and processes that are designed to protect our data and user data, to prevent data loss, to disable undesirable accounts and activities on our platform, and to prevent or detect security breaches, we cannot assure you that such measures will be successful, that we will be able to anticipate or detect all cyber-attacks or other breaches, that we will be able to react to cyber-attacks or other breaches in a timely manner, or that our remediation efforts will be successful. We may incur significant costs in connection with such remediation efforts, including the costs of notifying applicable regulators and affected users, or offering credit monitoring services. We may also incur significant legal and financial exposure, including legal claims, higher transaction fees and regulatory fines and penalties as a result of any compromise or breach of our systems or data security, or the systems and data security of our third party providers. Any of the foregoing could have a material adverse effect on our business, financial condition, results of operations and prospects.</w:t>
      </w:r>
    </w:p>
    <w:p>
      <w:pPr>
        <w:spacing w:after="0" w:line="154"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In addition, some of our partners may receive or store information provided by us or by our users through mobile or web applications integrated with our applications and we use third-party service providers to store, transmit and otherwise process certain confidential, sensitive or personal information on our behalf. If these third parties fail to adopt or adhere to adequate data security practices, or in the event of a breach of their networks, our data or our users’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1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If the security of personal and confidential or sensitive user information that we maintain and store is breached, or otherwise accessed by unauthorized persons, it may be costly to remediate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such breach, subject us to regulatory investigations or private party lawsuits, and our reputation could be harmed.</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receive, process, store, and transmit personal user and other confidential or sensitive information, including credit card information and personal information of our employees and users. In some cases, we engage third-party service providers to process or store this information. We continuously develop and maintain systems to protect the security, integrity and confidentiality of this information, but we have experienced past incidents (which to our knowledge were immaterial) and cannot guarantee that inadvertent or unauthorized use or disclosure of such information will not occur in the future or that third parties will not gain unauthorized access to such information despite our efforts. When such incidents occur, we may not be able to remedy them, we may be required by law to notify regulators and individuals whose personal information was used or disclosed without authorization, we may be subject to claims against us, including government enforcement actions or investigations, fines and litigation, and we may have to expend significant capital and other resources to mitigate the impact of such events, including developing and implementing protections to prevent future events of this nature from occurring. When breaches of our or our third-party service providers’ and partners’ information technology systems occur or unauthorized access to any of the confidential, sensitive or other personal information we collect or process occurs, the perception of the effectiveness of our security measures, the security measures of our partners and our reputation may be harmed, we may lose current and potential users and the recognition of our various brands and such brands’ competitive positions may be diminished, any or all of which might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2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We are subject to a number of risks related to credit card payments, including data security breaches and fraud that we or third parties experience or additional regulation, any of which could materially adversely affect our business, financial condition and results of operations.</w:t>
      </w:r>
    </w:p>
    <w:p>
      <w:pPr>
        <w:spacing w:after="0" w:line="15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addition to purchases through the Apple App Store and the Google Play Store, we accept payment from our users through credit card transactions, certain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users.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When we or a third party experiences a data security breach involving credit card information, affected cardholders will often cancel their credit cards. In the case of a breach experienced by a third party, the more sizable the third party’s customer base and the greater the number of credit card accounts impacted, the more likely it is that our users would be impacted by such a breach. To the extent our users are ever affected by such a breach experienced by us or a third party, affected users would need to be contacted to obtain new credit card information and process any pending transactions. It is likely that we would not be able to reach all affected users, and even if we could, some users’ new credit card information may not be obtained and some pending transactions may not be processed, which could materially adversely affect our business, financial condition and results of operations.</w:t>
      </w:r>
    </w:p>
    <w:p>
      <w:pPr>
        <w:spacing w:after="0" w:line="151"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We work with our payment service providers to utilize tokenization tools to replace sensitive cardholder information with a stand-in token to help secure individual cardholder bank account details in credit card transactions and to reduce the number of systems that have access to our customers’ credit card information. While these tokenization tools can help limit the data security risks associated with credit card transactions, it does not eliminate those risks altogether.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7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Even if our users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user effort.</w:t>
      </w:r>
    </w:p>
    <w:p>
      <w:pPr>
        <w:spacing w:after="0" w:line="149"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Additionally, if we fail to adequately prevent fraudulent credit card transactions, we may face litigation, fines, governmental enforcement action, civil liability, diminished public perception of our security measures, significantly higher credit card-related costs and substantial remediation costs, or refusal by credit card processors to continue to process payments on our behalf, any of which could materially adversely affect our business, financial condition and results of operations.</w:t>
      </w:r>
    </w:p>
    <w:p>
      <w:pPr>
        <w:spacing w:after="0" w:line="152"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For example, under the Payment Services Regulation 2017, banks and other payment services providers are expected to develop and implement by September 14, 2021 strong customer authentication to check that the person requesting access to an account or trying to make a payment is permitted to do so. This could materially adversely affect our payment authorization rate and user journey. Legislation or regulation regarding the foregoing, or changes to existing legislation or regulation governing subscription payments, are being considered in many states in the US. While we monitor and attempt to comply with these legal developments, we have been in the past, and may be in the future, subject to claims under such legislation or regulation.</w:t>
      </w:r>
    </w:p>
    <w:p>
      <w:pPr>
        <w:spacing w:after="0" w:line="12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systems or data temporarily unavailable and prevent our products from functioning properly for our users;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and similar events. While we have backup systems in place for certain aspects of our operations, not all of our systems and infrastructures are fully redundant. We do not have a formal disaster recovery plan, and system backups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 Security breaches, improper access to or disclosure of our data or user data, other hacking and phishing attacks on our systems, or other cyber incidents could compromise sensitive information related to our business and/or personal data processed by us or on our behalf and expose us to liability, which could harm our reputation and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continually work to expand and enhance the efficiency and scalability of our technology and network systems to improve the experience of our users, accommodate substantial increases in the volume of traffic to our various products, ensure acceptable load times for our products and keep up with changes in technology and user preferences. Any failure to do so in a timely and cost-effective manner could materially adversely affect our users’ experience with our various products and thereby negatively impact the demand for our products, and could increase our costs, either of which could materially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operational and financial risks in connection with acquisitions.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may seek potential acquisition candidates to add complementary companies, products or technologies.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13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properly value prospective acquisitions, especially those with limited operating histories;</w:t>
      </w:r>
    </w:p>
    <w:p>
      <w:pPr>
        <w:spacing w:after="0" w:line="171"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accurately review acquisition candidates’ business practices against applicable laws and regulations and, where applicable, implement proper remediation controls, procedures, and policies;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overcome 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identify and realize potential synergies among acquired and existing businesses;</w:t>
      </w:r>
    </w:p>
    <w:p>
      <w:pPr>
        <w:spacing w:after="0" w:line="171" w:lineRule="exact"/>
        <w:rPr>
          <w:rFonts w:ascii="Arial" w:cs="Arial" w:eastAsia="Arial" w:hAnsi="Arial"/>
          <w:sz w:val="18"/>
          <w:szCs w:val="18"/>
          <w:color w:val="auto"/>
        </w:rPr>
      </w:pPr>
    </w:p>
    <w:p>
      <w:pPr>
        <w:jc w:val="both"/>
        <w:ind w:left="660" w:right="320" w:hanging="328"/>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retain or hire senior management and other key personnel at acquired businesses; and</w:t>
      </w:r>
    </w:p>
    <w:p>
      <w:pPr>
        <w:spacing w:after="0" w:line="171"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manage acquisition-related strain on our management, operations and financial resources and those of the various brands in our portfolio</w:t>
      </w:r>
    </w:p>
    <w:p>
      <w:pPr>
        <w:spacing w:after="0" w:line="157"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We cannot assure you that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investments will be successful. If we fail to successfully integrate the companies we acquire, we may not realize the benefits expected from the transactions and our business may be harmed.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could adversely affect our results of operations.</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functional currency is the US dollar,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 period-over-period comparability of our operating results and can result in foreign currency exchange gains and losses. We have not entered into any hedging arrangements with respect to foreign currency risk or other derivative financial instruments, although we may choose to do so in the future. The use of such hedging activities may not offset any or more than a portion of the adverse financial effects of unfavorable movements in foreign exchange rates and may introduce additional risks if we are unable to structure effective hedges with such instruments.</w:t>
      </w:r>
    </w:p>
    <w:p>
      <w:pPr>
        <w:spacing w:after="0" w:line="1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Quarterly Report on Form 10-Q may prove to be inaccurate, and even if the market in which we compete achieves the forecasted growth, our business could fail to grow at similar rates, if at all.</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Market opportunity estimates and expectations about market growth included in this Quarterly Report on Form 10-Q are subject to significant uncertainty and are based on assumptions and estimates that may not prove to be accurate. Even if the markets in which we compete meet the size estimates and growth expectations included in this Quarterly Report on Form 10-Q, our business could fail to grow for a variety of reasons, which could adversely affect our results of operations.</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requires us to make estimates and assumptions that affect the reported amount of assets and liabilities and the disclosure of contingent liabilities as of the date of the financial statements and the reported amount of revenues and expenses during the reporting period.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Our business is subject to complex and evolving US and international laws and regulations. Many of these laws and regulations are subject to change and uncertain interpretation, and could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13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in claims, changes to our business practices, monetary penalties, increased cost of operations, or declines in user growth or engagement, or otherwise harm our business.</w:t>
      </w:r>
    </w:p>
    <w:p>
      <w:pPr>
        <w:spacing w:after="0" w:line="13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subject to a variety of laws and regulations in the United States and abroad that involve matters that are important to or may otherwise impact our business, including, among others, broadband internet 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14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54"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w:t>
      </w:r>
    </w:p>
    <w:p>
      <w:pPr>
        <w:spacing w:after="0" w:line="152"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may be exposed to liabilities under the US Foreign Corrupt Practices Act and other US and foreign anti-corruption anti-money laundering, export control, sanctions and other trade laws and regulations, and any determination that we violated these laws could have a material adverse effect on our business.</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are subject to rules and regulations of the United States and abroad relating to export controls and economic sanctions, including, but not limited to, trade sanctions administered by the Office of Foreign Assets Control within the US Department of the Treasury, as well as the Export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Regulations administered by the Department of Commerce. These regulations limit our ability to market, sell, distribute or otherwise transfer our products or technology to prohibited countries or persons.</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Further, we have historically provided services to users in Iran, Cuba and Syria, countries that are presently the subject of comprehensive sanctions by the US government (Sanctioned Countries). We believe our provision of such services is either in compliance with generally available exemptions from sanctions laws or otherwise in compliance with applicable law, and have implemented various control mechanisms designed to prevent unauthorized dealings with Sanctioned Countries.</w:t>
      </w:r>
    </w:p>
    <w:p>
      <w:pPr>
        <w:spacing w:after="0" w:line="15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While we have taken steps to comply with these rules and regulations, a determination that we have failed to comply, whether knowingly or inadvertently, may result in substantial penalties, including fines, enforcement actions, civil and/or criminal sanctions, the disgorgement of profits, and may materially adversely affect our business, results of operations and financial condition.</w:t>
      </w:r>
    </w:p>
    <w:p>
      <w:pPr>
        <w:spacing w:after="0" w:line="11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success depends, in part, on our ability to access, collect, and use personal data about our users and payers, and to comply with applicable data privacy laws.</w:t>
      </w:r>
    </w:p>
    <w:p>
      <w:pPr>
        <w:spacing w:after="0" w:line="13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Increased regulation of data utilization practices, including self-regulation, new laws, or findings or guidance under existing laws that limit our ability to collect, disclose, process, transfer, retain and use information and other data, could have a material adverse effect on our business. In addition, if we were to disclose information and other data about our users in a manner that was objectionable to them, our business reputation could be materially adversely affected, and we could face potential legal claims that could impact our operating results. Internationally, we may become subject to additional and/or more stringent legal obligations concerning our treatment of customer and other personal information, such as laws regarding data localization and/or restrictions on data export. For example, in July 2020 the Court of Justice of the European Union (CJEU) invalidated the EU-US Privacy Shield Framework (Privacy Shield) under which personal data could be transferred from the European Economic Area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Failure to comply with evolving privacy laws could subject us to liability and expose us to fines, penalties and compliance orders, and to the extent that we need to alter our business model or practices to adapt to these obligations, we could incur additional expenses, which may in turn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Additionally,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There is a risk that these groups will seek to challenge our practices, particularly in relation to targeted advertising or international data transfers.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3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5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As discussed above, we process personal information, personal data and other regulated information both from our employees and our users. There are numerous laws in the countries in which we operate regarding privacy and the storage, sharing, use, transfer, disclosure, protection and otherwise processing of this kind of information, the scope of which are constantly changing, and in some cases, inconsistent and conflicting and subject to differing interpretations, as new laws of this nature are proposed and adopted and we currently, and from time to time, may not be in technical compliance with all such laws. Such laws also are becoming increasingly rigorous and could be interpreted and applied in ways that may have a material adverse effect on our business, financial condition, results of operations and prospects. Therefore, enforcement practices are likely to remain uncertain for the foreseeable future. In recent years, there has been an increase in attention to and regulations of data protection and data privacy across the globe, including in the United States, the EEA and the United Kingdom. We are subject to various data protection laws, including: the General Data Protection Regulation 2016/679 (GDPR) in the EEA, the United Kingdom data protection regime consisting primarily of (i) the UK General Data Protection Regulation and (ii) the UK Data Protection Act 2018 (collectively (i) and (ii), the UK GDPR), the California Consumer Privacy Act (CCPA) in the United States, and the Brazilian General Data Protection Law, which imposes requirements similar to the GDPR on products and services offered to users in Brazil. We may be subject to additional privacy regulations in the future, including the Virginia Consumer Data Protection Act (VCDPA). Other comprehensive data privacy or data protection laws or regulations have been passed or are under consideration in other jurisdictions, including China, India and Japan. Laws such as these give rise to an increasingly complex set of compliance obligations on us, as well as on many of our service providers. These laws impose restrictions on our ability to gather personal data, provide individuals with the ability to opt out of personal data collection, impose obligations on our ability to share data with others, and potentially subject us to fines, lawsuits, and regulatory scrutiny.</w:t>
      </w:r>
    </w:p>
    <w:p>
      <w:pPr>
        <w:spacing w:after="0" w:line="16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For example,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pseudonymized (i.e., key-coded) data; imposing limitations on retention of personal data; maintaining a record of processing activities; and complying with the principle of accountability and the obligation to demonstrate compliance through policies, procedures, training and audit. The GDPR and the UK GDPR create compliance obligations that are also applicable to entities established outside the EEA/United Kingdom, which offer goods or services to individuals located in the EEA/United Kingdom or which observe the behavior of individuals located in the EEA/United Kingdom. This has created a greater compliance burden for us and other companies with users in the EEA and the United Kingdom, as the legal regimes may subject non-compliant entities to substantial monetary penalties. In particular, fines for the most serious violations under the GDPR and the UK GDPR may amount to the greater of €20 million/ £17.5 million or, in the case of an undertaking, up to 4% of the total worldwide annual group turnover of the preceding financial year. In addition to potential substantial fines, non-compliance could result in regulatory investigations, reputational damage, orders to cease/ change the processing of personal data, enforcement notices, and/ or assessment notices (for a compulsory audit). We may also face civil claims including representative actions and other class action type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(where individuals have suffered harm), potentially amounting to significant compensation or damages liabilities, as well as associated costs, diversion of internal resources, and reputational harm.</w:t>
      </w:r>
    </w:p>
    <w:p>
      <w:pPr>
        <w:spacing w:after="0" w:line="14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As noted above, the CJEU invalidated the Privacy Shield on July 16, 2020 and, while it upheld the adequacy of the EU standard contractual clauses (a standard form of contract approved by the European Commission (SCCs) as an adequate transfer mechanism for personal data, and potential alternative to the Privacy Shield), it made clear that reliance on them alone may not necessarily be sufficient in all circumstances. Use of the SCCs must be assessed on a case-by-case basis taking into account the legal regime applicable in the destination country, in particular surveillance laws and the rights of individuals and additional measures and/or contractual provisions may need to be adopted, however, the nature of these additional measures is currently uncertain. The CJEU went on to state that, if the competent supervisory authority believes that the SCCs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the EEA and the United Kingdom to the United States and are evaluating what additional mechanisms may be required to establish adequate safeguards for personal data. As supervisory authorities continue to issue further guidance on personal data export mechanisms, including circumstances where the SCCs cannot be used and/or start taking enforcement action, there will be uncertainty as to how we comply with EEA and United Kingdom privacy laws and we could suffer additional costs, complaints, and/or regulatory investigations or fines. Moreover, if we are otherwise unable to transfer personal data between and among countries and regions in which we operate, it could affect the manner in which we provide our services, and we may find it necessary to establish systems in the EEA and the United Kingdom to maintain personal data originating from the EEA and the United Kingdom, which may involve substantial expense and distraction from other aspects of our business.</w:t>
      </w:r>
    </w:p>
    <w:p>
      <w:pPr>
        <w:spacing w:after="0" w:line="16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We are also subject to evolving privacy laws in the EEA and the United Kingdom on cookies and e-marketing. Regulators are increasingly focusing on compliance with requirements in the online behavioral advertising ecosystem, and current national laws that implement the ePrivacy Directive are highly likely to be replaced by an EU regulation known as the ePrivacy Regulation which will significantly increase fines for non-compliance. In the EEA and the United Kingdom, informed consent is required for the placement of non-strictly necessary cookies or similar technologies on users’ devices and for direct electronic marketing. The GDPR and the UK GDPR also impose conditions on obtaining valid consent, such as a prohibition on pre-checked consents and a requirement to ensure separate consents are sought for each type of non-strictly necessary cookie or similar technology. While the text of the ePrivacy Regulation is still under development, recent European court decisions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w:t>
      </w:r>
    </w:p>
    <w:p>
      <w:pPr>
        <w:spacing w:after="0" w:line="1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Brexit (as defined below) and ongoing developments in the United Kingdom have created additional uncertainty as the United Kingdom may become a “third country” for the purposes of personal data transfers from the EEA to the United Kingdom following the expiration of the four to six-month personal data transfer grace period (from January 1, 2021) set out in the EU and United Kingdom Trade and Cooperation Agreement, unless a relevant adequacy decision is adopted in favor of the United Kingdom (which would allow data transfers without additional measures). These changes may require us to find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alternative solutions for the compliant transfer of personal data into the United Kingdom. Additionally, following Brexit, we may be exposed to two parallel enforcement regimes, each of which authorize similar fines and other enforcement actions for certain violations.</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depend on a number of third parties in relation to the operation of our business, a number of which process personal data on our behalf. With each such provider we attempt to mitigate the associated risks of using third parties by performing security assessments and detailed due diligence, entering into contractual arrangements to ensure that providers only process personal data according to our instructions, and that they have sufficient technical and organizational security measures in place. Where we transfer personal data outside the EEA or the United Kingdom to such third parties, we do so while considering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 party processors could have a material adverse effect on our business and result in the fines and penalties outlined above.</w:t>
      </w:r>
    </w:p>
    <w:p>
      <w:pPr>
        <w:spacing w:after="0" w:line="156"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GDPR and the UK GDPR will continue to be interpreted by data protection regulators in the EEA and the United Kingdom. This may require us to make changes to our business practices, which could be time-consuming and expensive, and could generate additional risks and liabilities. Other countries have also passed or are considering passing laws requiring local data residency and/or restricting the international transfer of data.</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Multiple legislative proposals concerning privacy and the protection of user information are being considered by the US Congress. Various US state legislatures have announced intentions to consider additional privacy legislation, and US state legislatures such as California and Virginia have already passed and enacted comprehensive privacy legislation. For example, among other cases, the CCPA requires covered companies to provide new disclosures to California consumers and provide such consumers certain data protection and privacy rights, including the ability to opt-out of certain sales of personal information. The CCPA provides for civil penalties for violations, as well as a private right of action for certain data breaches. This private right of action may increase the likelihood of, and risks associated with, data breach litigation. A ballot initiative from privacy rights advocates intended to augment and expand the CCPA called the California Privacy Rights Act (CPRA) was passed in November 2020 and will take effect in January 2023 (with a look back to January 2022). The CPRA will significantly modify the CCPA, including by expanding consumers’ rights with respect to certain sensitive personal information. The CPRA also creates a new state agency that will be vested with authority to implement and enforce the CCPA and the CPRA. The VCDPA, which will go into effect in 2023, gives new data protection rights to Virginia residents and imposes additional obligations on controllers and processors of personal data. For example, like the CCPA, the VCDPA grants Virginia residents certain rights to access personal data that is being processed by the controller, the right to correct inaccuracies in that personal data and the right to require that their personal data be deleted by the data controller. In addition, Virginia residents will have the right to request a copy of their personal data in a format that permits them to transmit it to another data controller. Further, under the VCDPA, Virginia residents will have the right to opt out of the sale of their personal data, as well as the right to opt out of the processing of their personal data for targeted advertising.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Additionally, governmental agencies like the Consumer Financial Protection Bureau and the Federal Trade Commission have adopted, or are considering adopting, laws and regulations concerning personal information and data security. For example, the Federal Trade Commission has increased its focus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privacy and data security practices at digital companies, as evidenced by obtaining increasing fines against companies found to be in violation of the Children’s Online Privacy Protection Act (COPPA), and obtaining twenty-year consent decrees mandating enhanced and specific requirements for information security management programs. While the FTC does not have legal authority to seek monetary penalties or relief in the area of data security as a general matter, a violation of a privacy or data security consent decree can subject the responding company to very high monetary penalties, as evidenced by the FTC obtaining $5 billion in negotiated monetary relief against Facebook for violation of a consent decree.</w:t>
      </w:r>
    </w:p>
    <w:p>
      <w:pPr>
        <w:spacing w:after="0" w:line="152"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The myriad international and US privacy and data breach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15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make public statements about our use and disclosure of personal information through our privacy policy,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 policies or with any legal or regulatory requirements, standards, certifications or orders or other privacy or consumer protection-related laws and regulations applicable to us, could cause our users to reduce their use of our products and services.</w:t>
      </w:r>
    </w:p>
    <w:p>
      <w:pPr>
        <w:spacing w:after="0" w:line="1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While we aim to comply with industry standards and applicable laws and industry codes of conduct relating to privacy and data protection in all material respects, there is no assurance that we will not be subject to claims that we have violated applicable laws or codes of conduct,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and costly to achieve and we could be subject to fines and penalties in the event of non-compliance.</w:t>
      </w:r>
    </w:p>
    <w:p>
      <w:pPr>
        <w:spacing w:after="0" w:line="15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privacy and security laws, policies or related contractual obligations, or any compromise of security that results in unauthorized access, use or transmission of, personal user information, could result in a variety of claims against us, including governmental enforcement actions and investigations, class action privacy litigation in certain jurisdictions and proceedings by data protection authorities. We could further be subject to significant fines, other litigation, claims of breach of contract and indemnity by third parties, and adverse publicity. When such events occur, our reputation may be harmed, we may 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current and potential users and the competitive positions of our various brands might be diminished, any or all of which could materially adversely affect our business, financial condition, results of operations and prospects.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11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Online applications are subject to various laws and regulations relating to children’s privacy and protection, which if violated, could subject us to an increased risk of litigation and regulatory actions.</w:t>
      </w:r>
    </w:p>
    <w:p>
      <w:pPr>
        <w:spacing w:after="0" w:line="1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variety of laws and regulations have been adopted in recent years aimed at protecting children using the internet such as the COPPA and Article 8 of the GDPR and the UK GDPR. We implement certain precautions to ensure that we comply. Despite our efforts, no assurances can be given that such measures will be sufficient to completely avoid allegations of COPPA violations, any of which could expose us to significant liability, penalties, reputational harm and loss of revenue, among other things. Additionally, new regulations are being considered in various jurisdictions to require the monitoring of user content or the verification of users’ identities and age. Such new regulations, or changes to existing regulations, could increase the cost of our operations.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are subject to litigation and adverse outcomes in such litigation could have a material adverse effect on our business, financial condition and results of operations.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 matters, that involve claims for substantial amounts of money or for other relief or that might necessitate changes to our business or operations. The defense of these actions could be time consuming and expensive and could distract our personnel from their normal responsibilities.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“Business—Legal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related risks in multiple jurisdictions.</w:t>
      </w:r>
    </w:p>
    <w:p>
      <w:pPr>
        <w:spacing w:after="0" w:line="2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 laws are being re-examined and evaluated globally. New laws and interpretations of the law are taken into account for financial statement purposes in the quarter or year that they become applicable.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71"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 Moreover, if the US or other foreign tax authorities change applicable tax laws, our overall taxes could increase, and our business, financial condition or results of operations may be adversely impacted.</w:t>
      </w:r>
    </w:p>
    <w:p>
      <w:pPr>
        <w:spacing w:after="0" w:line="11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5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We have users in the United Kingdom and the European Union and, as a result, we face risks associated with the potential uncertainty and disruptions that may follow Brexit and the implementation and application of the trade and cooperation agreement, including with respect to volatility in exchange rates and interest rates, disruptions to the free movement of data, goods, services, people and capital between the United Kingdom and the European Union and potential material changes to the regulatory regime applicable to our operations in the United Kingdom. The uncertainty concerning the United Kingdom’s future legal, political and economic relationship with the European Union could adversely affect political, regulatory, economic or market conditions in the European Union, the United Kingdom and worldwide and could contribute to instability in global political institutions, regulatory agencies and financial markets. These developments have had and may continue to have a material adverse effect on global economic conditions and the stability of global financial markets and could significantly reduce global market liquidity and limit the ability of key market participants to operate in certain financial markets.</w:t>
      </w:r>
    </w:p>
    <w:p>
      <w:pPr>
        <w:spacing w:after="0" w:line="15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may also face new regulatory costs and challenges as a result of Brexit that could have a material adverse effect on our operations. For example, as of January 1, 2021, the United Kingdom lost the benefits of global trade agreements negotiated by the European Union on behalf of its members, which may result in increased trade barriers that could make doing business in areas that are subject to such global trade agreements more difficult. In addition, Brexit could lead to legal uncertainty and potentially divergent national laws and regulations as the United Kingdom determines which laws of the European Union to replace or replicate. There may continue to be economic uncertainty surrounding the consequences of Brexit that adversely impact customer confidence resulting in fewer users using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paying for our services, which could materially adversely affect our business, financial condition and results of operations.</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ongoing instability and uncertainty surrounding Brexit and the implementation and application of the Trade and Cooperation Agreement, could require us to restructure our business operations in the United Kingdom and the European Union and could have an adverse impact on our business and staff in the United Kingdom and European Union.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may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spacing w:after="0" w:line="16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5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party intellectual property rights or that we will not be held to have done so or be accused of doing so in the future.</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technology to compete with us. As a result, we may also be required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129"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We may fail to adequately obtain, protect and maintain our intellectual property rights or prevent third parties from making unauthorized use of such rights.</w:t>
      </w:r>
    </w:p>
    <w:p>
      <w:pPr>
        <w:spacing w:after="0" w:line="134"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Our intellectual property is a material asset of our business and our success depends in part on our ability to protect our proprietary rights and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and service marks as they are developed and used, and reserve, register and renew domain names and social media handles as we deem appropriate. If our trademarks and trade names are not adequately protected, then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generic or determined to be infringing on other marks. Further, at times, competitors may adopt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1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also independently develop technologies that are substantially similar or superior to ours and we may not be able to stop such parties from using such independently developed technologies from competing with us.</w:t>
      </w:r>
    </w:p>
    <w:p>
      <w:pPr>
        <w:spacing w:after="0" w:line="15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 entered into such agreements with each party that has or may have had access to our proprietary information or trade secrets and,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9" w:name="page70"/>
    <w:bookmarkEnd w:id="69"/>
    <w:p>
      <w:pPr>
        <w:spacing w:after="0" w:line="171"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We also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from the intellectual property that we develop or license.</w:t>
      </w:r>
    </w:p>
    <w:p>
      <w:pPr>
        <w:spacing w:after="0" w:line="15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use open source software, content and materials (Open Source Materials) in connection with a portion of our proprietary software and our service offerings and we expect to continue to use Open 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 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0" w:name="page71"/>
    <w:bookmarkEnd w:id="70"/>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 manner that imposes unanticipated conditions or restrictions on our ability to market or provide our products.</w:t>
      </w:r>
    </w:p>
    <w:p>
      <w:pPr>
        <w:spacing w:after="0" w:line="1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continue to develop or be maintained for our Class A common stock.</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An active public trading market for shares of our Class A common stock may not continue to develop or be sustained. If an active public market does not continue to develop or is not sustained, it may be difficult for you to sell your shares of Class A common stock at a price that is attractive to you, or at all. The lack of an active market may also reduce the fair market value of your shares.</w:t>
      </w:r>
    </w:p>
    <w:p>
      <w:pPr>
        <w:spacing w:after="0" w:line="11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trading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w:t>
      </w:r>
    </w:p>
    <w:p>
      <w:pPr>
        <w:spacing w:after="0" w:line="154"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35" w:lineRule="exact"/>
        <w:rPr>
          <w:sz w:val="20"/>
          <w:szCs w:val="20"/>
          <w:color w:val="auto"/>
        </w:rPr>
      </w:pPr>
    </w:p>
    <w:p>
      <w:pPr>
        <w:ind w:right="14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1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91.5% of the voting power of our capital stock as of June 30,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6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As of June 30, 2021, our directors, executive officers, and 5% stockholders and their affiliates held in the aggregate 91.5%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all outstanding shares of Class A and Class B common stock have converted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while we do not expect to issue any additional shares of Class B common stock, any future issuances of Class B common stock would be dilutive to holders of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SmallCap 600), although existing index constituents in July 2017 were grandfathered.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11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 may issue preferred stock whose terms could materially adversely affect the voting power or value of our Class A common stock.</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15"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our common stock in the public market could cause the market price of our common stock to drop significantly, even if our business is doing well.</w:t>
      </w:r>
    </w:p>
    <w:p>
      <w:pPr>
        <w:spacing w:after="0" w:line="15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in large quantities, could cause the market price of our Class A common stock to decline and could impair our ability to raise capital through the sale of additional equity securities.</w:t>
      </w:r>
    </w:p>
    <w:p>
      <w:pPr>
        <w:spacing w:after="0" w:line="14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and our officers and directors and the holders of substantially all of our shares of capital stock, have agreed with the Goldman Sachs &amp; Co. LLC, subject to certain exceptions, not to dispose of or hedge any of their Class A common stock or securities convertible into or exchangeable for shares of Class A common stock from July 27, 2021 (the date of our Final Prospectus in connection with our IPO and continuing through January 23, 2022 (the “lock-up period”), except with the prior written consent of Goldman Sachs &amp; Co. LLC. Notwithstanding the foregoing, certain shares may automatically be released during the lock-up period pursuant to certain conditions being met as described in our Final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71"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All shares of Class A common stock sold in our IPO are freely tradable without restrictions or further registration under the Securities Act of 1933, as amended, or the Securities Act, except for any shares held by our affiliates as defined in Rule 144 under the Securities Act (Rule 144).</w:t>
      </w:r>
    </w:p>
    <w:p>
      <w:pPr>
        <w:spacing w:after="0" w:line="149"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Moreover, the holders of up to 19,074,276 shares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market price of our Class A common stock to decline or be volatile.</w:t>
      </w:r>
    </w:p>
    <w:p>
      <w:pPr>
        <w:spacing w:after="0" w:line="15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Further, as of June 30, 2021, we had options outstanding that, if fully exercised, would result in the issuance of 6,631,291 shares of Class A common stock and 1,034,500 shares of Class B common stock, as well as 41,917 shares of Class A common stock issuable upon vesting and settlement of outstanding RSUs. We have filed a registration statement on Form S-8 under the Securities Act to register the shares of our common stock subject to outstanding stock options and RSUs as of the date of the Final Prospectus and shares that will be issuable pursuant to future awards granted under our equity incentive plan. These shares can be freely sold in the public market upon issuance, subject to applicable vesting requirements, compliance by affiliates with Rule 144, the market stand-off provisions and lock-up agreements described in the section of the Final Prospectus entitled “Underwriting,” and other restrictions provided under the terms of the applicable plan and/or the award agreements entered into with participants.</w:t>
      </w:r>
    </w:p>
    <w:p>
      <w:pPr>
        <w:spacing w:after="0" w:line="15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11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only paid one dividend in our history and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3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provide for:</w:t>
      </w:r>
    </w:p>
    <w:p>
      <w:pPr>
        <w:spacing w:after="0" w:line="13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dual-class structure;</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who can only be removed for cause, which may delay the ability of stockholders to change the membership of a majority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4" w:name="page75"/>
    <w:bookmarkEnd w:id="74"/>
    <w:p>
      <w:pPr>
        <w:spacing w:after="0" w:line="15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jc w:val="both"/>
        <w:ind w:left="660" w:right="22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exclusive right of our board of directors to set the size of the board of directors and to elect a director to fill a vacancy, however occurring, including by an expansion of the board of directors, which prevents stockholders from being able to fill vacancies on our board of directors;</w:t>
      </w:r>
    </w:p>
    <w:p>
      <w:pPr>
        <w:spacing w:after="0" w:line="147"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71" w:lineRule="exact"/>
        <w:rPr>
          <w:rFonts w:ascii="Arial" w:cs="Arial" w:eastAsia="Arial" w:hAnsi="Arial"/>
          <w:sz w:val="18"/>
          <w:szCs w:val="18"/>
          <w:color w:val="auto"/>
        </w:rPr>
      </w:pPr>
    </w:p>
    <w:p>
      <w:pPr>
        <w:ind w:left="660" w:right="40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our board of director’s ability to adopt, amend, or repeal our amended and restated bylaws, our stockholders may adopt, amend, or repeal our amended and restated bylaws only with the affirmative vote of the holders of at least 66 2/3% of the voting power of all our then-outstanding shares of capital stock;</w:t>
      </w:r>
    </w:p>
    <w:p>
      <w:pPr>
        <w:spacing w:after="0" w:line="147" w:lineRule="exact"/>
        <w:rPr>
          <w:rFonts w:ascii="Arial" w:cs="Arial" w:eastAsia="Arial" w:hAnsi="Arial"/>
          <w:sz w:val="18"/>
          <w:szCs w:val="18"/>
          <w:color w:val="auto"/>
        </w:rPr>
      </w:pPr>
    </w:p>
    <w:p>
      <w:pPr>
        <w:ind w:left="660" w:right="40" w:hanging="328"/>
        <w:spacing w:after="0" w:line="25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required approval of (i) at least 66 2/3% of the voting power of the outstanding shares of capital stock entitled to vote generally in the election of directors, voting together as a single class, to adopt, amend, or repeal certain provisions of our restated certificate of incorporation and (ii) for so long as any shares of Class B common stock are outstanding, the holders of at least 80% of the shares of Class B common stock outstanding at the time of such vote, voting as a separate series, to adopt, amend, or repeal certain provisions of our restated certificate of incorporation;</w:t>
      </w:r>
    </w:p>
    <w:p>
      <w:pPr>
        <w:spacing w:after="0" w:line="151"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stockholders to act by written consent only as long as holders of our Class B common stock hold at least 50% of the voting power of our capital stock;</w:t>
      </w:r>
    </w:p>
    <w:p>
      <w:pPr>
        <w:spacing w:after="0" w:line="143"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an officer of our company pursuant to a resolution adopted by a majority of our board of directors then in office or the chairperson of our board; and</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3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43"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130" w:lineRule="exact"/>
        <w:rPr>
          <w:sz w:val="20"/>
          <w:szCs w:val="20"/>
          <w:color w:val="auto"/>
        </w:rPr>
      </w:pPr>
    </w:p>
    <w:p>
      <w:pPr>
        <w:ind w:left="660" w:right="40" w:hanging="328"/>
        <w:spacing w:after="0" w:line="273"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6" w:lineRule="exact"/>
        <w:rPr>
          <w:rFonts w:ascii="Arial" w:cs="Arial" w:eastAsia="Arial" w:hAnsi="Arial"/>
          <w:sz w:val="17"/>
          <w:szCs w:val="17"/>
          <w:color w:val="auto"/>
        </w:rPr>
      </w:pPr>
    </w:p>
    <w:p>
      <w:pPr>
        <w:ind w:left="660" w:right="10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43"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47" w:lineRule="exact"/>
        <w:rPr>
          <w:rFonts w:ascii="Arial" w:cs="Arial" w:eastAsia="Arial" w:hAnsi="Arial"/>
          <w:sz w:val="18"/>
          <w:szCs w:val="18"/>
          <w:color w:val="auto"/>
        </w:rPr>
      </w:pPr>
    </w:p>
    <w:p>
      <w:pPr>
        <w:ind w:left="660" w:right="520" w:hanging="328"/>
        <w:spacing w:after="0" w:line="291"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9" w:lineRule="exact"/>
        <w:rPr>
          <w:rFonts w:ascii="Arial" w:cs="Arial" w:eastAsia="Arial" w:hAnsi="Arial"/>
          <w:sz w:val="17"/>
          <w:szCs w:val="17"/>
          <w:color w:val="auto"/>
        </w:rPr>
      </w:pPr>
    </w:p>
    <w:p>
      <w:pPr>
        <w:ind w:left="660" w:right="22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5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6" w:name="page77"/>
    <w:bookmarkEnd w:id="76"/>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Nothing in our amended and restated certificate of incorporation or amended and restated bylaws precludes stockholders that assert claims under the Exchange Act from bringing such claims in state or federal court, subject to applicable law.</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 bylaws to be inapplicable or unenforceable in an action, we may incur additional costs associated with resolving such action in other jurisdictions, which could materially adversely affect our business, results of operations, and financial condition.</w:t>
      </w:r>
    </w:p>
    <w:p>
      <w:pPr>
        <w:spacing w:after="0" w:line="12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3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of 2002, or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5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may remain an emerging growth company until the earliest of (1) December 31, 2026,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exact implications of the JOBS Act are subject to interpretation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7" w:name="page78"/>
    <w:bookmarkEnd w:id="77"/>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attractive as a result, there may be a less active trading market for our common stock and our stock price may decline or become more volatile.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We will incur significant expenses as a result of being a public company, which could materially adversely affect our business, results of operations, and financial condition.</w:t>
      </w:r>
    </w:p>
    <w:p>
      <w:pPr>
        <w:spacing w:after="0" w:line="134"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incurred as a private company. We are subject to the reporting requirements of the Securities Exchange Act of 1934, as amended (the Exchange Act), the applicable requirements of the Sarbanes-Oxley Act, the Dodd-Frank Act, the rules and regulations of the SEC, and the Listing Rules of the Nasdaq Global Select Market. Stockholder activism and the level of government intervention and regulatory reform may lead to substantial new regulations and disclosure obligations, which may lead to additional significant compliance costs and impact the manner in which we operate our business in ways we cannot currently anticipate. The increased costs will increase our net loss or decrease our net income, and may require us to reduce costs in other areas of our business or increase our service fees which could result in a reduction in bookings. For example, we expect these rules and regulations to make it more difficult and more expensive for us to obtain director and officer liability insurance. The impact of these requirements could also make it more difficult for us to attract and retain qualified persons to serve on our board of directors, on our board committees, or as executive officers. Furthermore, if we are unable to satisfy our obligations as a public company, we could be subject to delisting of our Class A common stock, fines, sanctions, and other regulatory action and potentially civil litigation.</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the majority of our management team, including our Chief Executive Officer and Chief Financial Officer, have either no or limited experience in managing publicly-traded companies. Our management team may not successfully or efficiently manage our transition to being a public company and the continuous scrutiny of securities analysts and investors. These new obligations and constituents will require significant attention from our senior management and could divert their attention away from the day-to-day management of our business, and could materially adversely affect our business, results of operations, and financial condition.</w:t>
      </w:r>
    </w:p>
    <w:p>
      <w:pPr>
        <w:spacing w:after="0" w:line="11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experience material weaknesses in the future or otherwise fail to implement and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2022.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including performing the evaluation needed to comply with Section 404, we will need to implement additional financial and management controls, reporting systems and procedures and hire additional accounting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7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finance staff.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13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that any enhancements to controls and procedures may still not be adequate to assure timely and accurate financial control.</w:t>
      </w:r>
    </w:p>
    <w:p>
      <w:pPr>
        <w:spacing w:after="0" w:line="15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fiscal year 2019, we identified a material weakness with our internal control over financial reporting as we had not designed or maintained an effective control environment and associated control activities to meet our accounting and reporting requirements. Specifically we did not have a sufficient complement of personnel with an appropriate degree of internal controls and accounting knowledge, we did not have a sufficiently documented risk assessment process to identify and analyze risks of misstatement due to error and/or fraud and in certain cases we did not have appropriate reviews over journal entries and third party reported information to allow for reliable and timely financial reporting.</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During 2020, we established a remediation plan to address our material weakness and we have been actively engaged in the implementation of remediation efforts to address the material weakness. As part of our commitment we have hired a complement of personnel, have established a risk assessment process, established reviews over journal entries and third party reported information and continue to evaluate the additional internal controls we have designed during 2020 and 2021. When we are satisfied these internal controls associated with the material weakness have operated within our business for a sufficient period of time, we will determine if we have remediated our material weakness. We have not been required to provide a management assessment of internal controls under section 404(a) of the Sarbanes-Oxley Act. It is possible that if we had a 404(a) assessment, additional material weaknesses may have been identified. Additionally, our registered independent public accounting firm has not been engaged to perform an audit of our internal controls over financial reporting.</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future, it is possible that additional material weaknesses or significant deficiencies may be identified that we may be unable to remedy before the requisite deadline for those reports. Our ability to comply with the annual internal control reporting requirements will depend on the effectiveness of our financial reporting and data systems and controls across our company. Any weaknesses or deficiencies or any failure to implement required new or improved controls, or difficulties encountered in the implementation or operation of these controls, could harm our operating results and cause us to fail to meet our financial reporting obligations, or result in material misstatements in our consolidated financial statements, which could adversely affect our business and reduce our stock price.</w:t>
      </w:r>
    </w:p>
    <w:p>
      <w:pPr>
        <w:spacing w:after="0" w:line="1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When we cease to be an “emerging growth company” as defined under the JOBS Act, our auditors will be required to express an opinion on the effectiveness of our internal controls, unless we are then eligible for any other exemption from such requirement.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prepare consolidated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 than expected for current and future periods, which could have a material adverse effect on our net loss.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From March 1, 2021 through June 30, 2021, we granted to our employees and directors restricted stock units for an aggregate of 552,788 of common stock under the 2011 Equity Incentive Plan.</w:t>
      </w:r>
    </w:p>
    <w:p>
      <w:pPr>
        <w:spacing w:after="0" w:line="143"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From March 1, 2021 through June 30, 2021, we granted to our employees stock options to purchase an aggregate of 71,700 shares of our common stock under the 2011 Equity Incentive Plan at exercise prices ranging from $52.80 per share.</w:t>
      </w:r>
    </w:p>
    <w:p>
      <w:pPr>
        <w:spacing w:after="0" w:line="143"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From March 1, 2021 through June 30, 2021, we issued and sold to our employees an aggregate of 153,270 shares of common stock upon the exercise of stock options issued under the 2011 Equity Incentive Plan at exercise prices ranging from $0.61 to $22.91 per share, for an aggregate exercise price of $1,277,000.</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offers, sales and issuances of the securities described above were deemed to be exempt from registration under the Securities Act in reliance upon Rule 701 promulgated under Section 3(b) of the Securities Act. None of the foregoing transactions involved any underwriters, underwriting discounts or commissions or any public offering. Each of the recipients of securities in these transactions had adequate access, through employment, business or other relationships, to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0" w:name="page81"/>
    <w:bookmarkEnd w:id="80"/>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On July 30, 2021, we completed our IPO, in which we sold 4,465,916 shares of our Class A common stock at a price to the public of $102.00 per share, which included 765,916 shares of Class A common stock sold pursuant to the underwriters’ exercise of the option to purchase additional shares. The offer and sale of the shares in the IPO were registered under the Securities Act pursuant to a registration statement on Form S-1 (File No. 333- 257483), which was declared effective by the SEC on July 27, 2021. We raised approximately $431,055,964 in net proceeds after deducting underwriting discounts and commissions of $24,467,468 and offering expenses of $4,000,000. We have used a portion of the net proceeds, and intend to use the remainder of the net proceeds, from our IPO to for general corporate purposes, including working capital, operating expenses, and capital expenditures. In addition, we may use a portion of the net proceeds we received from our IPO to acquire or make investments in businesses, products, offerings, and technologies, although we do not have agreements or commitments for any material acquisitions or investments at this time.</w:t>
      </w:r>
    </w:p>
    <w:p>
      <w:pPr>
        <w:spacing w:after="0" w:line="15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connection with the offering, 1,406,113 shares of Class A common stock were sold by existing stockholders. We did not receive any proceeds from the sale of shares by these stockholders nor did we bear direct costs associated with the sale of these shares.</w:t>
      </w:r>
    </w:p>
    <w:p>
      <w:pPr>
        <w:spacing w:after="0" w:line="14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representatives of the underwriters of our IPO were Goldman Sachs &amp; Co. LLC and Allen &amp; Company LLC. The offering commenced on July 27, 2021 and, following the sale of all the shares upon the closing of the IPO, the offer terminated.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80" w:type="dxa"/>
            <w:vAlign w:val="bottom"/>
            <w:gridSpan w:val="5"/>
          </w:tcPr>
          <w:p>
            <w:pPr>
              <w:jc w:val="center"/>
              <w:ind w:left="261"/>
              <w:spacing w:after="0"/>
              <w:rPr>
                <w:sz w:val="20"/>
                <w:szCs w:val="20"/>
                <w:color w:val="auto"/>
              </w:rPr>
            </w:pPr>
            <w:r>
              <w:rPr>
                <w:rFonts w:ascii="Arial" w:cs="Arial" w:eastAsia="Arial" w:hAnsi="Arial"/>
                <w:sz w:val="14"/>
                <w:szCs w:val="14"/>
                <w:b w:val="1"/>
                <w:bCs w:val="1"/>
                <w:color w:val="auto"/>
              </w:rPr>
              <w:t>Incorporated by</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760"/>
              <w:spacing w:after="0"/>
              <w:rPr>
                <w:sz w:val="20"/>
                <w:szCs w:val="20"/>
                <w:color w:val="auto"/>
              </w:rPr>
            </w:pPr>
            <w:r>
              <w:rPr>
                <w:rFonts w:ascii="Arial" w:cs="Arial" w:eastAsia="Arial" w:hAnsi="Arial"/>
                <w:sz w:val="14"/>
                <w:szCs w:val="14"/>
                <w:b w:val="1"/>
                <w:bCs w:val="1"/>
                <w:color w:val="auto"/>
              </w:rPr>
              <w:t>Reference</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Number</w:t>
            </w:r>
          </w:p>
        </w:tc>
        <w:tc>
          <w:tcPr>
            <w:tcW w:w="1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15"/>
          </w:tcPr>
          <w:p>
            <w:pPr>
              <w:ind w:left="240"/>
              <w:spacing w:after="0"/>
              <w:rPr>
                <w:sz w:val="20"/>
                <w:szCs w:val="20"/>
                <w:color w:val="auto"/>
              </w:rPr>
            </w:pPr>
            <w:r>
              <w:rPr>
                <w:rFonts w:ascii="Arial" w:cs="Arial" w:eastAsia="Arial" w:hAnsi="Arial"/>
                <w:sz w:val="14"/>
                <w:szCs w:val="14"/>
                <w:color w:val="auto"/>
              </w:rPr>
              <w:t>Exhibit Description</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 No.</w:t>
            </w: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69"/>
        </w:trPr>
        <w:tc>
          <w:tcPr>
            <w:tcW w:w="1200" w:type="dxa"/>
            <w:vAlign w:val="bottom"/>
          </w:tcPr>
          <w:p>
            <w:pPr>
              <w:jc w:val="center"/>
              <w:spacing w:after="0" w:line="169"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4240" w:type="dxa"/>
            <w:vAlign w:val="bottom"/>
            <w:gridSpan w:val="17"/>
          </w:tcPr>
          <w:p>
            <w:pPr>
              <w:spacing w:after="0" w:line="169" w:lineRule="exact"/>
              <w:rPr>
                <w:rFonts w:ascii="Arial" w:cs="Arial" w:eastAsia="Arial" w:hAnsi="Arial"/>
                <w:sz w:val="16"/>
                <w:szCs w:val="16"/>
                <w:color w:val="0000FF"/>
              </w:rPr>
            </w:pPr>
            <w:hyperlink r:id="rId98">
              <w:r>
                <w:rPr>
                  <w:rFonts w:ascii="Arial" w:cs="Arial" w:eastAsia="Arial" w:hAnsi="Arial"/>
                  <w:sz w:val="16"/>
                  <w:szCs w:val="16"/>
                  <w:color w:val="0000FF"/>
                </w:rPr>
                <w:t>Amended and Restated Certificate of Incorporation, as</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100" w:type="dxa"/>
            <w:vAlign w:val="bottom"/>
            <w:vMerge w:val="restart"/>
          </w:tcPr>
          <w:p>
            <w:pPr>
              <w:jc w:val="center"/>
              <w:ind w:left="61"/>
              <w:spacing w:after="0"/>
              <w:rPr>
                <w:sz w:val="20"/>
                <w:szCs w:val="20"/>
                <w:color w:val="auto"/>
              </w:rPr>
            </w:pPr>
            <w:r>
              <w:rPr>
                <w:rFonts w:ascii="Arial" w:cs="Arial" w:eastAsia="Arial" w:hAnsi="Arial"/>
                <w:sz w:val="16"/>
                <w:szCs w:val="16"/>
                <w:color w:val="auto"/>
                <w:w w:val="99"/>
              </w:rPr>
              <w:t>001-40653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7/30/2021</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98">
              <w:r>
                <w:rPr>
                  <w:rFonts w:ascii="Arial" w:cs="Arial" w:eastAsia="Arial" w:hAnsi="Arial"/>
                  <w:sz w:val="16"/>
                  <w:szCs w:val="16"/>
                  <w:color w:val="0000FF"/>
                </w:rPr>
                <w:t>currently in effect</w:t>
              </w:r>
            </w:hyperlink>
          </w:p>
        </w:tc>
        <w:tc>
          <w:tcPr>
            <w:tcW w:w="268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60" w:type="dxa"/>
            <w:vAlign w:val="bottom"/>
            <w:tcBorders>
              <w:bottom w:val="single" w:sz="8" w:color="0000FF"/>
            </w:tcBorders>
            <w:gridSpan w:val="4"/>
          </w:tcPr>
          <w:p>
            <w:pPr>
              <w:spacing w:after="0"/>
              <w:rPr>
                <w:rFonts w:ascii="Arial" w:cs="Arial" w:eastAsia="Arial" w:hAnsi="Arial"/>
                <w:sz w:val="16"/>
                <w:szCs w:val="16"/>
                <w:color w:val="0000FF"/>
              </w:rPr>
            </w:pPr>
            <w:hyperlink r:id="rId99">
              <w:r>
                <w:rPr>
                  <w:rFonts w:ascii="Arial" w:cs="Arial" w:eastAsia="Arial" w:hAnsi="Arial"/>
                  <w:sz w:val="16"/>
                  <w:szCs w:val="16"/>
                  <w:color w:val="0000FF"/>
                </w:rPr>
                <w:t>Bylaws, as currently in effect</w:t>
              </w:r>
            </w:hyperlink>
          </w:p>
        </w:tc>
        <w:tc>
          <w:tcPr>
            <w:tcW w:w="2180" w:type="dxa"/>
            <w:vAlign w:val="bottom"/>
            <w:gridSpan w:val="13"/>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rPr>
              <w:t>8-K</w:t>
            </w:r>
          </w:p>
        </w:tc>
        <w:tc>
          <w:tcPr>
            <w:tcW w:w="1100" w:type="dxa"/>
            <w:vAlign w:val="bottom"/>
          </w:tcPr>
          <w:p>
            <w:pPr>
              <w:jc w:val="center"/>
              <w:ind w:left="61"/>
              <w:spacing w:after="0"/>
              <w:rPr>
                <w:sz w:val="20"/>
                <w:szCs w:val="20"/>
                <w:color w:val="auto"/>
              </w:rPr>
            </w:pPr>
            <w:r>
              <w:rPr>
                <w:rFonts w:ascii="Arial" w:cs="Arial" w:eastAsia="Arial" w:hAnsi="Arial"/>
                <w:sz w:val="16"/>
                <w:szCs w:val="16"/>
                <w:color w:val="auto"/>
                <w:w w:val="99"/>
              </w:rPr>
              <w:t>001-40653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7/30/2021</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10.1(a)#</w:t>
            </w:r>
          </w:p>
        </w:tc>
        <w:tc>
          <w:tcPr>
            <w:tcW w:w="1940" w:type="dxa"/>
            <w:vAlign w:val="bottom"/>
            <w:tcBorders>
              <w:bottom w:val="single" w:sz="8" w:color="0000FF"/>
            </w:tcBorders>
            <w:gridSpan w:val="3"/>
          </w:tcPr>
          <w:p>
            <w:pPr>
              <w:spacing w:after="0"/>
              <w:rPr>
                <w:rFonts w:ascii="Arial" w:cs="Arial" w:eastAsia="Arial" w:hAnsi="Arial"/>
                <w:sz w:val="16"/>
                <w:szCs w:val="16"/>
                <w:color w:val="0000FF"/>
              </w:rPr>
            </w:pPr>
            <w:hyperlink r:id="rId100">
              <w:r>
                <w:rPr>
                  <w:rFonts w:ascii="Arial" w:cs="Arial" w:eastAsia="Arial" w:hAnsi="Arial"/>
                  <w:sz w:val="16"/>
                  <w:szCs w:val="16"/>
                  <w:color w:val="0000FF"/>
                </w:rPr>
                <w:t>2021 Incentive Award Plan</w:t>
              </w:r>
            </w:hyperlink>
          </w:p>
        </w:tc>
        <w:tc>
          <w:tcPr>
            <w:tcW w:w="2300" w:type="dxa"/>
            <w:vAlign w:val="bottom"/>
            <w:gridSpan w:val="14"/>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rPr>
              <w:t>10.3(a)</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10.1(b)#</w:t>
            </w:r>
          </w:p>
        </w:tc>
        <w:tc>
          <w:tcPr>
            <w:tcW w:w="4240" w:type="dxa"/>
            <w:vAlign w:val="bottom"/>
            <w:gridSpan w:val="17"/>
          </w:tcPr>
          <w:p>
            <w:pPr>
              <w:spacing w:after="0"/>
              <w:rPr>
                <w:rFonts w:ascii="Arial" w:cs="Arial" w:eastAsia="Arial" w:hAnsi="Arial"/>
                <w:sz w:val="16"/>
                <w:szCs w:val="16"/>
                <w:color w:val="0000FF"/>
              </w:rPr>
            </w:pPr>
            <w:hyperlink r:id="rId101">
              <w:r>
                <w:rPr>
                  <w:rFonts w:ascii="Arial" w:cs="Arial" w:eastAsia="Arial" w:hAnsi="Arial"/>
                  <w:sz w:val="16"/>
                  <w:szCs w:val="16"/>
                  <w:color w:val="0000FF"/>
                </w:rPr>
                <w:t>Form of Stock Option Grant Notice and Stock Option</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10.3(b)</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00" w:type="dxa"/>
            <w:vAlign w:val="bottom"/>
            <w:gridSpan w:val="2"/>
            <w:vMerge w:val="continue"/>
          </w:tcPr>
          <w:p>
            <w:pPr>
              <w:spacing w:after="0"/>
              <w:rPr>
                <w:sz w:val="12"/>
                <w:szCs w:val="12"/>
                <w:color w:val="auto"/>
              </w:rPr>
            </w:pPr>
          </w:p>
        </w:tc>
        <w:tc>
          <w:tcPr>
            <w:tcW w:w="35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01">
              <w:r>
                <w:rPr>
                  <w:rFonts w:ascii="Arial" w:cs="Arial" w:eastAsia="Arial" w:hAnsi="Arial"/>
                  <w:sz w:val="16"/>
                  <w:szCs w:val="16"/>
                  <w:color w:val="0000FF"/>
                </w:rPr>
                <w:t>Agreement under the 2021 Incentive Award Plan</w:t>
              </w:r>
            </w:hyperlink>
          </w:p>
        </w:tc>
        <w:tc>
          <w:tcPr>
            <w:tcW w:w="300" w:type="dxa"/>
            <w:vAlign w:val="bottom"/>
            <w:tcBorders>
              <w:top w:val="single" w:sz="8" w:color="0000FF"/>
            </w:tcBorders>
            <w:gridSpan w:val="3"/>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bottom w:val="single" w:sz="8" w:color="0000FF"/>
            </w:tcBorders>
            <w:gridSpan w:val="12"/>
          </w:tcPr>
          <w:p>
            <w:pPr>
              <w:spacing w:after="0"/>
              <w:rPr>
                <w:rFonts w:ascii="Arial" w:cs="Arial" w:eastAsia="Arial" w:hAnsi="Arial"/>
                <w:sz w:val="16"/>
                <w:szCs w:val="16"/>
                <w:color w:val="0000FF"/>
              </w:rPr>
            </w:pPr>
            <w:hyperlink r:id="rId102">
              <w:r>
                <w:rPr>
                  <w:rFonts w:ascii="Arial" w:cs="Arial" w:eastAsia="Arial" w:hAnsi="Arial"/>
                  <w:sz w:val="16"/>
                  <w:szCs w:val="16"/>
                  <w:color w:val="0000FF"/>
                </w:rPr>
                <w:t>Form of Restricted Stock Unit Award Grant Notice and</w:t>
              </w:r>
            </w:hyperlink>
          </w:p>
        </w:tc>
        <w:tc>
          <w:tcPr>
            <w:tcW w:w="34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10.1(c)#</w:t>
            </w:r>
          </w:p>
        </w:tc>
        <w:tc>
          <w:tcPr>
            <w:tcW w:w="4240" w:type="dxa"/>
            <w:vAlign w:val="bottom"/>
            <w:gridSpan w:val="17"/>
          </w:tcPr>
          <w:p>
            <w:pPr>
              <w:spacing w:after="0" w:line="142" w:lineRule="exact"/>
              <w:rPr>
                <w:rFonts w:ascii="Arial" w:cs="Arial" w:eastAsia="Arial" w:hAnsi="Arial"/>
                <w:sz w:val="16"/>
                <w:szCs w:val="16"/>
                <w:color w:val="0000FF"/>
              </w:rPr>
            </w:pPr>
            <w:hyperlink r:id="rId102">
              <w:r>
                <w:rPr>
                  <w:rFonts w:ascii="Arial" w:cs="Arial" w:eastAsia="Arial" w:hAnsi="Arial"/>
                  <w:sz w:val="16"/>
                  <w:szCs w:val="16"/>
                  <w:color w:val="0000FF"/>
                </w:rPr>
                <w:t>Restricted Stock Unit Award Agreement under the 2021</w:t>
              </w:r>
            </w:hyperlink>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vMerge w:val="restart"/>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vMerge w:val="restart"/>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10.3(c)</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gridSpan w:val="2"/>
            <w:vMerge w:val="continue"/>
          </w:tcPr>
          <w:p>
            <w:pPr>
              <w:spacing w:after="0"/>
              <w:rPr>
                <w:sz w:val="12"/>
                <w:szCs w:val="12"/>
                <w:color w:val="auto"/>
              </w:rPr>
            </w:pPr>
          </w:p>
        </w:tc>
        <w:tc>
          <w:tcPr>
            <w:tcW w:w="40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02">
              <w:r>
                <w:rPr>
                  <w:rFonts w:ascii="Arial" w:cs="Arial" w:eastAsia="Arial" w:hAnsi="Arial"/>
                  <w:sz w:val="16"/>
                  <w:szCs w:val="16"/>
                  <w:color w:val="0000FF"/>
                </w:rPr>
                <w:t>Incentive Award Plan</w:t>
              </w:r>
            </w:hyperlink>
          </w:p>
        </w:tc>
        <w:tc>
          <w:tcPr>
            <w:tcW w:w="240" w:type="dxa"/>
            <w:vAlign w:val="bottom"/>
            <w:gridSpan w:val="2"/>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w w:val="99"/>
              </w:rPr>
              <w:t>10.2#</w:t>
            </w:r>
          </w:p>
        </w:tc>
        <w:tc>
          <w:tcPr>
            <w:tcW w:w="100" w:type="dxa"/>
            <w:vAlign w:val="bottom"/>
          </w:tcPr>
          <w:p>
            <w:pPr>
              <w:spacing w:after="0"/>
              <w:rPr>
                <w:sz w:val="17"/>
                <w:szCs w:val="17"/>
                <w:color w:val="auto"/>
              </w:rPr>
            </w:pPr>
          </w:p>
        </w:tc>
        <w:tc>
          <w:tcPr>
            <w:tcW w:w="2280" w:type="dxa"/>
            <w:vAlign w:val="bottom"/>
            <w:tcBorders>
              <w:bottom w:val="single" w:sz="8" w:color="0000FF"/>
            </w:tcBorders>
            <w:gridSpan w:val="6"/>
          </w:tcPr>
          <w:p>
            <w:pPr>
              <w:spacing w:after="0"/>
              <w:rPr>
                <w:rFonts w:ascii="Arial" w:cs="Arial" w:eastAsia="Arial" w:hAnsi="Arial"/>
                <w:sz w:val="16"/>
                <w:szCs w:val="16"/>
                <w:color w:val="0000FF"/>
              </w:rPr>
            </w:pPr>
            <w:hyperlink r:id="rId103">
              <w:r>
                <w:rPr>
                  <w:rFonts w:ascii="Arial" w:cs="Arial" w:eastAsia="Arial" w:hAnsi="Arial"/>
                  <w:sz w:val="16"/>
                  <w:szCs w:val="16"/>
                  <w:color w:val="0000FF"/>
                </w:rPr>
                <w:t>Employee Stock Purchase Plan</w:t>
              </w:r>
            </w:hyperlink>
          </w:p>
        </w:tc>
        <w:tc>
          <w:tcPr>
            <w:tcW w:w="1960" w:type="dxa"/>
            <w:vAlign w:val="bottom"/>
            <w:gridSpan w:val="11"/>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00" w:type="dxa"/>
            <w:vAlign w:val="bottom"/>
          </w:tcPr>
          <w:p>
            <w:pPr>
              <w:jc w:val="center"/>
              <w:ind w:left="61"/>
              <w:spacing w:after="0"/>
              <w:rPr>
                <w:sz w:val="20"/>
                <w:szCs w:val="20"/>
                <w:color w:val="auto"/>
              </w:rPr>
            </w:pPr>
            <w:r>
              <w:rPr>
                <w:rFonts w:ascii="Arial" w:cs="Arial" w:eastAsia="Arial" w:hAnsi="Arial"/>
                <w:sz w:val="16"/>
                <w:szCs w:val="16"/>
                <w:color w:val="auto"/>
              </w:rPr>
              <w:t>333-257483</w:t>
            </w:r>
          </w:p>
        </w:tc>
        <w:tc>
          <w:tcPr>
            <w:tcW w:w="1480" w:type="dxa"/>
            <w:vAlign w:val="bottom"/>
            <w:gridSpan w:val="3"/>
          </w:tcPr>
          <w:p>
            <w:pPr>
              <w:jc w:val="center"/>
              <w:ind w:left="200"/>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4240" w:type="dxa"/>
            <w:vAlign w:val="bottom"/>
            <w:gridSpan w:val="17"/>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Certification of Principal Executive Officer pursuant to</w:t>
              </w:r>
            </w:hyperlink>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84">
              <w:r>
                <w:rPr>
                  <w:rFonts w:ascii="Arial" w:cs="Arial" w:eastAsia="Arial" w:hAnsi="Arial"/>
                  <w:sz w:val="16"/>
                  <w:szCs w:val="16"/>
                  <w:color w:val="0000FF"/>
                </w:rPr>
                <w:t>Exchange Act Rule 13a-14(a)</w:t>
              </w:r>
            </w:hyperlink>
          </w:p>
        </w:tc>
        <w:tc>
          <w:tcPr>
            <w:tcW w:w="1700" w:type="dxa"/>
            <w:vAlign w:val="bottom"/>
            <w:tcBorders>
              <w:top w:val="single" w:sz="8" w:color="0000FF"/>
            </w:tcBorders>
            <w:gridSpan w:val="6"/>
          </w:tcPr>
          <w:p>
            <w:pPr>
              <w:spacing w:after="0"/>
              <w:rPr>
                <w:sz w:val="12"/>
                <w:szCs w:val="12"/>
                <w:color w:val="auto"/>
              </w:rPr>
            </w:pPr>
          </w:p>
        </w:tc>
        <w:tc>
          <w:tcPr>
            <w:tcW w:w="120" w:type="dxa"/>
            <w:vAlign w:val="bottom"/>
            <w:gridSpan w:val="3"/>
          </w:tcPr>
          <w:p>
            <w:pPr>
              <w:spacing w:after="0"/>
              <w:rPr>
                <w:sz w:val="12"/>
                <w:szCs w:val="12"/>
                <w:color w:val="auto"/>
              </w:rPr>
            </w:pPr>
          </w:p>
        </w:tc>
        <w:tc>
          <w:tcPr>
            <w:tcW w:w="28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4240" w:type="dxa"/>
            <w:vAlign w:val="bottom"/>
            <w:gridSpan w:val="17"/>
          </w:tcPr>
          <w:p>
            <w:pPr>
              <w:spacing w:after="0"/>
              <w:rPr>
                <w:rFonts w:ascii="Arial" w:cs="Arial" w:eastAsia="Arial" w:hAnsi="Arial"/>
                <w:sz w:val="16"/>
                <w:szCs w:val="16"/>
                <w:color w:val="0000FF"/>
              </w:rPr>
            </w:pPr>
            <w:hyperlink w:anchor="page85">
              <w:r>
                <w:rPr>
                  <w:rFonts w:ascii="Arial" w:cs="Arial" w:eastAsia="Arial" w:hAnsi="Arial"/>
                  <w:sz w:val="16"/>
                  <w:szCs w:val="16"/>
                  <w:color w:val="0000FF"/>
                </w:rPr>
                <w:t>Certification of Principal Financial Officer pursuant to</w:t>
              </w:r>
            </w:hyperlink>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85">
              <w:r>
                <w:rPr>
                  <w:rFonts w:ascii="Arial" w:cs="Arial" w:eastAsia="Arial" w:hAnsi="Arial"/>
                  <w:sz w:val="16"/>
                  <w:szCs w:val="16"/>
                  <w:color w:val="0000FF"/>
                </w:rPr>
                <w:t>Exchange Act Rule 13a-14(a)</w:t>
              </w:r>
            </w:hyperlink>
          </w:p>
        </w:tc>
        <w:tc>
          <w:tcPr>
            <w:tcW w:w="1640" w:type="dxa"/>
            <w:vAlign w:val="bottom"/>
            <w:tcBorders>
              <w:top w:val="single" w:sz="8" w:color="0000FF"/>
            </w:tcBorders>
            <w:gridSpan w:val="4"/>
          </w:tcPr>
          <w:p>
            <w:pPr>
              <w:spacing w:after="0"/>
              <w:rPr>
                <w:sz w:val="12"/>
                <w:szCs w:val="12"/>
                <w:color w:val="auto"/>
              </w:rPr>
            </w:pPr>
          </w:p>
        </w:tc>
        <w:tc>
          <w:tcPr>
            <w:tcW w:w="180" w:type="dxa"/>
            <w:vAlign w:val="bottom"/>
            <w:gridSpan w:val="5"/>
          </w:tcPr>
          <w:p>
            <w:pPr>
              <w:spacing w:after="0"/>
              <w:rPr>
                <w:sz w:val="12"/>
                <w:szCs w:val="12"/>
                <w:color w:val="auto"/>
              </w:rPr>
            </w:pPr>
          </w:p>
        </w:tc>
        <w:tc>
          <w:tcPr>
            <w:tcW w:w="28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4240" w:type="dxa"/>
            <w:vAlign w:val="bottom"/>
            <w:gridSpan w:val="17"/>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Certification of Principal Executive Officer and Principal</w:t>
              </w:r>
            </w:hyperlink>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9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w:anchor="page86">
              <w:r>
                <w:rPr>
                  <w:rFonts w:ascii="Arial" w:cs="Arial" w:eastAsia="Arial" w:hAnsi="Arial"/>
                  <w:sz w:val="16"/>
                  <w:szCs w:val="16"/>
                  <w:color w:val="0000FF"/>
                </w:rPr>
                <w:t>Financial Officer pursuant to 18 U.S.C. Section 1350</w:t>
              </w:r>
            </w:hyperlink>
          </w:p>
        </w:tc>
        <w:tc>
          <w:tcPr>
            <w:tcW w:w="28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gridSpan w:val="17"/>
          </w:tcPr>
          <w:p>
            <w:pPr>
              <w:spacing w:after="0"/>
              <w:rPr>
                <w:sz w:val="20"/>
                <w:szCs w:val="20"/>
                <w:color w:val="auto"/>
              </w:rPr>
            </w:pPr>
            <w:r>
              <w:rPr>
                <w:rFonts w:ascii="Arial" w:cs="Arial" w:eastAsia="Arial" w:hAnsi="Arial"/>
                <w:sz w:val="16"/>
                <w:szCs w:val="16"/>
                <w:color w:val="auto"/>
              </w:rPr>
              <w:t>Inline XBRL Instance Document - the Instance Document</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gridSpan w:val="17"/>
          </w:tcPr>
          <w:p>
            <w:pPr>
              <w:spacing w:after="0" w:line="162" w:lineRule="exact"/>
              <w:rPr>
                <w:sz w:val="20"/>
                <w:szCs w:val="20"/>
                <w:color w:val="auto"/>
              </w:rPr>
            </w:pPr>
            <w:r>
              <w:rPr>
                <w:rFonts w:ascii="Arial" w:cs="Arial" w:eastAsia="Arial" w:hAnsi="Arial"/>
                <w:sz w:val="16"/>
                <w:szCs w:val="16"/>
                <w:color w:val="auto"/>
              </w:rPr>
              <w:t>does not appear in the interactive data file because its</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gridSpan w:val="17"/>
          </w:tcPr>
          <w:p>
            <w:pPr>
              <w:spacing w:after="0" w:line="162" w:lineRule="exact"/>
              <w:rPr>
                <w:sz w:val="20"/>
                <w:szCs w:val="20"/>
                <w:color w:val="auto"/>
              </w:rPr>
            </w:pPr>
            <w:r>
              <w:rPr>
                <w:rFonts w:ascii="Arial" w:cs="Arial" w:eastAsia="Arial" w:hAnsi="Arial"/>
                <w:sz w:val="16"/>
                <w:szCs w:val="16"/>
                <w:color w:val="auto"/>
              </w:rPr>
              <w:t>XBRL tags are embedded within the Inline XBRL</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101.INS</w:t>
            </w:r>
          </w:p>
        </w:tc>
        <w:tc>
          <w:tcPr>
            <w:tcW w:w="4240" w:type="dxa"/>
            <w:vAlign w:val="bottom"/>
            <w:gridSpan w:val="17"/>
          </w:tcPr>
          <w:p>
            <w:pPr>
              <w:spacing w:after="0"/>
              <w:rPr>
                <w:sz w:val="20"/>
                <w:szCs w:val="20"/>
                <w:color w:val="auto"/>
              </w:rPr>
            </w:pPr>
            <w:r>
              <w:rPr>
                <w:rFonts w:ascii="Arial" w:cs="Arial" w:eastAsia="Arial" w:hAnsi="Arial"/>
                <w:sz w:val="16"/>
                <w:szCs w:val="16"/>
                <w:color w:val="auto"/>
              </w:rPr>
              <w:t>document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jc w:val="center"/>
              <w:ind w:right="80"/>
              <w:spacing w:after="0"/>
              <w:rPr>
                <w:sz w:val="20"/>
                <w:szCs w:val="20"/>
                <w:color w:val="auto"/>
              </w:rPr>
            </w:pPr>
            <w:r>
              <w:rPr>
                <w:rFonts w:ascii="Arial" w:cs="Arial" w:eastAsia="Arial" w:hAnsi="Arial"/>
                <w:sz w:val="16"/>
                <w:szCs w:val="16"/>
                <w:color w:val="auto"/>
              </w:rPr>
              <w:t>101.SCH</w:t>
            </w:r>
          </w:p>
        </w:tc>
        <w:tc>
          <w:tcPr>
            <w:tcW w:w="4240" w:type="dxa"/>
            <w:vAlign w:val="bottom"/>
            <w:gridSpan w:val="17"/>
          </w:tcPr>
          <w:p>
            <w:pPr>
              <w:spacing w:after="0"/>
              <w:rPr>
                <w:sz w:val="20"/>
                <w:szCs w:val="20"/>
                <w:color w:val="auto"/>
              </w:rPr>
            </w:pPr>
            <w:r>
              <w:rPr>
                <w:rFonts w:ascii="Arial" w:cs="Arial" w:eastAsia="Arial" w:hAnsi="Arial"/>
                <w:sz w:val="16"/>
                <w:szCs w:val="16"/>
                <w:color w:val="auto"/>
              </w:rPr>
              <w:t>Inline XBRL Taxonomy Extension Schema Document</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17"/>
          </w:tcPr>
          <w:p>
            <w:pPr>
              <w:spacing w:after="0"/>
              <w:rPr>
                <w:sz w:val="20"/>
                <w:szCs w:val="20"/>
                <w:color w:val="auto"/>
              </w:rPr>
            </w:pPr>
            <w:r>
              <w:rPr>
                <w:rFonts w:ascii="Arial" w:cs="Arial" w:eastAsia="Arial" w:hAnsi="Arial"/>
                <w:sz w:val="16"/>
                <w:szCs w:val="16"/>
                <w:color w:val="auto"/>
              </w:rPr>
              <w:t>Inline XBRL Taxonomy Extension Calculation Linkbase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101.CAL</w:t>
            </w:r>
          </w:p>
        </w:tc>
        <w:tc>
          <w:tcPr>
            <w:tcW w:w="4240" w:type="dxa"/>
            <w:vAlign w:val="bottom"/>
            <w:gridSpan w:val="17"/>
          </w:tcPr>
          <w:p>
            <w:pPr>
              <w:spacing w:after="0"/>
              <w:rPr>
                <w:sz w:val="20"/>
                <w:szCs w:val="20"/>
                <w:color w:val="auto"/>
              </w:rPr>
            </w:pPr>
            <w:r>
              <w:rPr>
                <w:rFonts w:ascii="Arial" w:cs="Arial" w:eastAsia="Arial" w:hAnsi="Arial"/>
                <w:sz w:val="16"/>
                <w:szCs w:val="16"/>
                <w:color w:val="auto"/>
              </w:rPr>
              <w:t>Document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17"/>
          </w:tcPr>
          <w:p>
            <w:pPr>
              <w:spacing w:after="0"/>
              <w:rPr>
                <w:sz w:val="20"/>
                <w:szCs w:val="20"/>
                <w:color w:val="auto"/>
              </w:rPr>
            </w:pPr>
            <w:r>
              <w:rPr>
                <w:rFonts w:ascii="Arial" w:cs="Arial" w:eastAsia="Arial" w:hAnsi="Arial"/>
                <w:sz w:val="16"/>
                <w:szCs w:val="16"/>
                <w:color w:val="auto"/>
              </w:rPr>
              <w:t>Inline XBRL Taxonomy Extension Definition Linkbase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101.DEF</w:t>
            </w:r>
          </w:p>
        </w:tc>
        <w:tc>
          <w:tcPr>
            <w:tcW w:w="4240" w:type="dxa"/>
            <w:vAlign w:val="bottom"/>
            <w:gridSpan w:val="17"/>
          </w:tcPr>
          <w:p>
            <w:pPr>
              <w:spacing w:after="0"/>
              <w:rPr>
                <w:sz w:val="20"/>
                <w:szCs w:val="20"/>
                <w:color w:val="auto"/>
              </w:rPr>
            </w:pPr>
            <w:r>
              <w:rPr>
                <w:rFonts w:ascii="Arial" w:cs="Arial" w:eastAsia="Arial" w:hAnsi="Arial"/>
                <w:sz w:val="16"/>
                <w:szCs w:val="16"/>
                <w:color w:val="auto"/>
              </w:rPr>
              <w:t>Document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17"/>
          </w:tcPr>
          <w:p>
            <w:pPr>
              <w:spacing w:after="0"/>
              <w:rPr>
                <w:sz w:val="20"/>
                <w:szCs w:val="20"/>
                <w:color w:val="auto"/>
              </w:rPr>
            </w:pPr>
            <w:r>
              <w:rPr>
                <w:rFonts w:ascii="Arial" w:cs="Arial" w:eastAsia="Arial" w:hAnsi="Arial"/>
                <w:sz w:val="16"/>
                <w:szCs w:val="16"/>
                <w:color w:val="auto"/>
              </w:rPr>
              <w:t>Inline XBRL Taxonomy Extension Label Linkbase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80"/>
              <w:spacing w:after="0"/>
              <w:rPr>
                <w:sz w:val="20"/>
                <w:szCs w:val="20"/>
                <w:color w:val="auto"/>
              </w:rPr>
            </w:pPr>
            <w:r>
              <w:rPr>
                <w:rFonts w:ascii="Arial" w:cs="Arial" w:eastAsia="Arial" w:hAnsi="Arial"/>
                <w:sz w:val="16"/>
                <w:szCs w:val="16"/>
                <w:color w:val="auto"/>
              </w:rPr>
              <w:t>101.LAB</w:t>
            </w:r>
          </w:p>
        </w:tc>
        <w:tc>
          <w:tcPr>
            <w:tcW w:w="4240" w:type="dxa"/>
            <w:vAlign w:val="bottom"/>
            <w:gridSpan w:val="17"/>
          </w:tcPr>
          <w:p>
            <w:pPr>
              <w:spacing w:after="0"/>
              <w:rPr>
                <w:sz w:val="20"/>
                <w:szCs w:val="20"/>
                <w:color w:val="auto"/>
              </w:rPr>
            </w:pPr>
            <w:r>
              <w:rPr>
                <w:rFonts w:ascii="Arial" w:cs="Arial" w:eastAsia="Arial" w:hAnsi="Arial"/>
                <w:sz w:val="16"/>
                <w:szCs w:val="16"/>
                <w:color w:val="auto"/>
              </w:rPr>
              <w:t>Document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17"/>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80"/>
              <w:spacing w:after="0"/>
              <w:rPr>
                <w:sz w:val="20"/>
                <w:szCs w:val="20"/>
                <w:color w:val="auto"/>
              </w:rPr>
            </w:pPr>
            <w:r>
              <w:rPr>
                <w:rFonts w:ascii="Arial" w:cs="Arial" w:eastAsia="Arial" w:hAnsi="Arial"/>
                <w:sz w:val="16"/>
                <w:szCs w:val="16"/>
                <w:color w:val="auto"/>
              </w:rPr>
              <w:t>101.LAB</w:t>
            </w:r>
          </w:p>
        </w:tc>
        <w:tc>
          <w:tcPr>
            <w:tcW w:w="4240" w:type="dxa"/>
            <w:vAlign w:val="bottom"/>
            <w:gridSpan w:val="17"/>
          </w:tcPr>
          <w:p>
            <w:pPr>
              <w:spacing w:after="0"/>
              <w:rPr>
                <w:sz w:val="20"/>
                <w:szCs w:val="20"/>
                <w:color w:val="auto"/>
              </w:rPr>
            </w:pPr>
            <w:r>
              <w:rPr>
                <w:rFonts w:ascii="Arial" w:cs="Arial" w:eastAsia="Arial" w:hAnsi="Arial"/>
                <w:sz w:val="16"/>
                <w:szCs w:val="16"/>
                <w:color w:val="auto"/>
              </w:rPr>
              <w:t>Document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gridSpan w:val="17"/>
          </w:tcPr>
          <w:p>
            <w:pPr>
              <w:spacing w:after="0"/>
              <w:rPr>
                <w:sz w:val="20"/>
                <w:szCs w:val="20"/>
                <w:color w:val="auto"/>
              </w:rPr>
            </w:pPr>
            <w:r>
              <w:rPr>
                <w:rFonts w:ascii="Arial" w:cs="Arial" w:eastAsia="Arial" w:hAnsi="Arial"/>
                <w:sz w:val="16"/>
                <w:szCs w:val="16"/>
                <w:color w:val="auto"/>
              </w:rPr>
              <w:t>Cover Page Interactive Data File (formatted as Inline</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00" w:type="dxa"/>
            <w:vAlign w:val="bottom"/>
          </w:tcPr>
          <w:p>
            <w:pPr>
              <w:jc w:val="cente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6"/>
                <w:szCs w:val="16"/>
                <w:color w:val="auto"/>
              </w:rPr>
            </w:pPr>
          </w:p>
        </w:tc>
        <w:tc>
          <w:tcPr>
            <w:tcW w:w="4240" w:type="dxa"/>
            <w:vAlign w:val="bottom"/>
            <w:gridSpan w:val="17"/>
          </w:tcPr>
          <w:p>
            <w:pPr>
              <w:spacing w:after="0"/>
              <w:rPr>
                <w:sz w:val="20"/>
                <w:szCs w:val="20"/>
                <w:color w:val="auto"/>
              </w:rPr>
            </w:pPr>
            <w:r>
              <w:rPr>
                <w:rFonts w:ascii="Arial" w:cs="Arial" w:eastAsia="Arial" w:hAnsi="Arial"/>
                <w:sz w:val="16"/>
                <w:szCs w:val="16"/>
                <w:color w:val="auto"/>
              </w:rPr>
              <w:t>XBRL and contained in Exhibit 101)</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certification attached as Exhibit 32.1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DUOLINGO, INC.</w:t>
      </w:r>
    </w:p>
    <w:p>
      <w:pPr>
        <w:spacing w:after="0" w:line="315" w:lineRule="exact"/>
        <w:rPr>
          <w:sz w:val="20"/>
          <w:szCs w:val="20"/>
          <w:color w:val="auto"/>
        </w:rPr>
      </w:pPr>
    </w:p>
    <w:p>
      <w:pPr>
        <w:ind w:left="20"/>
        <w:spacing w:after="0"/>
        <w:tabs>
          <w:tab w:leader="none" w:pos="5680" w:val="left"/>
          <w:tab w:leader="none" w:pos="640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6350</wp:posOffset>
            </wp:positionV>
            <wp:extent cx="3077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Luis von Ahn</w:t>
      </w:r>
    </w:p>
    <w:p>
      <w:pPr>
        <w:ind w:left="6420"/>
        <w:spacing w:after="0" w:line="203" w:lineRule="auto"/>
        <w:rPr>
          <w:sz w:val="20"/>
          <w:szCs w:val="20"/>
          <w:color w:val="auto"/>
        </w:rPr>
      </w:pPr>
      <w:r>
        <w:rPr>
          <w:rFonts w:ascii="Arial" w:cs="Arial" w:eastAsia="Arial" w:hAnsi="Arial"/>
          <w:sz w:val="18"/>
          <w:szCs w:val="18"/>
          <w:color w:val="auto"/>
        </w:rPr>
        <w:t>Chief Executive Officer</w:t>
      </w:r>
    </w:p>
    <w:p>
      <w:pPr>
        <w:ind w:left="6420"/>
        <w:spacing w:after="0"/>
        <w:rPr>
          <w:sz w:val="20"/>
          <w:szCs w:val="20"/>
          <w:color w:val="auto"/>
        </w:rPr>
      </w:pPr>
      <w:r>
        <w:rPr>
          <w:rFonts w:ascii="Arial" w:cs="Arial" w:eastAsia="Arial" w:hAnsi="Arial"/>
          <w:sz w:val="18"/>
          <w:szCs w:val="18"/>
          <w:color w:val="auto"/>
        </w:rPr>
        <w:t>(Principal Executive Officer)</w:t>
      </w:r>
    </w:p>
    <w:p>
      <w:pPr>
        <w:spacing w:after="0" w:line="117" w:lineRule="exact"/>
        <w:rPr>
          <w:sz w:val="20"/>
          <w:szCs w:val="20"/>
          <w:color w:val="auto"/>
        </w:rPr>
      </w:pPr>
    </w:p>
    <w:p>
      <w:pPr>
        <w:ind w:left="570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6350</wp:posOffset>
            </wp:positionV>
            <wp:extent cx="30772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Matthew Skaruppa</w:t>
      </w:r>
    </w:p>
    <w:p>
      <w:pPr>
        <w:ind w:left="6420"/>
        <w:spacing w:after="0" w:line="203" w:lineRule="auto"/>
        <w:rPr>
          <w:sz w:val="20"/>
          <w:szCs w:val="20"/>
          <w:color w:val="auto"/>
        </w:rPr>
      </w:pPr>
      <w:r>
        <w:rPr>
          <w:rFonts w:ascii="Arial" w:cs="Arial" w:eastAsia="Arial" w:hAnsi="Arial"/>
          <w:sz w:val="18"/>
          <w:szCs w:val="18"/>
          <w:color w:val="auto"/>
        </w:rPr>
        <w:t>Chief Financial Officer</w:t>
      </w:r>
    </w:p>
    <w:p>
      <w:pPr>
        <w:ind w:left="6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1440" w:right="4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Luis von Ahn, certify that:</w:t>
      </w:r>
    </w:p>
    <w:p>
      <w:pPr>
        <w:spacing w:after="0" w:line="306" w:lineRule="exact"/>
        <w:rPr>
          <w:sz w:val="20"/>
          <w:szCs w:val="20"/>
          <w:color w:val="auto"/>
        </w:rPr>
      </w:pPr>
    </w:p>
    <w:p>
      <w:pPr>
        <w:ind w:left="540" w:hanging="510"/>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Duolingo, Inc.;</w:t>
      </w:r>
    </w:p>
    <w:p>
      <w:pPr>
        <w:spacing w:after="0" w:line="292" w:lineRule="exact"/>
        <w:rPr>
          <w:rFonts w:ascii="Arial" w:cs="Arial" w:eastAsia="Arial" w:hAnsi="Arial"/>
          <w:sz w:val="18"/>
          <w:szCs w:val="18"/>
          <w:color w:val="auto"/>
        </w:rPr>
      </w:pPr>
    </w:p>
    <w:p>
      <w:pPr>
        <w:jc w:val="both"/>
        <w:ind w:left="540" w:right="220" w:hanging="510"/>
        <w:spacing w:after="0" w:line="263"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540" w:right="200" w:hanging="510"/>
        <w:spacing w:after="0" w:line="308"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7"/>
          <w:szCs w:val="17"/>
          <w:color w:val="auto"/>
        </w:rPr>
      </w:pPr>
    </w:p>
    <w:p>
      <w:pPr>
        <w:ind w:left="540" w:right="240" w:hanging="510"/>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37" w:lineRule="exact"/>
        <w:rPr>
          <w:rFonts w:ascii="Arial" w:cs="Arial" w:eastAsia="Arial" w:hAnsi="Arial"/>
          <w:sz w:val="18"/>
          <w:szCs w:val="18"/>
          <w:color w:val="auto"/>
        </w:rPr>
      </w:pPr>
    </w:p>
    <w:p>
      <w:pPr>
        <w:ind w:left="1060" w:right="140" w:hanging="517"/>
        <w:spacing w:after="0" w:line="263"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1060" w:hanging="517"/>
        <w:spacing w:after="0"/>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92" w:lineRule="exact"/>
        <w:rPr>
          <w:rFonts w:ascii="Arial" w:cs="Arial" w:eastAsia="Arial" w:hAnsi="Arial"/>
          <w:sz w:val="18"/>
          <w:szCs w:val="18"/>
          <w:color w:val="auto"/>
        </w:rPr>
      </w:pPr>
    </w:p>
    <w:p>
      <w:pPr>
        <w:jc w:val="both"/>
        <w:ind w:left="1060" w:right="440" w:hanging="517"/>
        <w:spacing w:after="0" w:line="342" w:lineRule="auto"/>
        <w:tabs>
          <w:tab w:leader="none" w:pos="10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060" w:right="160" w:hanging="517"/>
        <w:spacing w:after="0" w:line="263"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rFonts w:ascii="Arial" w:cs="Arial" w:eastAsia="Arial" w:hAnsi="Arial"/>
          <w:sz w:val="18"/>
          <w:szCs w:val="18"/>
          <w:color w:val="auto"/>
        </w:rPr>
      </w:pPr>
    </w:p>
    <w:p>
      <w:pPr>
        <w:ind w:left="540" w:right="220" w:hanging="510"/>
        <w:spacing w:after="0" w:line="342"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6"/>
          <w:szCs w:val="16"/>
          <w:color w:val="auto"/>
        </w:rPr>
      </w:pPr>
    </w:p>
    <w:p>
      <w:pPr>
        <w:ind w:left="1060" w:right="680" w:hanging="517"/>
        <w:spacing w:after="0" w:line="342" w:lineRule="auto"/>
        <w:tabs>
          <w:tab w:leader="none" w:pos="10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060" w:right="400" w:hanging="517"/>
        <w:spacing w:after="0" w:line="277" w:lineRule="auto"/>
        <w:tabs>
          <w:tab w:leader="none" w:pos="10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5320" w:val="left"/>
          <w:tab w:leader="none" w:pos="792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31750</wp:posOffset>
            </wp:positionV>
            <wp:extent cx="33864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53"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Luis von Ahn</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41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Skaruppa, certify that:</w:t>
      </w:r>
    </w:p>
    <w:p>
      <w:pPr>
        <w:spacing w:after="0" w:line="306" w:lineRule="exact"/>
        <w:rPr>
          <w:sz w:val="20"/>
          <w:szCs w:val="20"/>
          <w:color w:val="auto"/>
        </w:rPr>
      </w:pPr>
    </w:p>
    <w:p>
      <w:pPr>
        <w:ind w:left="540" w:hanging="510"/>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Duolingo, Inc.;</w:t>
      </w:r>
    </w:p>
    <w:p>
      <w:pPr>
        <w:spacing w:after="0" w:line="292" w:lineRule="exact"/>
        <w:rPr>
          <w:rFonts w:ascii="Arial" w:cs="Arial" w:eastAsia="Arial" w:hAnsi="Arial"/>
          <w:sz w:val="18"/>
          <w:szCs w:val="18"/>
          <w:color w:val="auto"/>
        </w:rPr>
      </w:pPr>
    </w:p>
    <w:p>
      <w:pPr>
        <w:jc w:val="both"/>
        <w:ind w:left="540" w:right="220" w:hanging="510"/>
        <w:spacing w:after="0" w:line="26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540" w:right="200" w:hanging="510"/>
        <w:spacing w:after="0" w:line="308"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7"/>
          <w:szCs w:val="17"/>
          <w:color w:val="auto"/>
        </w:rPr>
      </w:pPr>
    </w:p>
    <w:p>
      <w:pPr>
        <w:ind w:left="540" w:right="240" w:hanging="510"/>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37" w:lineRule="exact"/>
        <w:rPr>
          <w:rFonts w:ascii="Arial" w:cs="Arial" w:eastAsia="Arial" w:hAnsi="Arial"/>
          <w:sz w:val="18"/>
          <w:szCs w:val="18"/>
          <w:color w:val="auto"/>
        </w:rPr>
      </w:pPr>
    </w:p>
    <w:p>
      <w:pPr>
        <w:ind w:left="1060" w:right="140" w:hanging="517"/>
        <w:spacing w:after="0" w:line="263"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1060" w:hanging="517"/>
        <w:spacing w:after="0"/>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[Reserved];</w:t>
      </w:r>
    </w:p>
    <w:p>
      <w:pPr>
        <w:spacing w:after="0" w:line="292" w:lineRule="exact"/>
        <w:rPr>
          <w:rFonts w:ascii="Arial" w:cs="Arial" w:eastAsia="Arial" w:hAnsi="Arial"/>
          <w:sz w:val="18"/>
          <w:szCs w:val="18"/>
          <w:color w:val="auto"/>
        </w:rPr>
      </w:pPr>
    </w:p>
    <w:p>
      <w:pPr>
        <w:jc w:val="both"/>
        <w:ind w:left="1060" w:right="440" w:hanging="517"/>
        <w:spacing w:after="0" w:line="342"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060" w:right="160" w:hanging="517"/>
        <w:spacing w:after="0" w:line="263"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7" w:lineRule="exact"/>
        <w:rPr>
          <w:rFonts w:ascii="Arial" w:cs="Arial" w:eastAsia="Arial" w:hAnsi="Arial"/>
          <w:sz w:val="18"/>
          <w:szCs w:val="18"/>
          <w:color w:val="auto"/>
        </w:rPr>
      </w:pPr>
    </w:p>
    <w:p>
      <w:pPr>
        <w:ind w:left="540" w:right="220" w:hanging="510"/>
        <w:spacing w:after="0" w:line="34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6"/>
          <w:szCs w:val="16"/>
          <w:color w:val="auto"/>
        </w:rPr>
      </w:pPr>
    </w:p>
    <w:p>
      <w:pPr>
        <w:ind w:left="1060" w:right="680" w:hanging="517"/>
        <w:spacing w:after="0" w:line="342" w:lineRule="auto"/>
        <w:tabs>
          <w:tab w:leader="none" w:pos="10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060" w:right="400" w:hanging="517"/>
        <w:spacing w:after="0" w:line="277"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5420" w:val="left"/>
          <w:tab w:leader="none" w:pos="776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31750</wp:posOffset>
            </wp:positionV>
            <wp:extent cx="33864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53"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Matthew Skaruppa</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41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Duolingo, Inc. (the “Company”) on Form 10-Q for the quarter ended June 30, 2021 (the “Report”), Luis von Ahn, President and Chief Executive Officer of the Company, and Matthew Skaruppa, Chief Financial Officer of the Company, each hereby certifies, pursuant to 18 U.S.C. Section 1350, as adopted pursuant to Section 906 of the Sarbanes-Oxley Act of 2002, that:</w:t>
      </w:r>
    </w:p>
    <w:p>
      <w:pPr>
        <w:spacing w:after="0" w:line="265" w:lineRule="exact"/>
        <w:rPr>
          <w:sz w:val="20"/>
          <w:szCs w:val="20"/>
          <w:color w:val="auto"/>
        </w:rPr>
      </w:pPr>
    </w:p>
    <w:p>
      <w:pPr>
        <w:ind w:left="720" w:hanging="35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292" w:lineRule="exact"/>
        <w:rPr>
          <w:rFonts w:ascii="Arial" w:cs="Arial" w:eastAsia="Arial" w:hAnsi="Arial"/>
          <w:sz w:val="18"/>
          <w:szCs w:val="18"/>
          <w:color w:val="auto"/>
        </w:rPr>
      </w:pPr>
    </w:p>
    <w:p>
      <w:pPr>
        <w:ind w:left="720" w:right="200" w:hanging="352"/>
        <w:spacing w:after="0" w:line="277"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586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6"/>
          <w:szCs w:val="16"/>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31750</wp:posOffset>
            </wp:positionV>
            <wp:extent cx="34118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Luis von Ahn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4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31750</wp:posOffset>
            </wp:positionV>
            <wp:extent cx="34118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Matthew Skaruppa</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3"/>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1."/>
      <w:numFmt w:val="decimal"/>
      <w:start w:val="11"/>
    </w:lvl>
  </w:abstractNum>
  <w:abstractNum w:abstractNumId="12">
    <w:nsid w:val="75A2A8D4"/>
    <w:multiLevelType w:val="hybridMultilevel"/>
    <w:lvl w:ilvl="0">
      <w:lvlJc w:val="left"/>
      <w:lvlText w:val="%1."/>
      <w:numFmt w:val="decimal"/>
      <w:start w:val="12"/>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3"/>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2"/>
    </w:lvl>
  </w:abstractNum>
  <w:abstractNum w:abstractNumId="17">
    <w:nsid w:val="189A769B"/>
    <w:multiLevelType w:val="hybridMultilevel"/>
    <w:lvl w:ilvl="0">
      <w:lvlJc w:val="left"/>
      <w:lvlText w:val="(%1)"/>
      <w:numFmt w:val="decimal"/>
      <w:start w:val="3"/>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98" Type="http://schemas.openxmlformats.org/officeDocument/2006/relationships/hyperlink" Target="https://www.sec.gov/Archives/edgar/data/1562088/000162828021015040/exhibit31-8xk.htm" TargetMode="External"/><Relationship Id="rId99" Type="http://schemas.openxmlformats.org/officeDocument/2006/relationships/hyperlink" Target="https://www.sec.gov/Archives/edgar/data/1562088/000162828021015040/exhibit32-8xk.htm" TargetMode="External"/><Relationship Id="rId100" Type="http://schemas.openxmlformats.org/officeDocument/2006/relationships/hyperlink" Target="https://www.sec.gov/Archives/edgar/data/1562088/000162828021013980/exhibit103a-sx1a1senttouw7.htm" TargetMode="External"/><Relationship Id="rId101" Type="http://schemas.openxmlformats.org/officeDocument/2006/relationships/hyperlink" Target="https://www.sec.gov/Archives/edgar/data/1562088/000162828021013980/exhibit103b-sx1a1senttouw7.htm" TargetMode="External"/><Relationship Id="rId102" Type="http://schemas.openxmlformats.org/officeDocument/2006/relationships/hyperlink" Target="https://www.sec.gov/Archives/edgar/data/1562088/000162828021013980/exhibit103c-sx1a1senttouw7.htm" TargetMode="External"/><Relationship Id="rId103" Type="http://schemas.openxmlformats.org/officeDocument/2006/relationships/hyperlink" Target="https://www.sec.gov/Archives/edgar/data/1562088/000162828021013980/exhibit104-sx1a1senttouw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2021-08-12T16:40:01Z</dcterms:created>
  <dcterms:modified xsi:type="dcterms:W3CDTF">2021-08-12T16:40:01Z</dcterms:modified>
</cp:coreProperties>
</file>