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Duolingo,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47"/>
        </w:trPr>
        <w:tc>
          <w:tcPr>
            <w:tcW w:w="3280" w:type="dxa"/>
            <w:vAlign w:val="bottom"/>
          </w:tcPr>
          <w:p>
            <w:pPr>
              <w:jc w:val="center"/>
              <w:ind w:right="930"/>
              <w:spacing w:after="0"/>
              <w:rPr>
                <w:sz w:val="20"/>
                <w:szCs w:val="20"/>
                <w:color w:val="auto"/>
              </w:rPr>
            </w:pPr>
            <w:r>
              <w:rPr>
                <w:rFonts w:ascii="Arial" w:cs="Arial" w:eastAsia="Arial" w:hAnsi="Arial"/>
                <w:sz w:val="18"/>
                <w:szCs w:val="18"/>
                <w:b w:val="1"/>
                <w:bCs w:val="1"/>
                <w:color w:val="auto"/>
                <w:w w:val="98"/>
              </w:rPr>
              <w:t>Delaware</w:t>
            </w:r>
          </w:p>
        </w:tc>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001-40653</w:t>
            </w:r>
          </w:p>
        </w:tc>
        <w:tc>
          <w:tcPr>
            <w:tcW w:w="3020" w:type="dxa"/>
            <w:vAlign w:val="bottom"/>
          </w:tcPr>
          <w:p>
            <w:pPr>
              <w:jc w:val="center"/>
              <w:ind w:left="1010"/>
              <w:spacing w:after="0"/>
              <w:rPr>
                <w:sz w:val="20"/>
                <w:szCs w:val="20"/>
                <w:color w:val="auto"/>
              </w:rPr>
            </w:pPr>
            <w:r>
              <w:rPr>
                <w:rFonts w:ascii="Arial" w:cs="Arial" w:eastAsia="Arial" w:hAnsi="Arial"/>
                <w:sz w:val="18"/>
                <w:szCs w:val="18"/>
                <w:b w:val="1"/>
                <w:bCs w:val="1"/>
                <w:color w:val="auto"/>
                <w:w w:val="99"/>
              </w:rPr>
              <w:t>45-3055872</w:t>
            </w:r>
          </w:p>
        </w:tc>
      </w:tr>
      <w:tr>
        <w:trPr>
          <w:trHeight w:val="239"/>
        </w:trPr>
        <w:tc>
          <w:tcPr>
            <w:tcW w:w="3280" w:type="dxa"/>
            <w:vAlign w:val="bottom"/>
          </w:tcPr>
          <w:p>
            <w:pPr>
              <w:jc w:val="center"/>
              <w:ind w:right="930"/>
              <w:spacing w:after="0"/>
              <w:rPr>
                <w:sz w:val="20"/>
                <w:szCs w:val="20"/>
                <w:color w:val="auto"/>
              </w:rPr>
            </w:pPr>
            <w:r>
              <w:rPr>
                <w:rFonts w:ascii="Arial" w:cs="Arial" w:eastAsia="Arial" w:hAnsi="Arial"/>
                <w:sz w:val="18"/>
                <w:szCs w:val="18"/>
                <w:b w:val="1"/>
                <w:bCs w:val="1"/>
                <w:color w:val="auto"/>
              </w:rPr>
              <w:t>(State or other jurisdiction</w:t>
            </w:r>
          </w:p>
        </w:tc>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(Commission</w:t>
            </w:r>
          </w:p>
        </w:tc>
        <w:tc>
          <w:tcPr>
            <w:tcW w:w="3020" w:type="dxa"/>
            <w:vAlign w:val="bottom"/>
          </w:tcPr>
          <w:p>
            <w:pPr>
              <w:jc w:val="center"/>
              <w:ind w:left="1010"/>
              <w:spacing w:after="0"/>
              <w:rPr>
                <w:sz w:val="20"/>
                <w:szCs w:val="20"/>
                <w:color w:val="auto"/>
              </w:rPr>
            </w:pPr>
            <w:r>
              <w:rPr>
                <w:rFonts w:ascii="Arial" w:cs="Arial" w:eastAsia="Arial" w:hAnsi="Arial"/>
                <w:sz w:val="18"/>
                <w:szCs w:val="18"/>
                <w:b w:val="1"/>
                <w:bCs w:val="1"/>
                <w:color w:val="auto"/>
              </w:rPr>
              <w:t>(IRS Employer</w:t>
            </w:r>
          </w:p>
        </w:tc>
      </w:tr>
      <w:tr>
        <w:trPr>
          <w:trHeight w:val="247"/>
        </w:trPr>
        <w:tc>
          <w:tcPr>
            <w:tcW w:w="3280" w:type="dxa"/>
            <w:vAlign w:val="bottom"/>
          </w:tcPr>
          <w:p>
            <w:pPr>
              <w:jc w:val="center"/>
              <w:ind w:right="910"/>
              <w:spacing w:after="0"/>
              <w:rPr>
                <w:sz w:val="20"/>
                <w:szCs w:val="20"/>
                <w:color w:val="auto"/>
              </w:rPr>
            </w:pPr>
            <w:r>
              <w:rPr>
                <w:rFonts w:ascii="Arial" w:cs="Arial" w:eastAsia="Arial" w:hAnsi="Arial"/>
                <w:sz w:val="18"/>
                <w:szCs w:val="18"/>
                <w:b w:val="1"/>
                <w:bCs w:val="1"/>
                <w:color w:val="auto"/>
                <w:w w:val="99"/>
              </w:rPr>
              <w:t>of incorporation)</w:t>
            </w:r>
          </w:p>
        </w:tc>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File Number)</w:t>
            </w:r>
          </w:p>
        </w:tc>
        <w:tc>
          <w:tcPr>
            <w:tcW w:w="3020" w:type="dxa"/>
            <w:vAlign w:val="bottom"/>
          </w:tcPr>
          <w:p>
            <w:pPr>
              <w:jc w:val="center"/>
              <w:ind w:left="1010"/>
              <w:spacing w:after="0"/>
              <w:rPr>
                <w:sz w:val="20"/>
                <w:szCs w:val="20"/>
                <w:color w:val="auto"/>
              </w:rPr>
            </w:pPr>
            <w:r>
              <w:rPr>
                <w:rFonts w:ascii="Arial" w:cs="Arial" w:eastAsia="Arial" w:hAnsi="Arial"/>
                <w:sz w:val="18"/>
                <w:szCs w:val="18"/>
                <w:b w:val="1"/>
                <w:bCs w:val="1"/>
                <w:color w:val="auto"/>
              </w:rPr>
              <w:t>Identification Number)</w:t>
            </w: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5900 Penn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Pittsburgh, Pennsylvania 15206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(412) 567-6602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1060" w:hanging="58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1060" w:hanging="58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1060" w:hanging="58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1060" w:hanging="58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8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0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301"/>
        </w:trPr>
        <w:tc>
          <w:tcPr>
            <w:tcW w:w="4880" w:type="dxa"/>
            <w:vAlign w:val="bottom"/>
          </w:tcPr>
          <w:p>
            <w:pPr>
              <w:spacing w:after="0"/>
              <w:rPr>
                <w:sz w:val="24"/>
                <w:szCs w:val="24"/>
                <w:color w:val="auto"/>
              </w:rPr>
            </w:pPr>
          </w:p>
        </w:tc>
        <w:tc>
          <w:tcPr>
            <w:tcW w:w="2100" w:type="dxa"/>
            <w:vAlign w:val="bottom"/>
          </w:tcPr>
          <w:p>
            <w:pPr>
              <w:jc w:val="center"/>
              <w:ind w:right="550"/>
              <w:spacing w:after="0"/>
              <w:rPr>
                <w:sz w:val="20"/>
                <w:szCs w:val="20"/>
                <w:color w:val="auto"/>
              </w:rPr>
            </w:pPr>
            <w:r>
              <w:rPr>
                <w:rFonts w:ascii="Arial" w:cs="Arial" w:eastAsia="Arial" w:hAnsi="Arial"/>
                <w:sz w:val="18"/>
                <w:szCs w:val="18"/>
                <w:b w:val="1"/>
                <w:bCs w:val="1"/>
                <w:color w:val="auto"/>
                <w:w w:val="99"/>
              </w:rPr>
              <w:t>Trading</w:t>
            </w:r>
          </w:p>
        </w:tc>
        <w:tc>
          <w:tcPr>
            <w:tcW w:w="426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55"/>
        </w:trPr>
        <w:tc>
          <w:tcPr>
            <w:tcW w:w="4880" w:type="dxa"/>
            <w:vAlign w:val="bottom"/>
            <w:tcBorders>
              <w:bottom w:val="single" w:sz="8" w:color="auto"/>
            </w:tcBorders>
          </w:tcPr>
          <w:p>
            <w:pPr>
              <w:jc w:val="center"/>
              <w:ind w:right="1050"/>
              <w:spacing w:after="0"/>
              <w:rPr>
                <w:sz w:val="20"/>
                <w:szCs w:val="20"/>
                <w:color w:val="auto"/>
              </w:rPr>
            </w:pPr>
            <w:r>
              <w:rPr>
                <w:rFonts w:ascii="Arial" w:cs="Arial" w:eastAsia="Arial" w:hAnsi="Arial"/>
                <w:sz w:val="18"/>
                <w:szCs w:val="18"/>
                <w:b w:val="1"/>
                <w:bCs w:val="1"/>
                <w:color w:val="auto"/>
                <w:w w:val="99"/>
              </w:rPr>
              <w:t>Title of each class</w:t>
            </w:r>
          </w:p>
        </w:tc>
        <w:tc>
          <w:tcPr>
            <w:tcW w:w="210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8"/>
              </w:rPr>
              <w:t>Symbol(s)</w:t>
            </w:r>
          </w:p>
        </w:tc>
        <w:tc>
          <w:tcPr>
            <w:tcW w:w="42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rPr>
              <w:t>registered</w:t>
            </w:r>
          </w:p>
        </w:tc>
      </w:tr>
      <w:tr>
        <w:trPr>
          <w:trHeight w:val="224"/>
        </w:trPr>
        <w:tc>
          <w:tcPr>
            <w:tcW w:w="4880" w:type="dxa"/>
            <w:vAlign w:val="bottom"/>
          </w:tcPr>
          <w:p>
            <w:pPr>
              <w:jc w:val="center"/>
              <w:ind w:right="1050"/>
              <w:spacing w:after="0"/>
              <w:rPr>
                <w:sz w:val="20"/>
                <w:szCs w:val="20"/>
                <w:color w:val="auto"/>
              </w:rPr>
            </w:pPr>
            <w:r>
              <w:rPr>
                <w:rFonts w:ascii="Arial" w:cs="Arial" w:eastAsia="Arial" w:hAnsi="Arial"/>
                <w:sz w:val="18"/>
                <w:szCs w:val="18"/>
                <w:b w:val="1"/>
                <w:bCs w:val="1"/>
                <w:color w:val="auto"/>
              </w:rPr>
              <w:t>Class A common stock, $0.0001 par value</w:t>
            </w:r>
          </w:p>
        </w:tc>
        <w:tc>
          <w:tcPr>
            <w:tcW w:w="2100" w:type="dxa"/>
            <w:vAlign w:val="bottom"/>
          </w:tcPr>
          <w:p>
            <w:pPr>
              <w:jc w:val="center"/>
              <w:ind w:right="550"/>
              <w:spacing w:after="0"/>
              <w:rPr>
                <w:sz w:val="20"/>
                <w:szCs w:val="20"/>
                <w:color w:val="auto"/>
              </w:rPr>
            </w:pPr>
            <w:r>
              <w:rPr>
                <w:rFonts w:ascii="Arial" w:cs="Arial" w:eastAsia="Arial" w:hAnsi="Arial"/>
                <w:sz w:val="18"/>
                <w:szCs w:val="18"/>
                <w:b w:val="1"/>
                <w:bCs w:val="1"/>
                <w:color w:val="auto"/>
                <w:w w:val="97"/>
              </w:rPr>
              <w:t>DUOL</w:t>
            </w:r>
          </w:p>
        </w:tc>
        <w:tc>
          <w:tcPr>
            <w:tcW w:w="4260" w:type="dxa"/>
            <w:vAlign w:val="bottom"/>
          </w:tcPr>
          <w:p>
            <w:pPr>
              <w:jc w:val="center"/>
              <w:ind w:left="410"/>
              <w:spacing w:after="0"/>
              <w:rPr>
                <w:sz w:val="20"/>
                <w:szCs w:val="20"/>
                <w:color w:val="auto"/>
              </w:rPr>
            </w:pPr>
            <w:r>
              <w:rPr>
                <w:rFonts w:ascii="Arial" w:cs="Arial" w:eastAsia="Arial" w:hAnsi="Arial"/>
                <w:sz w:val="18"/>
                <w:szCs w:val="18"/>
                <w:b w:val="1"/>
                <w:bCs w:val="1"/>
                <w:color w:val="auto"/>
              </w:rPr>
              <w:t>The Nasdaq Stock Market</w:t>
            </w:r>
          </w:p>
        </w:tc>
      </w:tr>
      <w:tr>
        <w:trPr>
          <w:trHeight w:val="247"/>
        </w:trPr>
        <w:tc>
          <w:tcPr>
            <w:tcW w:w="4880" w:type="dxa"/>
            <w:vAlign w:val="bottom"/>
          </w:tcPr>
          <w:p>
            <w:pPr>
              <w:jc w:val="center"/>
              <w:ind w:right="1050"/>
              <w:spacing w:after="0"/>
              <w:rPr>
                <w:sz w:val="20"/>
                <w:szCs w:val="20"/>
                <w:color w:val="auto"/>
              </w:rPr>
            </w:pPr>
            <w:r>
              <w:rPr>
                <w:rFonts w:ascii="Arial" w:cs="Arial" w:eastAsia="Arial" w:hAnsi="Arial"/>
                <w:sz w:val="18"/>
                <w:szCs w:val="18"/>
                <w:b w:val="1"/>
                <w:bCs w:val="1"/>
                <w:color w:val="auto"/>
              </w:rPr>
              <w:t>per share</w:t>
            </w:r>
          </w:p>
        </w:tc>
        <w:tc>
          <w:tcPr>
            <w:tcW w:w="2100" w:type="dxa"/>
            <w:vAlign w:val="bottom"/>
          </w:tcPr>
          <w:p>
            <w:pPr>
              <w:spacing w:after="0"/>
              <w:rPr>
                <w:sz w:val="21"/>
                <w:szCs w:val="21"/>
                <w:color w:val="auto"/>
              </w:rPr>
            </w:pPr>
          </w:p>
        </w:tc>
        <w:tc>
          <w:tcPr>
            <w:tcW w:w="4260" w:type="dxa"/>
            <w:vAlign w:val="bottom"/>
          </w:tcPr>
          <w:p>
            <w:pPr>
              <w:spacing w:after="0"/>
              <w:rPr>
                <w:sz w:val="21"/>
                <w:szCs w:val="21"/>
                <w:color w:val="auto"/>
              </w:rPr>
            </w:pPr>
          </w:p>
        </w:tc>
      </w:tr>
    </w:tbl>
    <w:p>
      <w:pPr>
        <w:spacing w:after="0" w:line="145"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963295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June 3, 2026, Duolingo, Inc. (the “Company”) held its 2026 Annual Meeting of Stockholders (the “Annual Meeting”). At the Annual Meeting, shares of the Company’s Class A common stock and Class B common stock (collectively, the “Common Stock”), representing approximately 94.01% in voting power of the Company’s outstanding Common Stock as of the April 7, 2026 record date, were present in person, or by remote communication, or represented by proxy. Each share of Class A common stock is entitled to one vote, and each share of Class B common stock is entitled to 20 votes, and the Class A and Class B common stock voted together as a single class on each of the proposals described below. The following are the voting results for the proposals considered and voted upon at the Annual Meeting, each of</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which were described in the Company’s Definitive Proxy Statement on Schedule 14A filed with the Securities and Exchange Commission on April 17, 2026.</w:t>
      </w:r>
    </w:p>
    <w:p>
      <w:pPr>
        <w:spacing w:after="0" w:line="22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 Election of three Class II directors to hold office until the Company’s annual meeting of stockholders to be held in 2029 and</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their respective successor has been duly elected and qualified.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ind w:left="1800"/>
              <w:spacing w:after="0"/>
              <w:rPr>
                <w:sz w:val="20"/>
                <w:szCs w:val="20"/>
                <w:color w:val="auto"/>
              </w:rPr>
            </w:pPr>
            <w:r>
              <w:rPr>
                <w:rFonts w:ascii="Arial" w:cs="Arial" w:eastAsia="Arial" w:hAnsi="Arial"/>
                <w:sz w:val="18"/>
                <w:szCs w:val="18"/>
                <w:color w:val="auto"/>
              </w:rPr>
              <w:t>NOMINEE</w:t>
            </w:r>
          </w:p>
        </w:tc>
        <w:tc>
          <w:tcPr>
            <w:tcW w:w="2880" w:type="dxa"/>
            <w:vAlign w:val="bottom"/>
            <w:gridSpan w:val="2"/>
          </w:tcPr>
          <w:p>
            <w:pPr>
              <w:ind w:left="1260"/>
              <w:spacing w:after="0"/>
              <w:rPr>
                <w:sz w:val="20"/>
                <w:szCs w:val="20"/>
                <w:color w:val="auto"/>
              </w:rPr>
            </w:pPr>
            <w:r>
              <w:rPr>
                <w:rFonts w:ascii="Arial" w:cs="Arial" w:eastAsia="Arial" w:hAnsi="Arial"/>
                <w:sz w:val="18"/>
                <w:szCs w:val="18"/>
                <w:color w:val="auto"/>
              </w:rPr>
              <w:t>Votes FOR</w:t>
            </w:r>
          </w:p>
        </w:tc>
        <w:tc>
          <w:tcPr>
            <w:tcW w:w="2340" w:type="dxa"/>
            <w:vAlign w:val="bottom"/>
          </w:tcPr>
          <w:p>
            <w:pPr>
              <w:jc w:val="right"/>
              <w:ind w:right="450"/>
              <w:spacing w:after="0"/>
              <w:rPr>
                <w:sz w:val="20"/>
                <w:szCs w:val="20"/>
                <w:color w:val="auto"/>
              </w:rPr>
            </w:pPr>
            <w:r>
              <w:rPr>
                <w:rFonts w:ascii="Arial" w:cs="Arial" w:eastAsia="Arial" w:hAnsi="Arial"/>
                <w:sz w:val="18"/>
                <w:szCs w:val="18"/>
                <w:color w:val="auto"/>
              </w:rPr>
              <w:t>Votes WITHHELD</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Broker Non-Votes</w:t>
            </w:r>
          </w:p>
        </w:tc>
      </w:tr>
      <w:tr>
        <w:trPr>
          <w:trHeight w:val="23"/>
        </w:trPr>
        <w:tc>
          <w:tcPr>
            <w:tcW w:w="39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Amy Bohutinsky</w:t>
            </w:r>
          </w:p>
        </w:tc>
        <w:tc>
          <w:tcPr>
            <w:tcW w:w="2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138,040,912</w:t>
            </w:r>
          </w:p>
        </w:tc>
        <w:tc>
          <w:tcPr>
            <w:tcW w:w="100" w:type="dxa"/>
            <w:vAlign w:val="bottom"/>
            <w:tcBorders>
              <w:bottom w:val="single" w:sz="8" w:color="DBDBDB"/>
            </w:tcBorders>
            <w:shd w:val="clear" w:color="auto" w:fill="DBDBDB"/>
          </w:tcPr>
          <w:p>
            <w:pPr>
              <w:spacing w:after="0"/>
              <w:rPr>
                <w:sz w:val="21"/>
                <w:szCs w:val="21"/>
                <w:color w:val="auto"/>
              </w:rPr>
            </w:pPr>
          </w:p>
        </w:tc>
        <w:tc>
          <w:tcPr>
            <w:tcW w:w="234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rPr>
              <w:t>10,993,000</w:t>
            </w:r>
          </w:p>
        </w:tc>
        <w:tc>
          <w:tcPr>
            <w:tcW w:w="2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8,479,853</w:t>
            </w:r>
          </w:p>
        </w:tc>
      </w:tr>
      <w:tr>
        <w:trPr>
          <w:trHeight w:val="247"/>
        </w:trPr>
        <w:tc>
          <w:tcPr>
            <w:tcW w:w="3900" w:type="dxa"/>
            <w:vAlign w:val="bottom"/>
          </w:tcPr>
          <w:p>
            <w:pPr>
              <w:ind w:left="20"/>
              <w:spacing w:after="0"/>
              <w:rPr>
                <w:sz w:val="20"/>
                <w:szCs w:val="20"/>
                <w:color w:val="auto"/>
              </w:rPr>
            </w:pPr>
            <w:r>
              <w:rPr>
                <w:rFonts w:ascii="Arial" w:cs="Arial" w:eastAsia="Arial" w:hAnsi="Arial"/>
                <w:sz w:val="18"/>
                <w:szCs w:val="18"/>
                <w:color w:val="auto"/>
              </w:rPr>
              <w:t>Bonnie Ross</w:t>
            </w:r>
          </w:p>
        </w:tc>
        <w:tc>
          <w:tcPr>
            <w:tcW w:w="2780" w:type="dxa"/>
            <w:vAlign w:val="bottom"/>
          </w:tcPr>
          <w:p>
            <w:pPr>
              <w:jc w:val="right"/>
              <w:spacing w:after="0"/>
              <w:rPr>
                <w:sz w:val="20"/>
                <w:szCs w:val="20"/>
                <w:color w:val="auto"/>
              </w:rPr>
            </w:pPr>
            <w:r>
              <w:rPr>
                <w:rFonts w:ascii="Arial" w:cs="Arial" w:eastAsia="Arial" w:hAnsi="Arial"/>
                <w:sz w:val="18"/>
                <w:szCs w:val="18"/>
                <w:color w:val="auto"/>
              </w:rPr>
              <w:t>148,237,642</w:t>
            </w:r>
          </w:p>
        </w:tc>
        <w:tc>
          <w:tcPr>
            <w:tcW w:w="100" w:type="dxa"/>
            <w:vAlign w:val="bottom"/>
          </w:tcPr>
          <w:p>
            <w:pPr>
              <w:spacing w:after="0"/>
              <w:rPr>
                <w:sz w:val="21"/>
                <w:szCs w:val="21"/>
                <w:color w:val="auto"/>
              </w:rPr>
            </w:pPr>
          </w:p>
        </w:tc>
        <w:tc>
          <w:tcPr>
            <w:tcW w:w="2340" w:type="dxa"/>
            <w:vAlign w:val="bottom"/>
          </w:tcPr>
          <w:p>
            <w:pPr>
              <w:jc w:val="right"/>
              <w:ind w:right="170"/>
              <w:spacing w:after="0"/>
              <w:rPr>
                <w:sz w:val="20"/>
                <w:szCs w:val="20"/>
                <w:color w:val="auto"/>
              </w:rPr>
            </w:pPr>
            <w:r>
              <w:rPr>
                <w:rFonts w:ascii="Arial" w:cs="Arial" w:eastAsia="Arial" w:hAnsi="Arial"/>
                <w:sz w:val="18"/>
                <w:szCs w:val="18"/>
                <w:color w:val="auto"/>
              </w:rPr>
              <w:t>796,270</w:t>
            </w:r>
          </w:p>
        </w:tc>
        <w:tc>
          <w:tcPr>
            <w:tcW w:w="2060" w:type="dxa"/>
            <w:vAlign w:val="bottom"/>
          </w:tcPr>
          <w:p>
            <w:pPr>
              <w:jc w:val="right"/>
              <w:spacing w:after="0"/>
              <w:rPr>
                <w:sz w:val="20"/>
                <w:szCs w:val="20"/>
                <w:color w:val="auto"/>
              </w:rPr>
            </w:pPr>
            <w:r>
              <w:rPr>
                <w:rFonts w:ascii="Arial" w:cs="Arial" w:eastAsia="Arial" w:hAnsi="Arial"/>
                <w:sz w:val="18"/>
                <w:szCs w:val="18"/>
                <w:color w:val="auto"/>
              </w:rPr>
              <w:t>8,479,853</w:t>
            </w:r>
          </w:p>
        </w:tc>
      </w:tr>
      <w:tr>
        <w:trPr>
          <w:trHeight w:val="23"/>
        </w:trPr>
        <w:tc>
          <w:tcPr>
            <w:tcW w:w="3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7"/>
        </w:trPr>
        <w:tc>
          <w:tcPr>
            <w:tcW w:w="3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Jim Shelton</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145,587,925</w:t>
            </w:r>
          </w:p>
        </w:tc>
        <w:tc>
          <w:tcPr>
            <w:tcW w:w="100" w:type="dxa"/>
            <w:vAlign w:val="bottom"/>
            <w:shd w:val="clear" w:color="auto" w:fill="DBDBDB"/>
          </w:tcPr>
          <w:p>
            <w:pPr>
              <w:spacing w:after="0"/>
              <w:rPr>
                <w:sz w:val="21"/>
                <w:szCs w:val="21"/>
                <w:color w:val="auto"/>
              </w:rPr>
            </w:pPr>
          </w:p>
        </w:tc>
        <w:tc>
          <w:tcPr>
            <w:tcW w:w="23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3,445,987</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8,479,853</w:t>
            </w:r>
          </w:p>
        </w:tc>
      </w:tr>
      <w:tr>
        <w:trPr>
          <w:trHeight w:val="23"/>
        </w:trPr>
        <w:tc>
          <w:tcPr>
            <w:tcW w:w="3900" w:type="dxa"/>
            <w:vAlign w:val="bottom"/>
            <w:shd w:val="clear" w:color="auto" w:fill="DBDBDB"/>
          </w:tcPr>
          <w:p>
            <w:pPr>
              <w:spacing w:after="0"/>
              <w:rPr>
                <w:sz w:val="2"/>
                <w:szCs w:val="2"/>
                <w:color w:val="auto"/>
              </w:rPr>
            </w:pPr>
          </w:p>
        </w:tc>
        <w:tc>
          <w:tcPr>
            <w:tcW w:w="27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340" w:type="dxa"/>
            <w:vAlign w:val="bottom"/>
            <w:shd w:val="clear" w:color="auto" w:fill="DBDBDB"/>
          </w:tcPr>
          <w:p>
            <w:pPr>
              <w:spacing w:after="0"/>
              <w:rPr>
                <w:sz w:val="2"/>
                <w:szCs w:val="2"/>
                <w:color w:val="auto"/>
              </w:rPr>
            </w:pPr>
          </w:p>
        </w:tc>
        <w:tc>
          <w:tcPr>
            <w:tcW w:w="206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20" w:right="80"/>
        <w:spacing w:after="0" w:line="271"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 Ratification of the appointment of Deloitte &amp; Touche LLP as the Company’s independent registered public accounting firm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ending December 31,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80" w:type="dxa"/>
            <w:vAlign w:val="bottom"/>
          </w:tcPr>
          <w:p>
            <w:pPr>
              <w:jc w:val="right"/>
              <w:ind w:right="1190"/>
              <w:spacing w:after="0"/>
              <w:rPr>
                <w:sz w:val="20"/>
                <w:szCs w:val="20"/>
                <w:color w:val="auto"/>
              </w:rPr>
            </w:pPr>
            <w:r>
              <w:rPr>
                <w:rFonts w:ascii="Arial" w:cs="Arial" w:eastAsia="Arial" w:hAnsi="Arial"/>
                <w:sz w:val="18"/>
                <w:szCs w:val="18"/>
                <w:color w:val="auto"/>
              </w:rPr>
              <w:t>Votes FOR</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Votes AGAINST</w:t>
            </w:r>
          </w:p>
        </w:tc>
        <w:tc>
          <w:tcPr>
            <w:tcW w:w="3060" w:type="dxa"/>
            <w:vAlign w:val="bottom"/>
          </w:tcPr>
          <w:p>
            <w:pPr>
              <w:jc w:val="right"/>
              <w:ind w:right="870"/>
              <w:spacing w:after="0"/>
              <w:rPr>
                <w:sz w:val="20"/>
                <w:szCs w:val="20"/>
                <w:color w:val="auto"/>
              </w:rPr>
            </w:pPr>
            <w:r>
              <w:rPr>
                <w:rFonts w:ascii="Arial" w:cs="Arial" w:eastAsia="Arial" w:hAnsi="Arial"/>
                <w:sz w:val="18"/>
                <w:szCs w:val="18"/>
                <w:color w:val="auto"/>
              </w:rPr>
              <w:t>Votes ABSTAINED</w:t>
            </w:r>
          </w:p>
        </w:tc>
        <w:tc>
          <w:tcPr>
            <w:tcW w:w="2480" w:type="dxa"/>
            <w:vAlign w:val="bottom"/>
          </w:tcPr>
          <w:p>
            <w:pPr>
              <w:ind w:left="400"/>
              <w:spacing w:after="0"/>
              <w:rPr>
                <w:sz w:val="20"/>
                <w:szCs w:val="20"/>
                <w:color w:val="auto"/>
              </w:rPr>
            </w:pPr>
            <w:r>
              <w:rPr>
                <w:rFonts w:ascii="Arial" w:cs="Arial" w:eastAsia="Arial" w:hAnsi="Arial"/>
                <w:sz w:val="18"/>
                <w:szCs w:val="18"/>
                <w:color w:val="auto"/>
              </w:rPr>
              <w:t>Broker Non-Votes</w:t>
            </w:r>
          </w:p>
        </w:tc>
      </w:tr>
      <w:tr>
        <w:trPr>
          <w:trHeight w:val="23"/>
        </w:trPr>
        <w:tc>
          <w:tcPr>
            <w:tcW w:w="30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0"/>
        </w:trPr>
        <w:tc>
          <w:tcPr>
            <w:tcW w:w="308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rPr>
              <w:t>157,202,904</w:t>
            </w:r>
          </w:p>
        </w:tc>
        <w:tc>
          <w:tcPr>
            <w:tcW w:w="2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237,210</w:t>
            </w:r>
          </w:p>
        </w:tc>
        <w:tc>
          <w:tcPr>
            <w:tcW w:w="100" w:type="dxa"/>
            <w:vAlign w:val="bottom"/>
            <w:shd w:val="clear" w:color="auto" w:fill="DBDBDB"/>
          </w:tcPr>
          <w:p>
            <w:pPr>
              <w:spacing w:after="0"/>
              <w:rPr>
                <w:sz w:val="20"/>
                <w:szCs w:val="20"/>
                <w:color w:val="auto"/>
              </w:rPr>
            </w:pPr>
          </w:p>
        </w:tc>
        <w:tc>
          <w:tcPr>
            <w:tcW w:w="306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73,651</w:t>
            </w:r>
          </w:p>
        </w:tc>
        <w:tc>
          <w:tcPr>
            <w:tcW w:w="2480" w:type="dxa"/>
            <w:vAlign w:val="bottom"/>
            <w:shd w:val="clear" w:color="auto" w:fill="DBDBDB"/>
          </w:tcPr>
          <w:p>
            <w:pPr>
              <w:ind w:left="2220"/>
              <w:spacing w:after="0"/>
              <w:rPr>
                <w:sz w:val="20"/>
                <w:szCs w:val="20"/>
                <w:color w:val="auto"/>
              </w:rPr>
            </w:pPr>
            <w:r>
              <w:rPr>
                <w:rFonts w:ascii="Arial" w:cs="Arial" w:eastAsia="Arial" w:hAnsi="Arial"/>
                <w:sz w:val="18"/>
                <w:szCs w:val="18"/>
                <w:color w:val="auto"/>
              </w:rPr>
              <w:t>—</w:t>
            </w:r>
          </w:p>
        </w:tc>
      </w:tr>
      <w:tr>
        <w:trPr>
          <w:trHeight w:val="23"/>
        </w:trPr>
        <w:tc>
          <w:tcPr>
            <w:tcW w:w="3080" w:type="dxa"/>
            <w:vAlign w:val="bottom"/>
            <w:shd w:val="clear" w:color="auto" w:fill="DBDBDB"/>
          </w:tcPr>
          <w:p>
            <w:pPr>
              <w:spacing w:after="0"/>
              <w:rPr>
                <w:sz w:val="2"/>
                <w:szCs w:val="2"/>
                <w:color w:val="auto"/>
              </w:rPr>
            </w:pPr>
          </w:p>
        </w:tc>
        <w:tc>
          <w:tcPr>
            <w:tcW w:w="24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060" w:type="dxa"/>
            <w:vAlign w:val="bottom"/>
            <w:shd w:val="clear" w:color="auto" w:fill="DBDBDB"/>
          </w:tcPr>
          <w:p>
            <w:pPr>
              <w:spacing w:after="0"/>
              <w:rPr>
                <w:sz w:val="2"/>
                <w:szCs w:val="2"/>
                <w:color w:val="auto"/>
              </w:rPr>
            </w:pPr>
          </w:p>
        </w:tc>
        <w:tc>
          <w:tcPr>
            <w:tcW w:w="24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 Approval, on an advisory (non-binding) basis, of the compensation of the Company's named executive officers.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80" w:type="dxa"/>
            <w:vAlign w:val="bottom"/>
          </w:tcPr>
          <w:p>
            <w:pPr>
              <w:jc w:val="right"/>
              <w:ind w:right="1190"/>
              <w:spacing w:after="0"/>
              <w:rPr>
                <w:sz w:val="20"/>
                <w:szCs w:val="20"/>
                <w:color w:val="auto"/>
              </w:rPr>
            </w:pPr>
            <w:r>
              <w:rPr>
                <w:rFonts w:ascii="Arial" w:cs="Arial" w:eastAsia="Arial" w:hAnsi="Arial"/>
                <w:sz w:val="18"/>
                <w:szCs w:val="18"/>
                <w:color w:val="auto"/>
              </w:rPr>
              <w:t>Votes FOR</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Votes AGAINST</w:t>
            </w:r>
          </w:p>
        </w:tc>
        <w:tc>
          <w:tcPr>
            <w:tcW w:w="3060" w:type="dxa"/>
            <w:vAlign w:val="bottom"/>
          </w:tcPr>
          <w:p>
            <w:pPr>
              <w:jc w:val="right"/>
              <w:ind w:right="850"/>
              <w:spacing w:after="0"/>
              <w:rPr>
                <w:sz w:val="20"/>
                <w:szCs w:val="20"/>
                <w:color w:val="auto"/>
              </w:rPr>
            </w:pPr>
            <w:r>
              <w:rPr>
                <w:rFonts w:ascii="Arial" w:cs="Arial" w:eastAsia="Arial" w:hAnsi="Arial"/>
                <w:sz w:val="18"/>
                <w:szCs w:val="18"/>
                <w:color w:val="auto"/>
              </w:rPr>
              <w:t>Votes ABSTAINED</w:t>
            </w:r>
          </w:p>
        </w:tc>
        <w:tc>
          <w:tcPr>
            <w:tcW w:w="2480" w:type="dxa"/>
            <w:vAlign w:val="bottom"/>
          </w:tcPr>
          <w:p>
            <w:pPr>
              <w:jc w:val="right"/>
              <w:ind w:right="550"/>
              <w:spacing w:after="0"/>
              <w:rPr>
                <w:sz w:val="20"/>
                <w:szCs w:val="20"/>
                <w:color w:val="auto"/>
              </w:rPr>
            </w:pPr>
            <w:r>
              <w:rPr>
                <w:rFonts w:ascii="Arial" w:cs="Arial" w:eastAsia="Arial" w:hAnsi="Arial"/>
                <w:sz w:val="18"/>
                <w:szCs w:val="18"/>
                <w:color w:val="auto"/>
              </w:rPr>
              <w:t>Broker Non-Votes</w:t>
            </w:r>
          </w:p>
        </w:tc>
      </w:tr>
      <w:tr>
        <w:trPr>
          <w:trHeight w:val="23"/>
        </w:trPr>
        <w:tc>
          <w:tcPr>
            <w:tcW w:w="30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0"/>
        </w:trPr>
        <w:tc>
          <w:tcPr>
            <w:tcW w:w="308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rPr>
              <w:t>147,871,738</w:t>
            </w:r>
          </w:p>
        </w:tc>
        <w:tc>
          <w:tcPr>
            <w:tcW w:w="2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1,113,706</w:t>
            </w:r>
          </w:p>
        </w:tc>
        <w:tc>
          <w:tcPr>
            <w:tcW w:w="100" w:type="dxa"/>
            <w:vAlign w:val="bottom"/>
            <w:shd w:val="clear" w:color="auto" w:fill="DBDBDB"/>
          </w:tcPr>
          <w:p>
            <w:pPr>
              <w:spacing w:after="0"/>
              <w:rPr>
                <w:sz w:val="20"/>
                <w:szCs w:val="20"/>
                <w:color w:val="auto"/>
              </w:rPr>
            </w:pPr>
          </w:p>
        </w:tc>
        <w:tc>
          <w:tcPr>
            <w:tcW w:w="306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48,468</w:t>
            </w:r>
          </w:p>
        </w:tc>
        <w:tc>
          <w:tcPr>
            <w:tcW w:w="2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8,479,853</w:t>
            </w:r>
          </w:p>
        </w:tc>
      </w:tr>
      <w:tr>
        <w:trPr>
          <w:trHeight w:val="23"/>
        </w:trPr>
        <w:tc>
          <w:tcPr>
            <w:tcW w:w="3080" w:type="dxa"/>
            <w:vAlign w:val="bottom"/>
            <w:shd w:val="clear" w:color="auto" w:fill="DBDBDB"/>
          </w:tcPr>
          <w:p>
            <w:pPr>
              <w:spacing w:after="0"/>
              <w:rPr>
                <w:sz w:val="2"/>
                <w:szCs w:val="2"/>
                <w:color w:val="auto"/>
              </w:rPr>
            </w:pPr>
          </w:p>
        </w:tc>
        <w:tc>
          <w:tcPr>
            <w:tcW w:w="24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060" w:type="dxa"/>
            <w:vAlign w:val="bottom"/>
            <w:shd w:val="clear" w:color="auto" w:fill="DBDBDB"/>
          </w:tcPr>
          <w:p>
            <w:pPr>
              <w:spacing w:after="0"/>
              <w:rPr>
                <w:sz w:val="2"/>
                <w:szCs w:val="2"/>
                <w:color w:val="auto"/>
              </w:rPr>
            </w:pPr>
          </w:p>
        </w:tc>
        <w:tc>
          <w:tcPr>
            <w:tcW w:w="2480" w:type="dxa"/>
            <w:vAlign w:val="bottom"/>
            <w:shd w:val="clear" w:color="auto" w:fill="DBDBDB"/>
          </w:tcPr>
          <w:p>
            <w:pPr>
              <w:spacing w:after="0"/>
              <w:rPr>
                <w:sz w:val="2"/>
                <w:szCs w:val="2"/>
                <w:color w:val="auto"/>
              </w:rPr>
            </w:pPr>
          </w:p>
        </w:tc>
      </w:tr>
    </w:tbl>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Based on the foregoing votes, the three director nominees were elected and Proposals 2 and 3 were approved.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other matters were submitted for stockholder action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9"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DUOLINGO, INC.</w:t>
      </w:r>
    </w:p>
    <w:p>
      <w:pPr>
        <w:spacing w:after="0" w:line="320" w:lineRule="exact"/>
        <w:rPr>
          <w:sz w:val="20"/>
          <w:szCs w:val="20"/>
          <w:color w:val="auto"/>
        </w:rPr>
      </w:pPr>
    </w:p>
    <w:p>
      <w:pPr>
        <w:ind w:left="40"/>
        <w:spacing w:after="0"/>
        <w:tabs>
          <w:tab w:leader="none" w:pos="5360" w:val="left"/>
          <w:tab w:leader="none" w:pos="5860" w:val="left"/>
        </w:tabs>
        <w:rPr>
          <w:sz w:val="20"/>
          <w:szCs w:val="20"/>
          <w:color w:val="auto"/>
        </w:rPr>
      </w:pPr>
      <w:r>
        <w:rPr>
          <w:rFonts w:ascii="Arial" w:cs="Arial" w:eastAsia="Arial" w:hAnsi="Arial"/>
          <w:sz w:val="18"/>
          <w:szCs w:val="18"/>
          <w:color w:val="auto"/>
        </w:rPr>
        <w:t>Date: June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Gillian Munson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34925</wp:posOffset>
            </wp:positionV>
            <wp:extent cx="3403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3600"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Gillian Munson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Officer and Principal Accounting Officer)</w:t>
      </w: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2026-06-05T15:45:55Z</dcterms:created>
  <dcterms:modified xsi:type="dcterms:W3CDTF">2026-06-05T15:45:55Z</dcterms:modified>
</cp:coreProperties>
</file>