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8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333-257483</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Duolingo,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33020</wp:posOffset>
            </wp:positionV>
            <wp:extent cx="3215005"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5005" cy="779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924560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5,106,113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4"/>
          <w:szCs w:val="24"/>
          <w:color w:val="auto"/>
        </w:rPr>
      </w:pPr>
    </w:p>
    <w:p>
      <w:pPr>
        <w:ind w:right="60"/>
        <w:spacing w:after="0" w:line="253" w:lineRule="auto"/>
        <w:rPr>
          <w:sz w:val="20"/>
          <w:szCs w:val="20"/>
          <w:color w:val="auto"/>
        </w:rPr>
      </w:pPr>
      <w:r>
        <w:rPr>
          <w:rFonts w:ascii="Arial" w:cs="Arial" w:eastAsia="Arial" w:hAnsi="Arial"/>
          <w:sz w:val="16"/>
          <w:szCs w:val="16"/>
          <w:color w:val="auto"/>
        </w:rPr>
        <w:t>This is an initial public offering of shares of Class A common stock of Duolingo, Inc. We are offering 3,700,000 shares of our Class A common stock, and the selling stockholders identified in this prospectus are offering 1,406,113 shares of Class A common stock. We will not receive any proceeds from the sale of shares of Class A common stock by the selling stockholders.</w:t>
      </w:r>
    </w:p>
    <w:p>
      <w:pPr>
        <w:spacing w:after="0" w:line="147" w:lineRule="exact"/>
        <w:rPr>
          <w:sz w:val="24"/>
          <w:szCs w:val="24"/>
          <w:color w:val="auto"/>
        </w:rPr>
      </w:pPr>
    </w:p>
    <w:p>
      <w:pPr>
        <w:ind w:right="520"/>
        <w:spacing w:after="0" w:line="260"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is $102.00 per share. Our Class A common stock has been approved for listing on the Nasdaq Global Select Market under the symbol “DUOL.”</w:t>
      </w:r>
    </w:p>
    <w:p>
      <w:pPr>
        <w:spacing w:after="0" w:line="141" w:lineRule="exact"/>
        <w:rPr>
          <w:sz w:val="24"/>
          <w:szCs w:val="24"/>
          <w:color w:val="auto"/>
        </w:rPr>
      </w:pPr>
    </w:p>
    <w:p>
      <w:pPr>
        <w:ind w:right="600"/>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141" w:lineRule="exact"/>
        <w:rPr>
          <w:sz w:val="24"/>
          <w:szCs w:val="24"/>
          <w:color w:val="auto"/>
        </w:rPr>
      </w:pPr>
    </w:p>
    <w:p>
      <w:pPr>
        <w:ind w:right="180"/>
        <w:spacing w:after="0" w:line="250" w:lineRule="auto"/>
        <w:rPr>
          <w:sz w:val="20"/>
          <w:szCs w:val="20"/>
          <w:color w:val="auto"/>
        </w:rPr>
      </w:pPr>
      <w:r>
        <w:rPr>
          <w:rFonts w:ascii="Arial" w:cs="Arial" w:eastAsia="Arial" w:hAnsi="Arial"/>
          <w:sz w:val="16"/>
          <w:szCs w:val="16"/>
          <w:color w:val="auto"/>
        </w:rPr>
        <w:t>We have two classes of common stock, Class A and Class B common stock (collectively, our common stock). The rights of holders of Class A and Class B common stock are identical, except voting and conversion rights. Each share of Class A common stock is entitled to one vote. Each share of Class B common stock is entitled to 20 votes and is convertible at any time into one share of Class A common stock. Outstanding shares of Class B common stock will represent approximately 97.8% of the voting power of our outstanding capital stock immediately following this offering, with our directors, executive officers, and 5% stockholders and their respective affiliates representing approximately 91.5% of the voting power.</w:t>
      </w:r>
    </w:p>
    <w:p>
      <w:pPr>
        <w:spacing w:after="0" w:line="129" w:lineRule="exact"/>
        <w:rPr>
          <w:sz w:val="24"/>
          <w:szCs w:val="24"/>
          <w:color w:val="auto"/>
        </w:rPr>
      </w:pPr>
    </w:p>
    <w:p>
      <w:pPr>
        <w:ind w:right="22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Class A common stock involves a high degree of risk. See the section titled “</w:t>
      </w:r>
      <w:hyperlink w:anchor="page25">
        <w:r>
          <w:rPr>
            <w:rFonts w:ascii="Arial" w:cs="Arial" w:eastAsia="Arial" w:hAnsi="Arial"/>
            <w:sz w:val="16"/>
            <w:szCs w:val="16"/>
            <w:b w:val="1"/>
            <w:bCs w:val="1"/>
            <w:u w:val="single" w:color="auto"/>
            <w:color w:val="0000FF"/>
          </w:rPr>
          <w:t>Risk Factors</w:t>
        </w:r>
      </w:hyperlink>
      <w:r>
        <w:rPr>
          <w:rFonts w:ascii="Arial" w:cs="Arial" w:eastAsia="Arial" w:hAnsi="Arial"/>
          <w:sz w:val="16"/>
          <w:szCs w:val="16"/>
          <w:b w:val="1"/>
          <w:bCs w:val="1"/>
          <w:color w:val="auto"/>
        </w:rPr>
        <w:t>” beginning on page 20 to read about factors you should consider before buying shares of our Class A common stock.</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360" w:type="dxa"/>
            <w:vAlign w:val="bottom"/>
          </w:tcPr>
          <w:p>
            <w:pPr>
              <w:spacing w:after="0"/>
              <w:rPr>
                <w:sz w:val="16"/>
                <w:szCs w:val="16"/>
                <w:color w:val="auto"/>
              </w:rPr>
            </w:pPr>
          </w:p>
        </w:tc>
        <w:tc>
          <w:tcPr>
            <w:tcW w:w="1320" w:type="dxa"/>
            <w:vAlign w:val="bottom"/>
          </w:tcPr>
          <w:p>
            <w:pPr>
              <w:jc w:val="right"/>
              <w:ind w:right="594"/>
              <w:spacing w:after="0"/>
              <w:rPr>
                <w:sz w:val="20"/>
                <w:szCs w:val="20"/>
                <w:color w:val="auto"/>
              </w:rPr>
            </w:pPr>
            <w:r>
              <w:rPr>
                <w:rFonts w:ascii="Arial" w:cs="Arial" w:eastAsia="Arial" w:hAnsi="Arial"/>
                <w:sz w:val="14"/>
                <w:szCs w:val="14"/>
                <w:b w:val="1"/>
                <w:bCs w:val="1"/>
                <w:color w:val="auto"/>
              </w:rPr>
              <w:t>Total</w:t>
            </w:r>
          </w:p>
        </w:tc>
      </w:tr>
      <w:tr>
        <w:trPr>
          <w:trHeight w:val="223"/>
        </w:trPr>
        <w:tc>
          <w:tcPr>
            <w:tcW w:w="7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Initial public offering price</w:t>
            </w:r>
          </w:p>
        </w:tc>
        <w:tc>
          <w:tcPr>
            <w:tcW w:w="3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520,823,526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Underwriting discounts and commissions(1)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29,686,941</w:t>
            </w:r>
          </w:p>
        </w:tc>
      </w:tr>
      <w:tr>
        <w:trPr>
          <w:trHeight w:val="229"/>
        </w:trPr>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before expenses, to us</w:t>
            </w: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96.186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355,888,200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96.186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135,248,385</w:t>
            </w:r>
          </w:p>
        </w:tc>
      </w:tr>
    </w:tbl>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______________</w:t>
      </w:r>
    </w:p>
    <w:p>
      <w:pPr>
        <w:spacing w:after="0" w:line="1" w:lineRule="exact"/>
        <w:rPr>
          <w:sz w:val="24"/>
          <w:szCs w:val="24"/>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See the section titled “Underwriting” for a description of the compensation payable to the underwriters.</w:t>
      </w:r>
    </w:p>
    <w:p>
      <w:pPr>
        <w:spacing w:after="0" w:line="160" w:lineRule="exact"/>
        <w:rPr>
          <w:sz w:val="24"/>
          <w:szCs w:val="24"/>
          <w:color w:val="auto"/>
        </w:rPr>
      </w:pPr>
    </w:p>
    <w:p>
      <w:pPr>
        <w:ind w:right="620"/>
        <w:spacing w:after="0" w:line="260" w:lineRule="auto"/>
        <w:rPr>
          <w:sz w:val="20"/>
          <w:szCs w:val="20"/>
          <w:color w:val="auto"/>
        </w:rPr>
      </w:pPr>
      <w:r>
        <w:rPr>
          <w:rFonts w:ascii="Arial" w:cs="Arial" w:eastAsia="Arial" w:hAnsi="Arial"/>
          <w:sz w:val="16"/>
          <w:szCs w:val="16"/>
          <w:color w:val="auto"/>
        </w:rPr>
        <w:t>To the extent that the underwriters sell more than 5,106,113 shares of Class A common stock, the underwriters have the option to purchase up to an additional 765,916 shares from us at the initial public offering price less the underwriting discount.</w:t>
      </w:r>
    </w:p>
    <w:p>
      <w:pPr>
        <w:spacing w:after="0" w:line="121" w:lineRule="exact"/>
        <w:rPr>
          <w:sz w:val="24"/>
          <w:szCs w:val="24"/>
          <w:color w:val="auto"/>
        </w:rPr>
      </w:pPr>
    </w:p>
    <w:p>
      <w:pPr>
        <w:ind w:right="720"/>
        <w:spacing w:after="0" w:line="286"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The underwriters expect to deliver the shares of Class A common stock to purchasers on July 30, 2021.</w:t>
      </w:r>
    </w:p>
    <w:p>
      <w:pPr>
        <w:sectPr>
          <w:pgSz w:w="11900" w:h="16838" w:orient="portrait"/>
          <w:cols w:equalWidth="0" w:num="1">
            <w:col w:w="11240"/>
          </w:cols>
          <w:pgMar w:left="320" w:top="252" w:right="339" w:bottom="1440" w:gutter="0" w:footer="0" w:header="0"/>
        </w:sectPr>
      </w:pPr>
    </w:p>
    <w:p>
      <w:pPr>
        <w:spacing w:after="0" w:line="87" w:lineRule="exact"/>
        <w:rPr>
          <w:sz w:val="24"/>
          <w:szCs w:val="24"/>
          <w:color w:val="auto"/>
        </w:rPr>
      </w:pPr>
    </w:p>
    <w:p>
      <w:pPr>
        <w:ind w:left="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Allen &amp; Company LLC</w:t>
      </w:r>
    </w:p>
    <w:p>
      <w:pPr>
        <w:spacing w:after="0" w:line="168" w:lineRule="exact"/>
        <w:rPr>
          <w:sz w:val="24"/>
          <w:szCs w:val="24"/>
          <w:color w:val="auto"/>
        </w:rPr>
      </w:pPr>
    </w:p>
    <w:p>
      <w:pPr>
        <w:sectPr>
          <w:pgSz w:w="11900" w:h="16838" w:orient="portrait"/>
          <w:cols w:equalWidth="0" w:num="2">
            <w:col w:w="8040" w:space="720"/>
            <w:col w:w="2480"/>
          </w:cols>
          <w:pgMar w:left="320" w:top="252"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BofA Securities</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7"/>
          <w:szCs w:val="17"/>
          <w:b w:val="1"/>
          <w:bCs w:val="1"/>
          <w:color w:val="auto"/>
        </w:rPr>
        <w:t>Barclays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Evercore ISI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William Blair</w:t>
      </w:r>
    </w:p>
    <w:p>
      <w:pPr>
        <w:spacing w:after="0" w:line="196" w:lineRule="exact"/>
        <w:rPr>
          <w:sz w:val="24"/>
          <w:szCs w:val="24"/>
          <w:color w:val="auto"/>
        </w:rPr>
      </w:pPr>
    </w:p>
    <w:p>
      <w:pPr>
        <w:sectPr>
          <w:pgSz w:w="11900" w:h="16838" w:orient="portrait"/>
          <w:cols w:equalWidth="0" w:num="4">
            <w:col w:w="3080" w:space="720"/>
            <w:col w:w="2420" w:space="720"/>
            <w:col w:w="2420" w:space="720"/>
            <w:col w:w="1160"/>
          </w:cols>
          <w:pgMar w:left="320" w:top="252"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KeyBanc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JMP Securities,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Piper Sandler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Raymond James</w:t>
      </w:r>
    </w:p>
    <w:p>
      <w:pPr>
        <w:spacing w:after="0" w:line="153" w:lineRule="exact"/>
        <w:rPr>
          <w:sz w:val="24"/>
          <w:szCs w:val="24"/>
          <w:color w:val="auto"/>
        </w:rPr>
      </w:pPr>
    </w:p>
    <w:p>
      <w:pPr>
        <w:sectPr>
          <w:pgSz w:w="11900" w:h="16838" w:orient="portrait"/>
          <w:cols w:equalWidth="0" w:num="4">
            <w:col w:w="2880" w:space="720"/>
            <w:col w:w="2760" w:space="720"/>
            <w:col w:w="1960" w:space="720"/>
            <w:col w:w="1480"/>
          </w:cols>
          <w:pgMar w:left="320" w:top="252"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Prospectus dated July 27 , 2021</w:t>
      </w:r>
    </w:p>
    <w:p>
      <w:pPr>
        <w:sectPr>
          <w:pgSz w:w="11900" w:h="16838" w:orient="portrait"/>
          <w:cols w:equalWidth="0" w:num="1">
            <w:col w:w="11240"/>
          </w:cols>
          <w:pgMar w:left="320" w:top="252" w:right="339" w:bottom="144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7003415" cy="905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003415"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74"/>
        </w:trPr>
        <w:tc>
          <w:tcPr>
            <w:tcW w:w="1560" w:type="dxa"/>
            <w:vAlign w:val="bottom"/>
            <w:gridSpan w:val="8"/>
          </w:tcPr>
          <w:p>
            <w:pPr>
              <w:spacing w:after="0" w:line="174" w:lineRule="exact"/>
              <w:rPr>
                <w:rFonts w:ascii="Arial" w:cs="Arial" w:eastAsia="Arial" w:hAnsi="Arial"/>
                <w:sz w:val="16"/>
                <w:szCs w:val="16"/>
                <w:color w:val="0000FF"/>
              </w:rPr>
            </w:pPr>
            <w:hyperlink w:anchor="page6">
              <w:r>
                <w:rPr>
                  <w:rFonts w:ascii="Arial" w:cs="Arial" w:eastAsia="Arial" w:hAnsi="Arial"/>
                  <w:sz w:val="16"/>
                  <w:szCs w:val="16"/>
                  <w:color w:val="0000FF"/>
                </w:rPr>
                <w:t>Prospectus Summary</w:t>
              </w:r>
            </w:hyperlink>
          </w:p>
        </w:tc>
        <w:tc>
          <w:tcPr>
            <w:tcW w:w="4820" w:type="dxa"/>
            <w:vAlign w:val="bottom"/>
            <w:gridSpan w:val="11"/>
          </w:tcPr>
          <w:p>
            <w:pPr>
              <w:spacing w:after="0"/>
              <w:rPr>
                <w:sz w:val="15"/>
                <w:szCs w:val="15"/>
                <w:color w:val="auto"/>
              </w:rPr>
            </w:pPr>
          </w:p>
        </w:tc>
        <w:tc>
          <w:tcPr>
            <w:tcW w:w="4820" w:type="dxa"/>
            <w:vAlign w:val="bottom"/>
            <w:gridSpan w:val="3"/>
          </w:tcPr>
          <w:p>
            <w:pPr>
              <w:jc w:val="right"/>
              <w:spacing w:after="0" w:line="174" w:lineRule="exact"/>
              <w:rPr>
                <w:rFonts w:ascii="Arial" w:cs="Arial" w:eastAsia="Arial" w:hAnsi="Arial"/>
                <w:sz w:val="16"/>
                <w:szCs w:val="16"/>
                <w:color w:val="0000FF"/>
              </w:rPr>
            </w:pPr>
            <w:hyperlink w:anchor="page6">
              <w:r>
                <w:rPr>
                  <w:rFonts w:ascii="Arial" w:cs="Arial" w:eastAsia="Arial" w:hAnsi="Arial"/>
                  <w:sz w:val="16"/>
                  <w:szCs w:val="16"/>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560" w:type="dxa"/>
            <w:vAlign w:val="bottom"/>
            <w:gridSpan w:val="8"/>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Risk Factors</w:t>
              </w:r>
            </w:hyperlink>
          </w:p>
        </w:tc>
        <w:tc>
          <w:tcPr>
            <w:tcW w:w="4820" w:type="dxa"/>
            <w:vAlign w:val="bottom"/>
            <w:gridSpan w:val="11"/>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20</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Special Note Regarding Forward-Looking Statements</w:t>
              </w:r>
            </w:hyperlink>
          </w:p>
        </w:tc>
        <w:tc>
          <w:tcPr>
            <w:tcW w:w="4820" w:type="dxa"/>
            <w:vAlign w:val="bottom"/>
            <w:gridSpan w:val="3"/>
          </w:tcPr>
          <w:p>
            <w:pPr>
              <w:jc w:val="right"/>
              <w:spacing w:after="0"/>
              <w:rPr>
                <w:rFonts w:ascii="Arial" w:cs="Arial" w:eastAsia="Arial" w:hAnsi="Arial"/>
                <w:sz w:val="16"/>
                <w:szCs w:val="16"/>
                <w:color w:val="0000FF"/>
              </w:rPr>
            </w:pPr>
            <w:hyperlink w:anchor="page71">
              <w:r>
                <w:rPr>
                  <w:rFonts w:ascii="Arial" w:cs="Arial" w:eastAsia="Arial" w:hAnsi="Arial"/>
                  <w:sz w:val="16"/>
                  <w:szCs w:val="16"/>
                  <w:color w:val="0000FF"/>
                </w:rPr>
                <w:t>66</w:t>
              </w:r>
            </w:hyperlink>
          </w:p>
        </w:tc>
      </w:tr>
      <w:tr>
        <w:trPr>
          <w:trHeight w:val="196"/>
        </w:trPr>
        <w:tc>
          <w:tcPr>
            <w:tcW w:w="3860" w:type="dxa"/>
            <w:vAlign w:val="bottom"/>
            <w:tcBorders>
              <w:top w:val="single" w:sz="8" w:color="0000FF"/>
            </w:tcBorders>
            <w:gridSpan w:val="17"/>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Market and Industry Data</w:t>
              </w:r>
            </w:hyperlink>
          </w:p>
        </w:tc>
        <w:tc>
          <w:tcPr>
            <w:tcW w:w="2520" w:type="dxa"/>
            <w:vAlign w:val="bottom"/>
            <w:gridSpan w:val="2"/>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73">
              <w:r>
                <w:rPr>
                  <w:rFonts w:ascii="Arial" w:cs="Arial" w:eastAsia="Arial" w:hAnsi="Arial"/>
                  <w:sz w:val="16"/>
                  <w:szCs w:val="16"/>
                  <w:color w:val="0000FF"/>
                  <w:w w:val="89"/>
                </w:rPr>
                <w:t>68</w:t>
              </w:r>
            </w:hyperlink>
          </w:p>
        </w:tc>
      </w:tr>
      <w:tr>
        <w:trPr>
          <w:trHeight w:val="196"/>
        </w:trPr>
        <w:tc>
          <w:tcPr>
            <w:tcW w:w="1820" w:type="dxa"/>
            <w:vAlign w:val="bottom"/>
            <w:tcBorders>
              <w:top w:val="single" w:sz="8" w:color="0000FF"/>
            </w:tcBorders>
            <w:gridSpan w:val="10"/>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Use of Proceeds</w:t>
              </w:r>
            </w:hyperlink>
          </w:p>
        </w:tc>
        <w:tc>
          <w:tcPr>
            <w:tcW w:w="4560" w:type="dxa"/>
            <w:vAlign w:val="bottom"/>
            <w:gridSpan w:val="9"/>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74">
              <w:r>
                <w:rPr>
                  <w:rFonts w:ascii="Arial" w:cs="Arial" w:eastAsia="Arial" w:hAnsi="Arial"/>
                  <w:sz w:val="16"/>
                  <w:szCs w:val="16"/>
                  <w:color w:val="0000FF"/>
                  <w:w w:val="89"/>
                </w:rPr>
                <w:t>69</w:t>
              </w:r>
            </w:hyperlink>
          </w:p>
        </w:tc>
      </w:tr>
      <w:tr>
        <w:trPr>
          <w:trHeight w:val="196"/>
        </w:trPr>
        <w:tc>
          <w:tcPr>
            <w:tcW w:w="112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Dividend Policy</w:t>
              </w:r>
            </w:hyperlink>
          </w:p>
        </w:tc>
        <w:tc>
          <w:tcPr>
            <w:tcW w:w="80" w:type="dxa"/>
            <w:vAlign w:val="bottom"/>
            <w:tcBorders>
              <w:top w:val="single" w:sz="8" w:color="0000FF"/>
            </w:tcBorders>
          </w:tcPr>
          <w:p>
            <w:pPr>
              <w:spacing w:after="0"/>
              <w:rPr>
                <w:sz w:val="17"/>
                <w:szCs w:val="17"/>
                <w:color w:val="auto"/>
              </w:rPr>
            </w:pPr>
          </w:p>
        </w:tc>
        <w:tc>
          <w:tcPr>
            <w:tcW w:w="5180" w:type="dxa"/>
            <w:vAlign w:val="bottom"/>
            <w:gridSpan w:val="12"/>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75">
              <w:r>
                <w:rPr>
                  <w:rFonts w:ascii="Arial" w:cs="Arial" w:eastAsia="Arial" w:hAnsi="Arial"/>
                  <w:sz w:val="16"/>
                  <w:szCs w:val="16"/>
                  <w:color w:val="0000FF"/>
                  <w:w w:val="89"/>
                </w:rPr>
                <w:t>70</w:t>
              </w:r>
            </w:hyperlink>
          </w:p>
        </w:tc>
      </w:tr>
      <w:tr>
        <w:trPr>
          <w:trHeight w:val="196"/>
        </w:trPr>
        <w:tc>
          <w:tcPr>
            <w:tcW w:w="98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76">
              <w:r>
                <w:rPr>
                  <w:rFonts w:ascii="Arial" w:cs="Arial" w:eastAsia="Arial" w:hAnsi="Arial"/>
                  <w:sz w:val="16"/>
                  <w:szCs w:val="16"/>
                  <w:color w:val="0000FF"/>
                  <w:w w:val="99"/>
                </w:rPr>
                <w:t>Capitalization</w:t>
              </w:r>
            </w:hyperlink>
          </w:p>
        </w:tc>
        <w:tc>
          <w:tcPr>
            <w:tcW w:w="5400" w:type="dxa"/>
            <w:vAlign w:val="bottom"/>
            <w:gridSpan w:val="14"/>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71</w:t>
              </w:r>
            </w:hyperlink>
          </w:p>
        </w:tc>
      </w:tr>
      <w:tr>
        <w:trPr>
          <w:trHeight w:val="196"/>
        </w:trPr>
        <w:tc>
          <w:tcPr>
            <w:tcW w:w="6380" w:type="dxa"/>
            <w:vAlign w:val="bottom"/>
            <w:gridSpan w:val="19"/>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Dilution</w:t>
              </w:r>
            </w:hyperlink>
          </w:p>
        </w:tc>
        <w:tc>
          <w:tcPr>
            <w:tcW w:w="4820" w:type="dxa"/>
            <w:vAlign w:val="bottom"/>
            <w:gridSpan w:val="3"/>
          </w:tcPr>
          <w:p>
            <w:pPr>
              <w:jc w:val="right"/>
              <w:spacing w:after="0"/>
              <w:rPr>
                <w:rFonts w:ascii="Arial" w:cs="Arial" w:eastAsia="Arial" w:hAnsi="Arial"/>
                <w:sz w:val="16"/>
                <w:szCs w:val="16"/>
                <w:color w:val="0000FF"/>
              </w:rPr>
            </w:pPr>
            <w:hyperlink w:anchor="page77">
              <w:r>
                <w:rPr>
                  <w:rFonts w:ascii="Arial" w:cs="Arial" w:eastAsia="Arial" w:hAnsi="Arial"/>
                  <w:sz w:val="16"/>
                  <w:szCs w:val="16"/>
                  <w:color w:val="0000FF"/>
                </w:rPr>
                <w:t>72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3480" w:type="dxa"/>
            <w:vAlign w:val="bottom"/>
            <w:tcBorders>
              <w:bottom w:val="single" w:sz="8" w:color="0000FF"/>
            </w:tcBorders>
            <w:gridSpan w:val="16"/>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Selected Consolidated Financial and Other Data</w:t>
              </w:r>
            </w:hyperlink>
          </w:p>
        </w:tc>
        <w:tc>
          <w:tcPr>
            <w:tcW w:w="2900" w:type="dxa"/>
            <w:vAlign w:val="bottom"/>
            <w:gridSpan w:val="3"/>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79">
              <w:r>
                <w:rPr>
                  <w:rFonts w:ascii="Arial" w:cs="Arial" w:eastAsia="Arial" w:hAnsi="Arial"/>
                  <w:sz w:val="16"/>
                  <w:szCs w:val="16"/>
                  <w:color w:val="0000FF"/>
                  <w:w w:val="89"/>
                </w:rPr>
                <w:t>74</w:t>
              </w:r>
            </w:hyperlink>
          </w:p>
        </w:tc>
      </w:tr>
      <w:tr>
        <w:trPr>
          <w:trHeight w:val="196"/>
        </w:trPr>
        <w:tc>
          <w:tcPr>
            <w:tcW w:w="6380" w:type="dxa"/>
            <w:vAlign w:val="bottom"/>
            <w:tcBorders>
              <w:bottom w:val="single" w:sz="8" w:color="0000FF"/>
            </w:tcBorders>
            <w:gridSpan w:val="19"/>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Management’s Discussion and Analysis of Financial Condition and Results of Operations</w:t>
              </w:r>
            </w:hyperlink>
          </w:p>
        </w:tc>
        <w:tc>
          <w:tcPr>
            <w:tcW w:w="46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79</w:t>
              </w:r>
            </w:hyperlink>
          </w:p>
        </w:tc>
      </w:tr>
      <w:tr>
        <w:trPr>
          <w:trHeight w:val="196"/>
        </w:trPr>
        <w:tc>
          <w:tcPr>
            <w:tcW w:w="3440" w:type="dxa"/>
            <w:vAlign w:val="bottom"/>
            <w:gridSpan w:val="15"/>
          </w:tcPr>
          <w:p>
            <w:pPr>
              <w:spacing w:after="0"/>
              <w:rPr>
                <w:rFonts w:ascii="Arial" w:cs="Arial" w:eastAsia="Arial" w:hAnsi="Arial"/>
                <w:sz w:val="16"/>
                <w:szCs w:val="16"/>
                <w:color w:val="0000FF"/>
              </w:rPr>
            </w:pPr>
            <w:hyperlink w:anchor="page112">
              <w:r>
                <w:rPr>
                  <w:rFonts w:ascii="Arial" w:cs="Arial" w:eastAsia="Arial" w:hAnsi="Arial"/>
                  <w:sz w:val="16"/>
                  <w:szCs w:val="16"/>
                  <w:color w:val="0000FF"/>
                </w:rPr>
                <w:t>Letter from Luis von Ahn, Co-Founder and CEO</w:t>
              </w:r>
            </w:hyperlink>
          </w:p>
        </w:tc>
        <w:tc>
          <w:tcPr>
            <w:tcW w:w="2940" w:type="dxa"/>
            <w:vAlign w:val="bottom"/>
            <w:gridSpan w:val="4"/>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12">
              <w:r>
                <w:rPr>
                  <w:rFonts w:ascii="Arial" w:cs="Arial" w:eastAsia="Arial" w:hAnsi="Arial"/>
                  <w:sz w:val="16"/>
                  <w:szCs w:val="16"/>
                  <w:color w:val="0000FF"/>
                </w:rPr>
                <w:t>107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3440" w:type="dxa"/>
            <w:vAlign w:val="bottom"/>
            <w:gridSpan w:val="15"/>
          </w:tcPr>
          <w:p>
            <w:pPr>
              <w:spacing w:after="0"/>
              <w:rPr>
                <w:rFonts w:ascii="Arial" w:cs="Arial" w:eastAsia="Arial" w:hAnsi="Arial"/>
                <w:sz w:val="16"/>
                <w:szCs w:val="16"/>
                <w:color w:val="0000FF"/>
              </w:rPr>
            </w:pPr>
            <w:hyperlink w:anchor="page114">
              <w:r>
                <w:rPr>
                  <w:rFonts w:ascii="Arial" w:cs="Arial" w:eastAsia="Arial" w:hAnsi="Arial"/>
                  <w:sz w:val="16"/>
                  <w:szCs w:val="16"/>
                  <w:color w:val="0000FF"/>
                </w:rPr>
                <w:t>Business</w:t>
              </w:r>
            </w:hyperlink>
          </w:p>
        </w:tc>
        <w:tc>
          <w:tcPr>
            <w:tcW w:w="2940" w:type="dxa"/>
            <w:vAlign w:val="bottom"/>
            <w:gridSpan w:val="4"/>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14">
              <w:r>
                <w:rPr>
                  <w:rFonts w:ascii="Arial" w:cs="Arial" w:eastAsia="Arial" w:hAnsi="Arial"/>
                  <w:sz w:val="16"/>
                  <w:szCs w:val="16"/>
                  <w:color w:val="0000FF"/>
                </w:rPr>
                <w:t>109</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00" w:type="dxa"/>
            <w:vAlign w:val="bottom"/>
            <w:gridSpan w:val="4"/>
          </w:tcPr>
          <w:p>
            <w:pPr>
              <w:spacing w:after="0"/>
              <w:rPr>
                <w:rFonts w:ascii="Arial" w:cs="Arial" w:eastAsia="Arial" w:hAnsi="Arial"/>
                <w:sz w:val="16"/>
                <w:szCs w:val="16"/>
                <w:color w:val="0000FF"/>
                <w:w w:val="92"/>
              </w:rPr>
            </w:pPr>
            <w:hyperlink w:anchor="page149">
              <w:r>
                <w:rPr>
                  <w:rFonts w:ascii="Arial" w:cs="Arial" w:eastAsia="Arial" w:hAnsi="Arial"/>
                  <w:sz w:val="16"/>
                  <w:szCs w:val="16"/>
                  <w:color w:val="0000FF"/>
                  <w:w w:val="92"/>
                </w:rPr>
                <w:t>Management</w:t>
              </w:r>
            </w:hyperlink>
          </w:p>
        </w:tc>
        <w:tc>
          <w:tcPr>
            <w:tcW w:w="5480" w:type="dxa"/>
            <w:vAlign w:val="bottom"/>
            <w:gridSpan w:val="15"/>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49">
              <w:r>
                <w:rPr>
                  <w:rFonts w:ascii="Arial" w:cs="Arial" w:eastAsia="Arial" w:hAnsi="Arial"/>
                  <w:sz w:val="16"/>
                  <w:szCs w:val="16"/>
                  <w:color w:val="0000FF"/>
                </w:rPr>
                <w:t>144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1800" w:type="dxa"/>
            <w:vAlign w:val="bottom"/>
            <w:gridSpan w:val="9"/>
          </w:tcPr>
          <w:p>
            <w:pPr>
              <w:spacing w:after="0"/>
              <w:rPr>
                <w:rFonts w:ascii="Arial" w:cs="Arial" w:eastAsia="Arial" w:hAnsi="Arial"/>
                <w:sz w:val="16"/>
                <w:szCs w:val="16"/>
                <w:color w:val="0000FF"/>
              </w:rPr>
            </w:pPr>
            <w:hyperlink w:anchor="page159">
              <w:r>
                <w:rPr>
                  <w:rFonts w:ascii="Arial" w:cs="Arial" w:eastAsia="Arial" w:hAnsi="Arial"/>
                  <w:sz w:val="16"/>
                  <w:szCs w:val="16"/>
                  <w:color w:val="0000FF"/>
                </w:rPr>
                <w:t>Executive Compensation</w:t>
              </w:r>
            </w:hyperlink>
          </w:p>
        </w:tc>
        <w:tc>
          <w:tcPr>
            <w:tcW w:w="4580" w:type="dxa"/>
            <w:vAlign w:val="bottom"/>
            <w:gridSpan w:val="10"/>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59">
              <w:r>
                <w:rPr>
                  <w:rFonts w:ascii="Arial" w:cs="Arial" w:eastAsia="Arial" w:hAnsi="Arial"/>
                  <w:sz w:val="16"/>
                  <w:szCs w:val="16"/>
                  <w:color w:val="0000FF"/>
                </w:rPr>
                <w:t>154</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3860" w:type="dxa"/>
            <w:vAlign w:val="bottom"/>
            <w:gridSpan w:val="17"/>
          </w:tcPr>
          <w:p>
            <w:pPr>
              <w:spacing w:after="0"/>
              <w:rPr>
                <w:rFonts w:ascii="Arial" w:cs="Arial" w:eastAsia="Arial" w:hAnsi="Arial"/>
                <w:sz w:val="16"/>
                <w:szCs w:val="16"/>
                <w:color w:val="0000FF"/>
              </w:rPr>
            </w:pPr>
            <w:hyperlink w:anchor="page174">
              <w:r>
                <w:rPr>
                  <w:rFonts w:ascii="Arial" w:cs="Arial" w:eastAsia="Arial" w:hAnsi="Arial"/>
                  <w:sz w:val="16"/>
                  <w:szCs w:val="16"/>
                  <w:color w:val="0000FF"/>
                </w:rPr>
                <w:t>Certain Relationships and Related Party Transactions</w:t>
              </w:r>
            </w:hyperlink>
          </w:p>
        </w:tc>
        <w:tc>
          <w:tcPr>
            <w:tcW w:w="2520" w:type="dxa"/>
            <w:vAlign w:val="bottom"/>
            <w:gridSpan w:val="2"/>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74">
              <w:r>
                <w:rPr>
                  <w:rFonts w:ascii="Arial" w:cs="Arial" w:eastAsia="Arial" w:hAnsi="Arial"/>
                  <w:sz w:val="16"/>
                  <w:szCs w:val="16"/>
                  <w:color w:val="0000FF"/>
                </w:rPr>
                <w:t>169</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460" w:type="dxa"/>
            <w:vAlign w:val="bottom"/>
            <w:gridSpan w:val="13"/>
          </w:tcPr>
          <w:p>
            <w:pPr>
              <w:spacing w:after="0"/>
              <w:rPr>
                <w:rFonts w:ascii="Arial" w:cs="Arial" w:eastAsia="Arial" w:hAnsi="Arial"/>
                <w:sz w:val="16"/>
                <w:szCs w:val="16"/>
                <w:color w:val="0000FF"/>
              </w:rPr>
            </w:pPr>
            <w:hyperlink w:anchor="page177">
              <w:r>
                <w:rPr>
                  <w:rFonts w:ascii="Arial" w:cs="Arial" w:eastAsia="Arial" w:hAnsi="Arial"/>
                  <w:sz w:val="16"/>
                  <w:szCs w:val="16"/>
                  <w:color w:val="0000FF"/>
                </w:rPr>
                <w:t>Principal and Selling Stockholders</w:t>
              </w:r>
            </w:hyperlink>
          </w:p>
        </w:tc>
        <w:tc>
          <w:tcPr>
            <w:tcW w:w="1400" w:type="dxa"/>
            <w:vAlign w:val="bottom"/>
            <w:gridSpan w:val="4"/>
          </w:tcPr>
          <w:p>
            <w:pPr>
              <w:spacing w:after="0"/>
              <w:rPr>
                <w:sz w:val="17"/>
                <w:szCs w:val="17"/>
                <w:color w:val="auto"/>
              </w:rPr>
            </w:pPr>
          </w:p>
        </w:tc>
        <w:tc>
          <w:tcPr>
            <w:tcW w:w="2520" w:type="dxa"/>
            <w:vAlign w:val="bottom"/>
            <w:gridSpan w:val="2"/>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77">
              <w:r>
                <w:rPr>
                  <w:rFonts w:ascii="Arial" w:cs="Arial" w:eastAsia="Arial" w:hAnsi="Arial"/>
                  <w:sz w:val="16"/>
                  <w:szCs w:val="16"/>
                  <w:color w:val="0000FF"/>
                </w:rPr>
                <w:t>172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0" w:type="dxa"/>
            <w:vAlign w:val="bottom"/>
            <w:gridSpan w:val="11"/>
          </w:tcPr>
          <w:p>
            <w:pPr>
              <w:spacing w:after="0"/>
              <w:rPr>
                <w:rFonts w:ascii="Arial" w:cs="Arial" w:eastAsia="Arial" w:hAnsi="Arial"/>
                <w:sz w:val="16"/>
                <w:szCs w:val="16"/>
                <w:color w:val="0000FF"/>
              </w:rPr>
            </w:pPr>
            <w:hyperlink w:anchor="page181">
              <w:r>
                <w:rPr>
                  <w:rFonts w:ascii="Arial" w:cs="Arial" w:eastAsia="Arial" w:hAnsi="Arial"/>
                  <w:sz w:val="16"/>
                  <w:szCs w:val="16"/>
                  <w:color w:val="0000FF"/>
                </w:rPr>
                <w:t>Description of Capital Stock</w:t>
              </w:r>
            </w:hyperlink>
          </w:p>
        </w:tc>
        <w:tc>
          <w:tcPr>
            <w:tcW w:w="460" w:type="dxa"/>
            <w:vAlign w:val="bottom"/>
            <w:gridSpan w:val="2"/>
          </w:tcPr>
          <w:p>
            <w:pPr>
              <w:spacing w:after="0"/>
              <w:rPr>
                <w:sz w:val="17"/>
                <w:szCs w:val="17"/>
                <w:color w:val="auto"/>
              </w:rPr>
            </w:pPr>
          </w:p>
        </w:tc>
        <w:tc>
          <w:tcPr>
            <w:tcW w:w="3920" w:type="dxa"/>
            <w:vAlign w:val="bottom"/>
            <w:gridSpan w:val="6"/>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81">
              <w:r>
                <w:rPr>
                  <w:rFonts w:ascii="Arial" w:cs="Arial" w:eastAsia="Arial" w:hAnsi="Arial"/>
                  <w:sz w:val="16"/>
                  <w:szCs w:val="16"/>
                  <w:color w:val="0000FF"/>
                </w:rPr>
                <w:t>176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189">
              <w:r>
                <w:rPr>
                  <w:rFonts w:ascii="Arial" w:cs="Arial" w:eastAsia="Arial" w:hAnsi="Arial"/>
                  <w:sz w:val="16"/>
                  <w:szCs w:val="16"/>
                  <w:color w:val="0000FF"/>
                </w:rPr>
                <w:t>Shares Eligible for Future Sale</w:t>
              </w:r>
            </w:hyperlink>
          </w:p>
        </w:tc>
        <w:tc>
          <w:tcPr>
            <w:tcW w:w="4820" w:type="dxa"/>
            <w:vAlign w:val="bottom"/>
            <w:gridSpan w:val="3"/>
          </w:tcPr>
          <w:p>
            <w:pPr>
              <w:jc w:val="right"/>
              <w:spacing w:after="0"/>
              <w:rPr>
                <w:rFonts w:ascii="Arial" w:cs="Arial" w:eastAsia="Arial" w:hAnsi="Arial"/>
                <w:sz w:val="16"/>
                <w:szCs w:val="16"/>
                <w:color w:val="0000FF"/>
              </w:rPr>
            </w:pPr>
            <w:hyperlink w:anchor="page189">
              <w:r>
                <w:rPr>
                  <w:rFonts w:ascii="Arial" w:cs="Arial" w:eastAsia="Arial" w:hAnsi="Arial"/>
                  <w:sz w:val="16"/>
                  <w:szCs w:val="16"/>
                  <w:color w:val="0000FF"/>
                </w:rPr>
                <w:t>184</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194">
              <w:r>
                <w:rPr>
                  <w:rFonts w:ascii="Arial" w:cs="Arial" w:eastAsia="Arial" w:hAnsi="Arial"/>
                  <w:sz w:val="16"/>
                  <w:szCs w:val="16"/>
                  <w:color w:val="0000FF"/>
                </w:rPr>
                <w:t xml:space="preserve">Material </w:t>
              </w:r>
            </w:hyperlink>
            <w:r>
              <w:rPr>
                <w:rFonts w:ascii="Arial" w:cs="Arial" w:eastAsia="Arial" w:hAnsi="Arial"/>
                <w:sz w:val="16"/>
                <w:szCs w:val="16"/>
                <w:color w:val="0000FF"/>
              </w:rPr>
              <w:t xml:space="preserve">US </w:t>
            </w:r>
            <w:hyperlink w:anchor="page194">
              <w:r>
                <w:rPr>
                  <w:rFonts w:ascii="Arial" w:cs="Arial" w:eastAsia="Arial" w:hAnsi="Arial"/>
                  <w:sz w:val="16"/>
                  <w:szCs w:val="16"/>
                  <w:color w:val="0000FF"/>
                </w:rPr>
                <w:t>Federal Income Tax Consequences to Non-</w:t>
              </w:r>
            </w:hyperlink>
            <w:r>
              <w:rPr>
                <w:rFonts w:ascii="Arial" w:cs="Arial" w:eastAsia="Arial" w:hAnsi="Arial"/>
                <w:sz w:val="16"/>
                <w:szCs w:val="16"/>
                <w:color w:val="0000FF"/>
              </w:rPr>
              <w:t xml:space="preserve">US </w:t>
            </w:r>
            <w:hyperlink w:anchor="page194">
              <w:r>
                <w:rPr>
                  <w:rFonts w:ascii="Arial" w:cs="Arial" w:eastAsia="Arial" w:hAnsi="Arial"/>
                  <w:sz w:val="16"/>
                  <w:szCs w:val="16"/>
                  <w:color w:val="0000FF"/>
                </w:rPr>
                <w:t>Holders</w:t>
              </w:r>
            </w:hyperlink>
          </w:p>
        </w:tc>
        <w:tc>
          <w:tcPr>
            <w:tcW w:w="4820" w:type="dxa"/>
            <w:vAlign w:val="bottom"/>
            <w:gridSpan w:val="3"/>
          </w:tcPr>
          <w:p>
            <w:pPr>
              <w:jc w:val="right"/>
              <w:spacing w:after="0"/>
              <w:rPr>
                <w:rFonts w:ascii="Arial" w:cs="Arial" w:eastAsia="Arial" w:hAnsi="Arial"/>
                <w:sz w:val="16"/>
                <w:szCs w:val="16"/>
                <w:color w:val="0000FF"/>
              </w:rPr>
            </w:pPr>
            <w:hyperlink w:anchor="page194">
              <w:r>
                <w:rPr>
                  <w:rFonts w:ascii="Arial" w:cs="Arial" w:eastAsia="Arial" w:hAnsi="Arial"/>
                  <w:sz w:val="16"/>
                  <w:szCs w:val="16"/>
                  <w:color w:val="0000FF"/>
                </w:rPr>
                <w:t>189</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9"/>
            <w:shd w:val="clear" w:color="auto" w:fill="0000FF"/>
          </w:tcPr>
          <w:p>
            <w:pPr>
              <w:spacing w:after="0" w:line="20" w:lineRule="exact"/>
              <w:rPr>
                <w:sz w:val="1"/>
                <w:szCs w:val="1"/>
                <w:color w:val="auto"/>
              </w:rPr>
            </w:pPr>
          </w:p>
        </w:tc>
        <w:tc>
          <w:tcPr>
            <w:tcW w:w="1720" w:type="dxa"/>
            <w:vAlign w:val="bottom"/>
            <w:tcBorders>
              <w:left w:val="single" w:sz="8" w:color="0000FF"/>
            </w:tcBorders>
            <w:gridSpan w:val="4"/>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00" w:type="dxa"/>
            <w:vAlign w:val="bottom"/>
            <w:gridSpan w:val="4"/>
          </w:tcPr>
          <w:p>
            <w:pPr>
              <w:spacing w:after="0"/>
              <w:rPr>
                <w:rFonts w:ascii="Arial" w:cs="Arial" w:eastAsia="Arial" w:hAnsi="Arial"/>
                <w:sz w:val="16"/>
                <w:szCs w:val="16"/>
                <w:color w:val="0000FF"/>
                <w:w w:val="95"/>
              </w:rPr>
            </w:pPr>
            <w:hyperlink w:anchor="page198">
              <w:r>
                <w:rPr>
                  <w:rFonts w:ascii="Arial" w:cs="Arial" w:eastAsia="Arial" w:hAnsi="Arial"/>
                  <w:sz w:val="16"/>
                  <w:szCs w:val="16"/>
                  <w:color w:val="0000FF"/>
                  <w:w w:val="95"/>
                </w:rPr>
                <w:t>Underwriting</w:t>
              </w:r>
            </w:hyperlink>
          </w:p>
        </w:tc>
        <w:tc>
          <w:tcPr>
            <w:tcW w:w="3940" w:type="dxa"/>
            <w:vAlign w:val="bottom"/>
            <w:gridSpan w:val="14"/>
          </w:tcPr>
          <w:p>
            <w:pPr>
              <w:spacing w:after="0"/>
              <w:rPr>
                <w:sz w:val="17"/>
                <w:szCs w:val="17"/>
                <w:color w:val="auto"/>
              </w:rPr>
            </w:pPr>
          </w:p>
        </w:tc>
        <w:tc>
          <w:tcPr>
            <w:tcW w:w="1540" w:type="dxa"/>
            <w:vAlign w:val="bottom"/>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98">
              <w:r>
                <w:rPr>
                  <w:rFonts w:ascii="Arial" w:cs="Arial" w:eastAsia="Arial" w:hAnsi="Arial"/>
                  <w:sz w:val="16"/>
                  <w:szCs w:val="16"/>
                  <w:color w:val="0000FF"/>
                </w:rPr>
                <w:t>193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205">
              <w:r>
                <w:rPr>
                  <w:rFonts w:ascii="Arial" w:cs="Arial" w:eastAsia="Arial" w:hAnsi="Arial"/>
                  <w:sz w:val="16"/>
                  <w:szCs w:val="16"/>
                  <w:color w:val="0000FF"/>
                </w:rPr>
                <w:t>Legal Matters</w:t>
              </w:r>
            </w:hyperlink>
          </w:p>
        </w:tc>
        <w:tc>
          <w:tcPr>
            <w:tcW w:w="4820" w:type="dxa"/>
            <w:vAlign w:val="bottom"/>
            <w:gridSpan w:val="3"/>
          </w:tcPr>
          <w:p>
            <w:pPr>
              <w:jc w:val="right"/>
              <w:spacing w:after="0"/>
              <w:rPr>
                <w:rFonts w:ascii="Arial" w:cs="Arial" w:eastAsia="Arial" w:hAnsi="Arial"/>
                <w:sz w:val="16"/>
                <w:szCs w:val="16"/>
                <w:color w:val="0000FF"/>
              </w:rPr>
            </w:pPr>
            <w:hyperlink w:anchor="page205">
              <w:r>
                <w:rPr>
                  <w:rFonts w:ascii="Arial" w:cs="Arial" w:eastAsia="Arial" w:hAnsi="Arial"/>
                  <w:sz w:val="16"/>
                  <w:szCs w:val="16"/>
                  <w:color w:val="0000FF"/>
                </w:rPr>
                <w:t>200</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560" w:type="dxa"/>
            <w:vAlign w:val="bottom"/>
            <w:gridSpan w:val="2"/>
          </w:tcPr>
          <w:p>
            <w:pPr>
              <w:spacing w:after="0"/>
              <w:rPr>
                <w:rFonts w:ascii="Arial" w:cs="Arial" w:eastAsia="Arial" w:hAnsi="Arial"/>
                <w:sz w:val="16"/>
                <w:szCs w:val="16"/>
                <w:color w:val="0000FF"/>
                <w:w w:val="99"/>
              </w:rPr>
            </w:pPr>
            <w:hyperlink w:anchor="page206">
              <w:r>
                <w:rPr>
                  <w:rFonts w:ascii="Arial" w:cs="Arial" w:eastAsia="Arial" w:hAnsi="Arial"/>
                  <w:sz w:val="16"/>
                  <w:szCs w:val="16"/>
                  <w:color w:val="0000FF"/>
                  <w:w w:val="99"/>
                </w:rPr>
                <w:t>Experts</w:t>
              </w:r>
            </w:hyperlink>
          </w:p>
        </w:tc>
        <w:tc>
          <w:tcPr>
            <w:tcW w:w="420" w:type="dxa"/>
            <w:vAlign w:val="bottom"/>
            <w:gridSpan w:val="3"/>
          </w:tcPr>
          <w:p>
            <w:pPr>
              <w:spacing w:after="0"/>
              <w:rPr>
                <w:sz w:val="17"/>
                <w:szCs w:val="17"/>
                <w:color w:val="auto"/>
              </w:rPr>
            </w:pPr>
          </w:p>
        </w:tc>
        <w:tc>
          <w:tcPr>
            <w:tcW w:w="5400" w:type="dxa"/>
            <w:vAlign w:val="bottom"/>
            <w:gridSpan w:val="14"/>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206">
              <w:r>
                <w:rPr>
                  <w:rFonts w:ascii="Arial" w:cs="Arial" w:eastAsia="Arial" w:hAnsi="Arial"/>
                  <w:sz w:val="16"/>
                  <w:szCs w:val="16"/>
                  <w:color w:val="0000FF"/>
                </w:rPr>
                <w:t>200</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3120" w:type="dxa"/>
            <w:vAlign w:val="bottom"/>
            <w:gridSpan w:val="14"/>
          </w:tcPr>
          <w:p>
            <w:pPr>
              <w:spacing w:after="0"/>
              <w:rPr>
                <w:rFonts w:ascii="Arial" w:cs="Arial" w:eastAsia="Arial" w:hAnsi="Arial"/>
                <w:sz w:val="16"/>
                <w:szCs w:val="16"/>
                <w:color w:val="0000FF"/>
                <w:w w:val="99"/>
              </w:rPr>
            </w:pPr>
            <w:hyperlink w:anchor="page206">
              <w:r>
                <w:rPr>
                  <w:rFonts w:ascii="Arial" w:cs="Arial" w:eastAsia="Arial" w:hAnsi="Arial"/>
                  <w:sz w:val="16"/>
                  <w:szCs w:val="16"/>
                  <w:color w:val="0000FF"/>
                  <w:w w:val="99"/>
                </w:rPr>
                <w:t>Where You Can Find Additional Information</w:t>
              </w:r>
            </w:hyperlink>
          </w:p>
        </w:tc>
        <w:tc>
          <w:tcPr>
            <w:tcW w:w="3260" w:type="dxa"/>
            <w:vAlign w:val="bottom"/>
            <w:gridSpan w:val="5"/>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206">
              <w:r>
                <w:rPr>
                  <w:rFonts w:ascii="Arial" w:cs="Arial" w:eastAsia="Arial" w:hAnsi="Arial"/>
                  <w:sz w:val="16"/>
                  <w:szCs w:val="16"/>
                  <w:color w:val="0000FF"/>
                </w:rPr>
                <w:t>200</w:t>
              </w:r>
            </w:hyperlink>
          </w:p>
        </w:tc>
      </w:tr>
      <w:tr>
        <w:trPr>
          <w:trHeight w:val="20"/>
        </w:trPr>
        <w:tc>
          <w:tcPr>
            <w:tcW w:w="3120" w:type="dxa"/>
            <w:vAlign w:val="bottom"/>
            <w:gridSpan w:val="14"/>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3120" w:type="dxa"/>
            <w:vAlign w:val="bottom"/>
            <w:gridSpan w:val="14"/>
          </w:tcPr>
          <w:p>
            <w:pPr>
              <w:spacing w:after="0"/>
              <w:rPr>
                <w:rFonts w:ascii="Arial" w:cs="Arial" w:eastAsia="Arial" w:hAnsi="Arial"/>
                <w:sz w:val="16"/>
                <w:szCs w:val="16"/>
                <w:color w:val="0000FF"/>
                <w:w w:val="99"/>
              </w:rPr>
            </w:pPr>
            <w:hyperlink w:anchor="page206">
              <w:r>
                <w:rPr>
                  <w:rFonts w:ascii="Arial" w:cs="Arial" w:eastAsia="Arial" w:hAnsi="Arial"/>
                  <w:sz w:val="16"/>
                  <w:szCs w:val="16"/>
                  <w:color w:val="0000FF"/>
                  <w:w w:val="99"/>
                </w:rPr>
                <w:t>Index to Consolidated Financial Statements</w:t>
              </w:r>
            </w:hyperlink>
          </w:p>
        </w:tc>
        <w:tc>
          <w:tcPr>
            <w:tcW w:w="3260" w:type="dxa"/>
            <w:vAlign w:val="bottom"/>
            <w:gridSpan w:val="5"/>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5"/>
                <w:szCs w:val="15"/>
                <w:color w:val="0000FF"/>
                <w:w w:val="70"/>
              </w:rPr>
            </w:pPr>
            <w:hyperlink w:anchor="page206">
              <w:r>
                <w:rPr>
                  <w:rFonts w:ascii="Arial" w:cs="Arial" w:eastAsia="Arial" w:hAnsi="Arial"/>
                  <w:sz w:val="15"/>
                  <w:szCs w:val="15"/>
                  <w:color w:val="0000FF"/>
                  <w:w w:val="70"/>
                </w:rPr>
                <w:t>F-1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You should rely only on the information contained in this prospectus or contained in any free writing prospectus filed with the Securities and Exchange Commission (the SEC). Neither we, the selling stockholders, nor any of the underwriters have authorized anyone to provide any information or make any representations other than those contained in this prospectus or in any free writing prospectus we have prepared. Neither we, the selling stockholders, nor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is accurate only as of the date of this prospectus, regardless of the time of delivery of this prospectus or of any sale of the Class A common stock. Our business, results of operations, financial condition, and prospects may have changed since such date.</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investors outside of the United States: Neither we, the selling stockholders, nor any of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Persons outside of the United States who come into possession of this prospectus and any free writing prospectus must inform themselves about and observe any restrictions relating to this offering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590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Prospectus Summary</w:t>
      </w:r>
    </w:p>
    <w:p>
      <w:pPr>
        <w:spacing w:after="0" w:line="189" w:lineRule="exact"/>
        <w:rPr>
          <w:sz w:val="20"/>
          <w:szCs w:val="20"/>
          <w:color w:val="auto"/>
        </w:rPr>
      </w:pPr>
    </w:p>
    <w:p>
      <w:pPr>
        <w:ind w:left="680" w:right="20"/>
        <w:spacing w:after="0" w:line="270"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otherwise requires, the terms “Duolingo,” the “company,” “we,” “us,” and “our” in this prospectus refer to Duolingo, Inc. and its consolidated subsidiaries, and the phrase “our learners” refers to the users of our language learning app.</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Mission</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ind w:left="680" w:right="60"/>
        <w:spacing w:after="0" w:line="268"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Who We Are</w:t>
      </w:r>
    </w:p>
    <w:p>
      <w:pPr>
        <w:spacing w:after="0" w:line="207"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54" w:lineRule="exact"/>
        <w:rPr>
          <w:sz w:val="20"/>
          <w:szCs w:val="20"/>
          <w:color w:val="auto"/>
        </w:rPr>
      </w:pPr>
    </w:p>
    <w:p>
      <w:pPr>
        <w:ind w:left="680" w:right="60"/>
        <w:spacing w:after="0" w:line="268" w:lineRule="auto"/>
        <w:rPr>
          <w:sz w:val="20"/>
          <w:szCs w:val="20"/>
          <w:color w:val="auto"/>
        </w:rPr>
      </w:pPr>
      <w:r>
        <w:rPr>
          <w:rFonts w:ascii="Arial" w:cs="Arial" w:eastAsia="Arial" w:hAnsi="Arial"/>
          <w:sz w:val="18"/>
          <w:szCs w:val="18"/>
          <w:color w:val="auto"/>
        </w:rPr>
        <w:t>Our team of over 400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Business</w:t>
      </w:r>
    </w:p>
    <w:p>
      <w:pPr>
        <w:spacing w:after="0" w:line="207"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52" w:lineRule="exact"/>
        <w:rPr>
          <w:sz w:val="20"/>
          <w:szCs w:val="20"/>
          <w:color w:val="auto"/>
        </w:rPr>
      </w:pPr>
    </w:p>
    <w:p>
      <w:pPr>
        <w:ind w:left="680" w:right="540"/>
        <w:spacing w:after="0" w:line="277" w:lineRule="auto"/>
        <w:rPr>
          <w:sz w:val="20"/>
          <w:szCs w:val="20"/>
          <w:color w:val="auto"/>
        </w:rPr>
      </w:pPr>
      <w:r>
        <w:rPr>
          <w:rFonts w:ascii="Arial" w:cs="Arial" w:eastAsia="Arial" w:hAnsi="Arial"/>
          <w:sz w:val="18"/>
          <w:szCs w:val="18"/>
          <w:color w:val="auto"/>
        </w:rPr>
        <w:t>We started with a focus on teaching languages because of the profound impact learning a new language can have on people’s lives, as well as the large market opportunity. According to HolonIQ, 1.8 billion</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60"/>
          </w:cols>
          <w:pgMar w:left="320" w:top="144" w:right="101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153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people across the world are learning a new language, and in 2019, consumer spend on both online and offline language learning represented a $61 billion market. Driving much of the demand for language learning is the reality that English can unlock tremendous economic opportunity.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154" w:lineRule="exact"/>
        <w:rPr>
          <w:sz w:val="20"/>
          <w:szCs w:val="20"/>
          <w:color w:val="auto"/>
        </w:rPr>
      </w:pPr>
    </w:p>
    <w:p>
      <w:pPr>
        <w:ind w:left="680"/>
        <w:spacing w:after="0" w:line="269" w:lineRule="auto"/>
        <w:rPr>
          <w:sz w:val="20"/>
          <w:szCs w:val="20"/>
          <w:color w:val="auto"/>
        </w:rPr>
      </w:pPr>
      <w:r>
        <w:rPr>
          <w:rFonts w:ascii="Arial" w:cs="Arial" w:eastAsia="Arial" w:hAnsi="Arial"/>
          <w:sz w:val="18"/>
          <w:szCs w:val="18"/>
          <w:color w:val="auto"/>
        </w:rPr>
        <w:t>Duolingo offers courses in 40 languages to approximately 40 million monthly active users. To put our scale in context, there are more people in the United States learning languages on Duolingo than there are foreign language learners in all US high schools combined, and there are more people learning certain languages on Duolingo, like Irish and Hawaiian, than there are native speakers of those languages worldwide.</w:t>
      </w:r>
    </w:p>
    <w:p>
      <w:pPr>
        <w:spacing w:after="0" w:line="152" w:lineRule="exact"/>
        <w:rPr>
          <w:sz w:val="20"/>
          <w:szCs w:val="20"/>
          <w:color w:val="auto"/>
        </w:rPr>
      </w:pPr>
    </w:p>
    <w:p>
      <w:pPr>
        <w:ind w:left="680" w:right="120"/>
        <w:spacing w:after="0" w:line="268"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51"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54" w:lineRule="exact"/>
        <w:rPr>
          <w:sz w:val="20"/>
          <w:szCs w:val="20"/>
          <w:color w:val="auto"/>
        </w:rPr>
      </w:pPr>
    </w:p>
    <w:p>
      <w:pPr>
        <w:ind w:left="680" w:right="40"/>
        <w:spacing w:after="0" w:line="267" w:lineRule="auto"/>
        <w:rPr>
          <w:sz w:val="20"/>
          <w:szCs w:val="20"/>
          <w:color w:val="auto"/>
        </w:rPr>
      </w:pPr>
      <w:r>
        <w:rPr>
          <w:rFonts w:ascii="Arial" w:cs="Arial" w:eastAsia="Arial" w:hAnsi="Arial"/>
          <w:sz w:val="18"/>
          <w:szCs w:val="18"/>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March 31, 2021, approximately 5% of our monthly active users were paid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56" w:lineRule="exact"/>
        <w:rPr>
          <w:sz w:val="20"/>
          <w:szCs w:val="20"/>
          <w:color w:val="auto"/>
        </w:rPr>
      </w:pPr>
    </w:p>
    <w:p>
      <w:pPr>
        <w:ind w:left="680" w:right="120"/>
        <w:spacing w:after="0" w:line="308" w:lineRule="auto"/>
        <w:rPr>
          <w:sz w:val="20"/>
          <w:szCs w:val="20"/>
          <w:color w:val="auto"/>
        </w:rPr>
      </w:pPr>
      <w:r>
        <w:rPr>
          <w:rFonts w:ascii="Arial" w:cs="Arial" w:eastAsia="Arial" w:hAnsi="Arial"/>
          <w:sz w:val="17"/>
          <w:szCs w:val="17"/>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84" w:lineRule="exact"/>
        <w:rPr>
          <w:sz w:val="20"/>
          <w:szCs w:val="20"/>
          <w:color w:val="auto"/>
        </w:rPr>
      </w:pPr>
    </w:p>
    <w:p>
      <w:pPr>
        <w:ind w:left="1320" w:hanging="322"/>
        <w:spacing w:after="0" w:line="268" w:lineRule="auto"/>
        <w:tabs>
          <w:tab w:leader="none" w:pos="131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both 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1320" w:right="380" w:hanging="322"/>
        <w:spacing w:after="0" w:line="262" w:lineRule="auto"/>
        <w:tabs>
          <w:tab w:leader="none" w:pos="131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Investment flywheel: </w:t>
      </w:r>
      <w:r>
        <w:rPr>
          <w:rFonts w:ascii="Arial" w:cs="Arial" w:eastAsia="Arial" w:hAnsi="Arial"/>
          <w:sz w:val="18"/>
          <w:szCs w:val="18"/>
          <w:color w:val="auto"/>
        </w:rPr>
        <w:t>Our learner scale and word-of-mouth growth allow us to focus our capital investments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innovation and data analytics, as opposed to brand or performance marketing. The more learners use Duolingo and convert into paid subscribers, the more we are able to invest in creating an even more delightful, engaging and effective learning experience. In</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320" w:top="144" w:right="101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350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40"/>
        <w:spacing w:after="0" w:line="261" w:lineRule="auto"/>
        <w:rPr>
          <w:sz w:val="20"/>
          <w:szCs w:val="20"/>
          <w:color w:val="auto"/>
        </w:rPr>
      </w:pPr>
      <w:r>
        <w:rPr>
          <w:rFonts w:ascii="Arial" w:cs="Arial" w:eastAsia="Arial" w:hAnsi="Arial"/>
          <w:sz w:val="18"/>
          <w:szCs w:val="18"/>
          <w:color w:val="auto"/>
        </w:rPr>
        <w:t>turn, this increases our popularity and user scale, as well as the effectiveness of our data analytics, further widening our competitive moat.</w:t>
      </w:r>
    </w:p>
    <w:p>
      <w:pPr>
        <w:spacing w:after="0" w:line="157" w:lineRule="exact"/>
        <w:rPr>
          <w:sz w:val="20"/>
          <w:szCs w:val="20"/>
          <w:color w:val="auto"/>
        </w:rPr>
      </w:pPr>
    </w:p>
    <w:p>
      <w:pPr>
        <w:ind w:left="680" w:right="160"/>
        <w:spacing w:after="0" w:line="267" w:lineRule="auto"/>
        <w:rPr>
          <w:sz w:val="20"/>
          <w:szCs w:val="20"/>
          <w:color w:val="auto"/>
        </w:rPr>
      </w:pPr>
      <w:r>
        <w:rPr>
          <w:rFonts w:ascii="Arial" w:cs="Arial" w:eastAsia="Arial" w:hAnsi="Arial"/>
          <w:sz w:val="18"/>
          <w:szCs w:val="18"/>
          <w:color w:val="auto"/>
        </w:rPr>
        <w:t>Our second product, the Duolingo English Test, is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June 2021, over 3,000 higher education programs around the world accept Duolingo English Test results as proof of English proficiency for international student admissions. These include 17 of the top 20 undergraduate programs in the United States according to US News and World Report—for example, Yale, Stanford, MIT, Duke and Columbia. In 2020, roughly 344,000 individual Duolingo English Tests were purchased, mostly by prospective international students.</w:t>
      </w:r>
    </w:p>
    <w:p>
      <w:pPr>
        <w:spacing w:after="0" w:line="154"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In 2020, for example, we launched Duolingo ABC, an app designed to teach early literacy skills to children ages three to six.</w:t>
      </w:r>
    </w:p>
    <w:p>
      <w:pPr>
        <w:spacing w:after="0" w:line="154" w:lineRule="exact"/>
        <w:rPr>
          <w:sz w:val="20"/>
          <w:szCs w:val="20"/>
          <w:color w:val="auto"/>
        </w:rPr>
      </w:pPr>
    </w:p>
    <w:p>
      <w:pPr>
        <w:ind w:left="680"/>
        <w:spacing w:after="0" w:line="266" w:lineRule="auto"/>
        <w:rPr>
          <w:sz w:val="20"/>
          <w:szCs w:val="20"/>
          <w:color w:val="auto"/>
        </w:rPr>
      </w:pPr>
      <w:r>
        <w:rPr>
          <w:rFonts w:ascii="Arial" w:cs="Arial" w:eastAsia="Arial" w:hAnsi="Arial"/>
          <w:sz w:val="18"/>
          <w:szCs w:val="18"/>
          <w:color w:val="auto"/>
        </w:rPr>
        <w:t xml:space="preserve">Our business has experienced rapid growth since our founding in 2011. For the years ended December 31, 2019 and 2020, we had 27 million and 37 million monthly active users, respectively, representing year-over-year growth of 34%, and we grew our paying subscribers from 0.9 million as of December 31, 2019 to 1.6 million as of December 31, 2020, or 84% year over year. For the quarter ended March 31, 2021, we had 40 million monthly active users, and as of March 31, 2021, we had 1.8 million paying subscribers. Our revenue was $70.8 million in 2019 and $161.7 million in 2020, representing 129% year-over-year growth. Our revenue was $28.1 million in the three months ended March 31, 2020 and $55.4 million in the three months ended March 31, 2021, representing 97% period-over-period growth. </w:t>
      </w:r>
      <w:r>
        <w:rPr>
          <w:rFonts w:ascii="Arial" w:cs="Arial" w:eastAsia="Arial" w:hAnsi="Arial"/>
          <w:sz w:val="18"/>
          <w:szCs w:val="18"/>
          <w:color w:val="auto"/>
          <w:highlight w:val="white"/>
        </w:rPr>
        <w:t>In 2020 and the three months ended March</w:t>
      </w:r>
      <w:r>
        <w:rPr>
          <w:rFonts w:ascii="Arial" w:cs="Arial" w:eastAsia="Arial" w:hAnsi="Arial"/>
          <w:sz w:val="18"/>
          <w:szCs w:val="18"/>
          <w:color w:val="auto"/>
        </w:rPr>
        <w:t xml:space="preserve"> </w:t>
      </w:r>
      <w:r>
        <w:rPr>
          <w:rFonts w:ascii="Arial" w:cs="Arial" w:eastAsia="Arial" w:hAnsi="Arial"/>
          <w:sz w:val="18"/>
          <w:szCs w:val="18"/>
          <w:color w:val="auto"/>
          <w:highlight w:val="white"/>
        </w:rPr>
        <w:t>31, 2021, approximately 73% and 72%, respectively, of our revenue came from subscriptions to Duolingo Plus, approximately 17% came from advertising in both periods, and approximately 10% and 11%, respectively, came from the Duolingo English Test and other revenue. Given the momentum in our business and the size of our market opportunity, we continue to invest in product innovation and data analytics. In 2019 and 2020, we had net losses of $13.6 million and $15.8 million, respectively. In the three months ended March 31, 2020 and 2021, we had net losses of $2.2 million and $13.5 million, resp</w:t>
      </w:r>
      <w:r>
        <w:rPr>
          <w:rFonts w:ascii="Arial" w:cs="Arial" w:eastAsia="Arial" w:hAnsi="Arial"/>
          <w:sz w:val="18"/>
          <w:szCs w:val="18"/>
          <w:color w:val="auto"/>
        </w:rPr>
        <w:t>ectively. Our Adjusted EBITDA improved from $(8.0) million in 2019 to $3.6 million in 2020, and was $(0.9)</w:t>
      </w:r>
      <w:r>
        <w:rPr>
          <w:rFonts w:ascii="Arial" w:cs="Arial" w:eastAsia="Arial" w:hAnsi="Arial"/>
          <w:sz w:val="18"/>
          <w:szCs w:val="18"/>
          <w:color w:val="auto"/>
          <w:highlight w:val="white"/>
        </w:rPr>
        <w:t xml:space="preserve"> </w:t>
      </w:r>
      <w:r>
        <w:rPr>
          <w:rFonts w:ascii="Arial" w:cs="Arial" w:eastAsia="Arial" w:hAnsi="Arial"/>
          <w:sz w:val="18"/>
          <w:szCs w:val="18"/>
          <w:color w:val="auto"/>
        </w:rPr>
        <w:t>million and $0.9 million in the three months ended March 31, 2020 and 2021, respectively. Our total bookings were $88.0 million in 2019 compared to $190.2 million in 2020, representing 116% year-over-year growth, and $36.9 million in the three months ended March 31, 2020 compared to $65.8 million in the three months ended March 31, 2021, representing 78% period-over-period growth.</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Industry Trends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p>
    <w:p>
      <w:pPr>
        <w:spacing w:after="0" w:line="149"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b w:val="1"/>
          <w:bCs w:val="1"/>
          <w:i w:val="1"/>
          <w:iCs w:val="1"/>
          <w:color w:val="auto"/>
        </w:rPr>
        <w:t xml:space="preserve">Mobile-first behaviors are reshaping industries. </w:t>
      </w:r>
      <w:r>
        <w:rPr>
          <w:rFonts w:ascii="Arial" w:cs="Arial" w:eastAsia="Arial" w:hAnsi="Arial"/>
          <w:sz w:val="18"/>
          <w:szCs w:val="18"/>
          <w:color w:val="auto"/>
        </w:rPr>
        <w:t>In categories ranging from retail to music to dating, consumers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gravitating to mobile, app-based experiences. We believe that consumer behavior will continue to be shaped by a preference for the convenient, on-demand nature of mobile experiences.</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320" w:top="144" w:right="101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21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b w:val="1"/>
          <w:bCs w:val="1"/>
          <w:i w:val="1"/>
          <w:iCs w:val="1"/>
          <w:color w:val="auto"/>
        </w:rPr>
        <w:t xml:space="preserve">The shift towards online learning is accelerating. </w:t>
      </w:r>
      <w:r>
        <w:rPr>
          <w:rFonts w:ascii="Arial" w:cs="Arial" w:eastAsia="Arial" w:hAnsi="Arial"/>
          <w:sz w:val="18"/>
          <w:szCs w:val="18"/>
          <w:color w:val="auto"/>
        </w:rPr>
        <w:t>Historically, education has lagged behind other industries in the shift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offline to online. According to GSV Ventures, the 2019 digital learning market represented $160 billion in spend— 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compound annual growth rate (CAGR) from 2019 to 2026.</w:t>
      </w:r>
    </w:p>
    <w:p>
      <w:pPr>
        <w:spacing w:after="0" w:line="128" w:lineRule="exact"/>
        <w:rPr>
          <w:sz w:val="20"/>
          <w:szCs w:val="20"/>
          <w:color w:val="auto"/>
        </w:rPr>
      </w:pPr>
    </w:p>
    <w:p>
      <w:pPr>
        <w:ind w:left="680" w:right="80"/>
        <w:spacing w:after="0" w:line="268" w:lineRule="auto"/>
        <w:rPr>
          <w:sz w:val="20"/>
          <w:szCs w:val="20"/>
          <w:color w:val="auto"/>
        </w:rPr>
      </w:pPr>
      <w:r>
        <w:rPr>
          <w:rFonts w:ascii="Arial" w:cs="Arial" w:eastAsia="Arial" w:hAnsi="Arial"/>
          <w:sz w:val="18"/>
          <w:szCs w:val="18"/>
          <w:b w:val="1"/>
          <w:bCs w:val="1"/>
          <w:i w:val="1"/>
          <w:iCs w:val="1"/>
          <w:color w:val="auto"/>
        </w:rPr>
        <w:t xml:space="preserve">Online learners seek engaging, mobile-first experiences. </w:t>
      </w:r>
      <w:r>
        <w:rPr>
          <w:rFonts w:ascii="Arial" w:cs="Arial" w:eastAsia="Arial" w:hAnsi="Arial"/>
          <w:sz w:val="18"/>
          <w:szCs w:val="18"/>
          <w:color w:val="auto"/>
        </w:rPr>
        <w:t>Consumers are increasingly accustomed to the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design of social media apps and mobile games. We believe that consumers turning to online learning will not only prefer the convenience and control that mobile apps provide, but also expect experiences to be highly engaging.</w:t>
      </w:r>
    </w:p>
    <w:p>
      <w:pPr>
        <w:spacing w:after="0" w:line="117" w:lineRule="exact"/>
        <w:rPr>
          <w:sz w:val="20"/>
          <w:szCs w:val="20"/>
          <w:color w:val="auto"/>
        </w:rPr>
      </w:pPr>
    </w:p>
    <w:p>
      <w:pPr>
        <w:ind w:left="680" w:right="100"/>
        <w:spacing w:after="0" w:line="268" w:lineRule="auto"/>
        <w:rPr>
          <w:sz w:val="20"/>
          <w:szCs w:val="20"/>
          <w:color w:val="auto"/>
        </w:rPr>
      </w:pPr>
      <w:r>
        <w:rPr>
          <w:rFonts w:ascii="Arial" w:cs="Arial" w:eastAsia="Arial" w:hAnsi="Arial"/>
          <w:sz w:val="18"/>
          <w:szCs w:val="18"/>
          <w:b w:val="1"/>
          <w:bCs w:val="1"/>
          <w:i w:val="1"/>
          <w:iCs w:val="1"/>
          <w:color w:val="auto"/>
        </w:rPr>
        <w:t xml:space="preserve">Adoption of subscription models is growing globally. </w:t>
      </w:r>
      <w:r>
        <w:rPr>
          <w:rFonts w:ascii="Arial" w:cs="Arial" w:eastAsia="Arial" w:hAnsi="Arial"/>
          <w:sz w:val="18"/>
          <w:szCs w:val="18"/>
          <w:color w:val="auto"/>
        </w:rPr>
        <w:t>Rising adoption of subscription models across the globe is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the shift towards mobile experiences. We believe that as subscriptions increase in popularity across categories, consumers will also gravitate towards subscription models in online learning.</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Market Opportunity</w:t>
      </w:r>
    </w:p>
    <w:p>
      <w:pPr>
        <w:spacing w:after="0" w:line="207"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The global market for direct-to-consumer language learning is large, growing, and shifting online. According to HolonIQ, total consumer spend on both online and offline language learning represented a $61 billion market in 2019, and will grow to $115 billion in 2025, implying a CAGR of 11% over this period. Online language learning is the fastest-growing market segment, projected to grow from $12 billion in 2019 to $47 billion in 2025, representing a CAGR of approximately 26% over this period, and to comprise 41% of total consumer spend on language learning in 2025. We believe that growth in digital spend will be driven in part by a shift away from offline offerings, as consumers seek more affordable, convenient, and higher quality online solutions.</w:t>
      </w:r>
    </w:p>
    <w:p>
      <w:pPr>
        <w:spacing w:after="0" w:line="151" w:lineRule="exact"/>
        <w:rPr>
          <w:sz w:val="20"/>
          <w:szCs w:val="20"/>
          <w:color w:val="auto"/>
        </w:rPr>
      </w:pPr>
    </w:p>
    <w:p>
      <w:pPr>
        <w:ind w:left="680" w:right="180"/>
        <w:spacing w:after="0" w:line="268" w:lineRule="auto"/>
        <w:rPr>
          <w:sz w:val="20"/>
          <w:szCs w:val="20"/>
          <w:color w:val="auto"/>
        </w:rPr>
      </w:pPr>
      <w:r>
        <w:rPr>
          <w:rFonts w:ascii="Arial" w:cs="Arial" w:eastAsia="Arial" w:hAnsi="Arial"/>
          <w:sz w:val="18"/>
          <w:szCs w:val="18"/>
          <w:color w:val="auto"/>
        </w:rPr>
        <w:t>We also believe that growth in online language learning spend will be driven by consumers who would not have paid for offline offerings, but now choose to purchase online products. For example, according to a survey we conducted in 2021, almost 80% of Duolingo users in the US were not already learning a language when they began using Duolingo. Globally, GSMA reports that the number of mobile internet users is projected to grow from 3.8 billion at the end of 2019 to 5.0 billion by 2025. Growth in smartphone adoption can open up new access to the convenience and affordability of mobile-first learning to hundreds of millions of people.</w:t>
      </w:r>
    </w:p>
    <w:p>
      <w:pPr>
        <w:spacing w:after="0" w:line="152"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The Duolingo Learning Experience</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Duolingo learning experience sits at the rare intersection of fun and self-improvement. Learners love Duolingo because:</w:t>
      </w:r>
    </w:p>
    <w:p>
      <w:pPr>
        <w:spacing w:after="0" w:line="149" w:lineRule="exact"/>
        <w:rPr>
          <w:sz w:val="20"/>
          <w:szCs w:val="20"/>
          <w:color w:val="auto"/>
        </w:rPr>
      </w:pPr>
    </w:p>
    <w:p>
      <w:pPr>
        <w:ind w:left="1320" w:right="40" w:hanging="322"/>
        <w:spacing w:after="0" w:line="287"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features motivate learners to come back each day to continue learning.</w:t>
      </w:r>
    </w:p>
    <w:p>
      <w:pPr>
        <w:spacing w:after="0" w:line="98" w:lineRule="exact"/>
        <w:rPr>
          <w:rFonts w:ascii="Arial" w:cs="Arial" w:eastAsia="Arial" w:hAnsi="Arial"/>
          <w:sz w:val="18"/>
          <w:szCs w:val="18"/>
          <w:color w:val="auto"/>
        </w:rPr>
      </w:pPr>
    </w:p>
    <w:p>
      <w:pPr>
        <w:ind w:left="1320" w:right="100" w:hanging="322"/>
        <w:spacing w:after="0" w:line="287"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works. Our expert-designed courses help learners build robust speaking,</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60"/>
          </w:cols>
          <w:pgMar w:left="320" w:top="144" w:right="101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402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reading, listening, and writing skills, and our data analytics power personalization and superior learning outcomes.</w:t>
      </w:r>
    </w:p>
    <w:p>
      <w:pPr>
        <w:spacing w:after="0" w:line="149" w:lineRule="exact"/>
        <w:rPr>
          <w:sz w:val="20"/>
          <w:szCs w:val="20"/>
          <w:color w:val="auto"/>
        </w:rPr>
      </w:pPr>
    </w:p>
    <w:p>
      <w:pPr>
        <w:ind w:left="1320" w:right="40" w:hanging="322"/>
        <w:spacing w:after="0" w:line="28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language course on Duolingo is free to access. Learners can spend as much time learning as they</w:t>
      </w:r>
      <w:r>
        <w:rPr>
          <w:rFonts w:ascii="Arial" w:cs="Arial" w:eastAsia="Arial" w:hAnsi="Arial"/>
          <w:sz w:val="18"/>
          <w:szCs w:val="18"/>
          <w:b w:val="1"/>
          <w:bCs w:val="1"/>
          <w:color w:val="auto"/>
        </w:rPr>
        <w:t xml:space="preserve"> </w:t>
      </w:r>
      <w:r>
        <w:rPr>
          <w:rFonts w:ascii="Arial" w:cs="Arial" w:eastAsia="Arial" w:hAnsi="Arial"/>
          <w:sz w:val="18"/>
          <w:szCs w:val="18"/>
          <w:color w:val="auto"/>
        </w:rPr>
        <w:t>want and complete any and every course without paying. This lowers barriers to start learning and to keep learning.</w:t>
      </w:r>
    </w:p>
    <w:p>
      <w:pPr>
        <w:spacing w:after="0" w:line="134" w:lineRule="exact"/>
        <w:rPr>
          <w:sz w:val="20"/>
          <w:szCs w:val="20"/>
          <w:color w:val="auto"/>
        </w:rPr>
      </w:pPr>
    </w:p>
    <w:p>
      <w:pPr>
        <w:ind w:left="680" w:right="60"/>
        <w:spacing w:after="0" w:line="271"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Our Product Philosophy</w:t>
      </w:r>
    </w:p>
    <w:p>
      <w:pPr>
        <w:spacing w:after="0" w:line="207" w:lineRule="exact"/>
        <w:rPr>
          <w:sz w:val="20"/>
          <w:szCs w:val="20"/>
          <w:color w:val="auto"/>
        </w:rPr>
      </w:pPr>
    </w:p>
    <w:p>
      <w:pPr>
        <w:ind w:left="680" w:right="360"/>
        <w:spacing w:after="0" w:line="277" w:lineRule="auto"/>
        <w:rPr>
          <w:sz w:val="20"/>
          <w:szCs w:val="20"/>
          <w:color w:val="auto"/>
        </w:rPr>
      </w:pPr>
      <w:r>
        <w:rPr>
          <w:rFonts w:ascii="Arial" w:cs="Arial" w:eastAsia="Arial" w:hAnsi="Arial"/>
          <w:sz w:val="18"/>
          <w:szCs w:val="18"/>
          <w:color w:val="auto"/>
        </w:rPr>
        <w:t>Each of our learning and gamification features is carefully crafted to contribute to a learner experience that is defined by several key principles:</w:t>
      </w:r>
    </w:p>
    <w:p>
      <w:pPr>
        <w:spacing w:after="0" w:line="108" w:lineRule="exact"/>
        <w:rPr>
          <w:sz w:val="20"/>
          <w:szCs w:val="20"/>
          <w:color w:val="auto"/>
        </w:rPr>
      </w:pPr>
    </w:p>
    <w:p>
      <w:pPr>
        <w:ind w:left="680" w:right="180"/>
        <w:spacing w:after="0" w:line="262" w:lineRule="auto"/>
        <w:rPr>
          <w:sz w:val="20"/>
          <w:szCs w:val="20"/>
          <w:color w:val="auto"/>
        </w:rPr>
      </w:pPr>
      <w:r>
        <w:rPr>
          <w:rFonts w:ascii="Arial" w:cs="Arial" w:eastAsia="Arial" w:hAnsi="Arial"/>
          <w:sz w:val="18"/>
          <w:szCs w:val="18"/>
          <w:b w:val="1"/>
          <w:bCs w:val="1"/>
          <w:i w:val="1"/>
          <w:iCs w:val="1"/>
          <w:color w:val="auto"/>
        </w:rPr>
        <w:t xml:space="preserve">Low friction. </w:t>
      </w:r>
      <w:r>
        <w:rPr>
          <w:rFonts w:ascii="Arial" w:cs="Arial" w:eastAsia="Arial" w:hAnsi="Arial"/>
          <w:sz w:val="18"/>
          <w:szCs w:val="18"/>
          <w:color w:val="auto"/>
        </w:rPr>
        <w:t>Beginning the learning journey on Duolingo is easy. We ensure that our onboarding journey is as intuitive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by continually reviewing the actions of new learners as they navigate our app for the first time. Duolingo is recognized as a gold standard for user experience design, with our onboarding flows used as examples of industry best practices.</w:t>
      </w:r>
    </w:p>
    <w:p>
      <w:pPr>
        <w:spacing w:after="0" w:line="122"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b w:val="1"/>
          <w:bCs w:val="1"/>
          <w:i w:val="1"/>
          <w:iCs w:val="1"/>
          <w:color w:val="auto"/>
        </w:rPr>
        <w:t xml:space="preserve">Motivating game mechanics. </w:t>
      </w:r>
      <w:r>
        <w:rPr>
          <w:rFonts w:ascii="Arial" w:cs="Arial" w:eastAsia="Arial" w:hAnsi="Arial"/>
          <w:sz w:val="18"/>
          <w:szCs w:val="18"/>
          <w:color w:val="auto"/>
        </w:rPr>
        <w:t>Because we believe that staying motivated is the hardest part of learning something new,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relentlessly on keeping learners engaged. Ultimately, the high engagement driven by gamification leads to consistent learning and demonstrable efficacy.</w:t>
      </w:r>
    </w:p>
    <w:p>
      <w:pPr>
        <w:spacing w:after="0" w:line="117" w:lineRule="exact"/>
        <w:rPr>
          <w:sz w:val="20"/>
          <w:szCs w:val="20"/>
          <w:color w:val="auto"/>
        </w:rPr>
      </w:pPr>
    </w:p>
    <w:p>
      <w:pPr>
        <w:ind w:left="680" w:right="320"/>
        <w:spacing w:after="0" w:line="291" w:lineRule="auto"/>
        <w:rPr>
          <w:sz w:val="20"/>
          <w:szCs w:val="20"/>
          <w:color w:val="auto"/>
        </w:rPr>
      </w:pPr>
      <w:r>
        <w:rPr>
          <w:rFonts w:ascii="Arial" w:cs="Arial" w:eastAsia="Arial" w:hAnsi="Arial"/>
          <w:sz w:val="17"/>
          <w:szCs w:val="17"/>
          <w:b w:val="1"/>
          <w:bCs w:val="1"/>
          <w:i w:val="1"/>
          <w:iCs w:val="1"/>
          <w:color w:val="auto"/>
        </w:rPr>
        <w:t xml:space="preserve">Beautiful design and engaging storytelling. </w:t>
      </w:r>
      <w:r>
        <w:rPr>
          <w:rFonts w:ascii="Arial" w:cs="Arial" w:eastAsia="Arial" w:hAnsi="Arial"/>
          <w:sz w:val="17"/>
          <w:szCs w:val="17"/>
          <w:color w:val="auto"/>
        </w:rPr>
        <w:t>From the precise shape and color of each button, to the mood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celebratory animations that congratulate learners upon finishing each lesson, our app is calibrated to maximize learners’ delight. Over the years, our owl mascot, Duo, has become a popular brand icon and a marketing asset for our company.</w:t>
      </w:r>
    </w:p>
    <w:p>
      <w:pPr>
        <w:spacing w:after="0" w:line="99" w:lineRule="exact"/>
        <w:rPr>
          <w:sz w:val="20"/>
          <w:szCs w:val="20"/>
          <w:color w:val="auto"/>
        </w:rPr>
      </w:pPr>
    </w:p>
    <w:p>
      <w:pPr>
        <w:ind w:left="680" w:right="360"/>
        <w:spacing w:after="0" w:line="262" w:lineRule="auto"/>
        <w:rPr>
          <w:sz w:val="20"/>
          <w:szCs w:val="20"/>
          <w:color w:val="auto"/>
        </w:rPr>
      </w:pPr>
      <w:r>
        <w:rPr>
          <w:rFonts w:ascii="Arial" w:cs="Arial" w:eastAsia="Arial" w:hAnsi="Arial"/>
          <w:sz w:val="18"/>
          <w:szCs w:val="18"/>
          <w:b w:val="1"/>
          <w:bCs w:val="1"/>
          <w:i w:val="1"/>
          <w:iCs w:val="1"/>
          <w:color w:val="auto"/>
        </w:rPr>
        <w:t xml:space="preserve">Diverse learning experiences informed by robust pedagogy. </w:t>
      </w:r>
      <w:r>
        <w:rPr>
          <w:rFonts w:ascii="Arial" w:cs="Arial" w:eastAsia="Arial" w:hAnsi="Arial"/>
          <w:sz w:val="18"/>
          <w:szCs w:val="18"/>
          <w:color w:val="auto"/>
        </w:rPr>
        <w:t>Our learning experiences are designed by an in-house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of experts in learning science and second language acquisition. Content in our largest courses is aligned to the Common European Framework of Reference (CEFR), an international standard for language proficiency, and the pedagogical structure of each course is unique.</w:t>
      </w:r>
    </w:p>
    <w:p>
      <w:pPr>
        <w:spacing w:after="0" w:line="122" w:lineRule="exact"/>
        <w:rPr>
          <w:sz w:val="20"/>
          <w:szCs w:val="20"/>
          <w:color w:val="auto"/>
        </w:rPr>
      </w:pPr>
    </w:p>
    <w:p>
      <w:pPr>
        <w:ind w:left="680" w:right="320"/>
        <w:spacing w:after="0" w:line="318" w:lineRule="auto"/>
        <w:rPr>
          <w:sz w:val="20"/>
          <w:szCs w:val="20"/>
          <w:color w:val="auto"/>
        </w:rPr>
      </w:pPr>
      <w:r>
        <w:rPr>
          <w:rFonts w:ascii="Arial" w:cs="Arial" w:eastAsia="Arial" w:hAnsi="Arial"/>
          <w:sz w:val="17"/>
          <w:szCs w:val="17"/>
          <w:b w:val="1"/>
          <w:bCs w:val="1"/>
          <w:i w:val="1"/>
          <w:iCs w:val="1"/>
          <w:color w:val="auto"/>
        </w:rPr>
        <w:t xml:space="preserve">Application of data analytics and artificial intelligence to optimize learning. </w:t>
      </w:r>
      <w:r>
        <w:rPr>
          <w:rFonts w:ascii="Arial" w:cs="Arial" w:eastAsia="Arial" w:hAnsi="Arial"/>
          <w:sz w:val="17"/>
          <w:szCs w:val="17"/>
          <w:color w:val="auto"/>
        </w:rPr>
        <w:t>We use data from over half a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exercises completed daily to train sophisticated machine learning algorithms that we deploy to improve learning efficacy.</w:t>
      </w:r>
    </w:p>
    <w:p>
      <w:pPr>
        <w:spacing w:after="0" w:line="76" w:lineRule="exact"/>
        <w:rPr>
          <w:sz w:val="20"/>
          <w:szCs w:val="20"/>
          <w:color w:val="auto"/>
        </w:rPr>
      </w:pPr>
    </w:p>
    <w:p>
      <w:pPr>
        <w:ind w:left="680" w:right="120"/>
        <w:spacing w:after="0" w:line="262" w:lineRule="auto"/>
        <w:rPr>
          <w:sz w:val="20"/>
          <w:szCs w:val="20"/>
          <w:color w:val="auto"/>
        </w:rPr>
      </w:pPr>
      <w:r>
        <w:rPr>
          <w:rFonts w:ascii="Arial" w:cs="Arial" w:eastAsia="Arial" w:hAnsi="Arial"/>
          <w:sz w:val="18"/>
          <w:szCs w:val="18"/>
          <w:b w:val="1"/>
          <w:bCs w:val="1"/>
          <w:i w:val="1"/>
          <w:iCs w:val="1"/>
          <w:color w:val="auto"/>
        </w:rPr>
        <w:t xml:space="preserve">Measurable learning outcomes. </w:t>
      </w:r>
      <w:r>
        <w:rPr>
          <w:rFonts w:ascii="Arial" w:cs="Arial" w:eastAsia="Arial" w:hAnsi="Arial"/>
          <w:sz w:val="18"/>
          <w:szCs w:val="18"/>
          <w:color w:val="auto"/>
        </w:rPr>
        <w:t>In 2020, we conducted a formal study to evaluate Duolingo’s effectiveness 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university language courses. We found that Duolingo learners earned proficiency scores comparable to those of US university students at the end of their fourth semester of French or Spanish. Moreover, the Duolingo learners were able to attain this level of proficiency in about half the time as the university students.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Technology Platform</w:t>
      </w:r>
    </w:p>
    <w:p>
      <w:pPr>
        <w:spacing w:after="0" w:line="207" w:lineRule="exact"/>
        <w:rPr>
          <w:sz w:val="20"/>
          <w:szCs w:val="20"/>
          <w:color w:val="auto"/>
        </w:rPr>
      </w:pPr>
    </w:p>
    <w:p>
      <w:pPr>
        <w:ind w:left="680" w:right="440"/>
        <w:spacing w:after="0" w:line="277" w:lineRule="auto"/>
        <w:rPr>
          <w:sz w:val="20"/>
          <w:szCs w:val="20"/>
          <w:color w:val="auto"/>
        </w:rPr>
      </w:pPr>
      <w:r>
        <w:rPr>
          <w:rFonts w:ascii="Arial" w:cs="Arial" w:eastAsia="Arial" w:hAnsi="Arial"/>
          <w:sz w:val="18"/>
          <w:szCs w:val="18"/>
          <w:color w:val="auto"/>
        </w:rPr>
        <w:t>Technology is at the core of everything we do. We utilize the latest in machine learning and data analytics, along with a relentless focus on A/B testing, to fuel our differentiated learning experience.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Highlights of our technology platform include:</w:t>
      </w:r>
    </w:p>
    <w:p>
      <w:pPr>
        <w:spacing w:after="0" w:line="149"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b w:val="1"/>
          <w:bCs w:val="1"/>
          <w:i w:val="1"/>
          <w:iCs w:val="1"/>
          <w:color w:val="auto"/>
        </w:rPr>
        <w:t xml:space="preserve">Large data moat. </w:t>
      </w:r>
      <w:r>
        <w:rPr>
          <w:rFonts w:ascii="Arial" w:cs="Arial" w:eastAsia="Arial" w:hAnsi="Arial"/>
          <w:sz w:val="18"/>
          <w:szCs w:val="18"/>
          <w:color w:val="auto"/>
        </w:rPr>
        <w:t>With over half a billion exercises completed every day on our platform, we believe we have built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world's largest collection of language-learning data. We leverage this data by developing novel AI models at the intersection of machine learning, natural language processing, and cognitive</w:t>
      </w:r>
    </w:p>
    <w:p>
      <w:pPr>
        <w:sectPr>
          <w:pgSz w:w="11900" w:h="16838" w:orient="portrait"/>
          <w:cols w:equalWidth="0" w:num="1">
            <w:col w:w="10540"/>
          </w:cols>
          <w:pgMar w:left="320" w:top="144"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40"/>
          </w:cols>
          <w:pgMar w:left="320" w:top="144" w:right="10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39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23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science, which enable personalized instruction and power new product features that drive both engagement and efficacy.</w:t>
      </w:r>
    </w:p>
    <w:p>
      <w:pPr>
        <w:spacing w:after="0" w:line="149" w:lineRule="exact"/>
        <w:rPr>
          <w:sz w:val="20"/>
          <w:szCs w:val="20"/>
          <w:color w:val="auto"/>
        </w:rPr>
      </w:pPr>
    </w:p>
    <w:p>
      <w:pPr>
        <w:ind w:left="680" w:right="60"/>
        <w:spacing w:after="0" w:line="268" w:lineRule="auto"/>
        <w:rPr>
          <w:sz w:val="20"/>
          <w:szCs w:val="20"/>
          <w:color w:val="auto"/>
        </w:rPr>
      </w:pPr>
      <w:r>
        <w:rPr>
          <w:rFonts w:ascii="Arial" w:cs="Arial" w:eastAsia="Arial" w:hAnsi="Arial"/>
          <w:sz w:val="18"/>
          <w:szCs w:val="18"/>
          <w:b w:val="1"/>
          <w:bCs w:val="1"/>
          <w:i w:val="1"/>
          <w:iCs w:val="1"/>
          <w:color w:val="auto"/>
        </w:rPr>
        <w:t xml:space="preserve">Robust testing framework. </w:t>
      </w:r>
      <w:r>
        <w:rPr>
          <w:rFonts w:ascii="Arial" w:cs="Arial" w:eastAsia="Arial" w:hAnsi="Arial"/>
          <w:sz w:val="18"/>
          <w:szCs w:val="18"/>
          <w:color w:val="auto"/>
        </w:rPr>
        <w:t>The foundation of our product strategy is our relentless focus on improving learner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through A/B testing, and we run hundreds of A/B tests on new product features each quarter. These A/B tests also provide us with the data to make decisions that positively impact paid subscriber conversion.</w:t>
      </w:r>
    </w:p>
    <w:p>
      <w:pPr>
        <w:spacing w:after="0" w:line="117" w:lineRule="exact"/>
        <w:rPr>
          <w:sz w:val="20"/>
          <w:szCs w:val="20"/>
          <w:color w:val="auto"/>
        </w:rPr>
      </w:pPr>
    </w:p>
    <w:p>
      <w:pPr>
        <w:ind w:left="680" w:right="60"/>
        <w:spacing w:after="0" w:line="259" w:lineRule="auto"/>
        <w:rPr>
          <w:sz w:val="20"/>
          <w:szCs w:val="20"/>
          <w:color w:val="auto"/>
        </w:rPr>
      </w:pPr>
      <w:r>
        <w:rPr>
          <w:rFonts w:ascii="Arial" w:cs="Arial" w:eastAsia="Arial" w:hAnsi="Arial"/>
          <w:sz w:val="18"/>
          <w:szCs w:val="18"/>
          <w:b w:val="1"/>
          <w:bCs w:val="1"/>
          <w:i w:val="1"/>
          <w:iCs w:val="1"/>
          <w:color w:val="auto"/>
        </w:rPr>
        <w:t xml:space="preserve">Advanced data analytics and machine learning capabilities. </w:t>
      </w:r>
      <w:r>
        <w:rPr>
          <w:rFonts w:ascii="Arial" w:cs="Arial" w:eastAsia="Arial" w:hAnsi="Arial"/>
          <w:sz w:val="18"/>
          <w:szCs w:val="18"/>
          <w:color w:val="auto"/>
        </w:rPr>
        <w:t>Our machine learning capabilities allow us to leverage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to optimize the learning 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w:t>
      </w:r>
    </w:p>
    <w:p>
      <w:pPr>
        <w:spacing w:after="0" w:line="125" w:lineRule="exact"/>
        <w:rPr>
          <w:sz w:val="20"/>
          <w:szCs w:val="20"/>
          <w:color w:val="auto"/>
        </w:rPr>
      </w:pPr>
    </w:p>
    <w:p>
      <w:pPr>
        <w:jc w:val="both"/>
        <w:ind w:left="680"/>
        <w:spacing w:after="0" w:line="291" w:lineRule="auto"/>
        <w:rPr>
          <w:sz w:val="20"/>
          <w:szCs w:val="20"/>
          <w:color w:val="auto"/>
        </w:rPr>
      </w:pPr>
      <w:r>
        <w:rPr>
          <w:rFonts w:ascii="Arial" w:cs="Arial" w:eastAsia="Arial" w:hAnsi="Arial"/>
          <w:sz w:val="17"/>
          <w:szCs w:val="17"/>
          <w:b w:val="1"/>
          <w:bCs w:val="1"/>
          <w:i w:val="1"/>
          <w:iCs w:val="1"/>
          <w:color w:val="auto"/>
        </w:rPr>
        <w:t xml:space="preserve">Shared infrastructure. </w:t>
      </w:r>
      <w:r>
        <w:rPr>
          <w:rFonts w:ascii="Arial" w:cs="Arial" w:eastAsia="Arial" w:hAnsi="Arial"/>
          <w:sz w:val="17"/>
          <w:szCs w:val="17"/>
          <w:color w:val="auto"/>
        </w:rPr>
        <w:t>Products across our platform, like our flagship Duolingo language learning app, Duolingo ABC,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Duolingo English Test, share a singular technology infrastructure, which allows us to leverage operational efficiencies in implementing new features for each. With our shared infrastructure, we are able to innovate at a higher velocity.</w:t>
      </w:r>
    </w:p>
    <w:p>
      <w:pPr>
        <w:spacing w:after="0" w:line="99" w:lineRule="exact"/>
        <w:rPr>
          <w:sz w:val="20"/>
          <w:szCs w:val="20"/>
          <w:color w:val="auto"/>
        </w:rPr>
      </w:pPr>
    </w:p>
    <w:p>
      <w:pPr>
        <w:ind w:left="680" w:right="80"/>
        <w:spacing w:after="0" w:line="287" w:lineRule="auto"/>
        <w:rPr>
          <w:sz w:val="20"/>
          <w:szCs w:val="20"/>
          <w:color w:val="auto"/>
        </w:rPr>
      </w:pPr>
      <w:r>
        <w:rPr>
          <w:rFonts w:ascii="Arial" w:cs="Arial" w:eastAsia="Arial" w:hAnsi="Arial"/>
          <w:sz w:val="18"/>
          <w:szCs w:val="18"/>
          <w:b w:val="1"/>
          <w:bCs w:val="1"/>
          <w:i w:val="1"/>
          <w:iCs w:val="1"/>
          <w:color w:val="auto"/>
        </w:rPr>
        <w:t xml:space="preserve">Strict data protection and privacy standards. </w:t>
      </w:r>
      <w:r>
        <w:rPr>
          <w:rFonts w:ascii="Arial" w:cs="Arial" w:eastAsia="Arial" w:hAnsi="Arial"/>
          <w:sz w:val="18"/>
          <w:szCs w:val="18"/>
          <w:color w:val="auto"/>
        </w:rPr>
        <w:t>We are committed to abiding by the strictest privacy standards and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personal data to outside parties.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Strengths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believe the following strengths will drive our continued success in the global language learning market and beyond:</w:t>
      </w:r>
    </w:p>
    <w:p>
      <w:pPr>
        <w:spacing w:after="0" w:line="149" w:lineRule="exact"/>
        <w:rPr>
          <w:sz w:val="20"/>
          <w:szCs w:val="20"/>
          <w:color w:val="auto"/>
        </w:rPr>
      </w:pPr>
    </w:p>
    <w:p>
      <w:pPr>
        <w:ind w:left="680" w:right="280"/>
        <w:spacing w:after="0" w:line="268" w:lineRule="auto"/>
        <w:rPr>
          <w:sz w:val="20"/>
          <w:szCs w:val="20"/>
          <w:color w:val="auto"/>
        </w:rPr>
      </w:pPr>
      <w:r>
        <w:rPr>
          <w:rFonts w:ascii="Arial" w:cs="Arial" w:eastAsia="Arial" w:hAnsi="Arial"/>
          <w:sz w:val="18"/>
          <w:szCs w:val="18"/>
          <w:b w:val="1"/>
          <w:bCs w:val="1"/>
          <w:i w:val="1"/>
          <w:iCs w:val="1"/>
          <w:color w:val="auto"/>
        </w:rPr>
        <w:t xml:space="preserve">Product-obsessed culture focused on creating a fun, engaging experience. </w:t>
      </w:r>
      <w:r>
        <w:rPr>
          <w:rFonts w:ascii="Arial" w:cs="Arial" w:eastAsia="Arial" w:hAnsi="Arial"/>
          <w:sz w:val="18"/>
          <w:szCs w:val="18"/>
          <w:color w:val="auto"/>
        </w:rPr>
        <w:t>We use sophisticated gamification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beautiful design to make our products fun and engaging, inspiring learners to come back day after day to learn on our platform.</w:t>
      </w:r>
    </w:p>
    <w:p>
      <w:pPr>
        <w:spacing w:after="0" w:line="117" w:lineRule="exact"/>
        <w:rPr>
          <w:sz w:val="20"/>
          <w:szCs w:val="20"/>
          <w:color w:val="auto"/>
        </w:rPr>
      </w:pPr>
    </w:p>
    <w:p>
      <w:pPr>
        <w:jc w:val="both"/>
        <w:ind w:left="680" w:right="480"/>
        <w:spacing w:after="0" w:line="318" w:lineRule="auto"/>
        <w:rPr>
          <w:sz w:val="20"/>
          <w:szCs w:val="20"/>
          <w:color w:val="auto"/>
        </w:rPr>
      </w:pPr>
      <w:r>
        <w:rPr>
          <w:rFonts w:ascii="Arial" w:cs="Arial" w:eastAsia="Arial" w:hAnsi="Arial"/>
          <w:sz w:val="17"/>
          <w:szCs w:val="17"/>
          <w:b w:val="1"/>
          <w:bCs w:val="1"/>
          <w:i w:val="1"/>
          <w:iCs w:val="1"/>
          <w:color w:val="auto"/>
        </w:rPr>
        <w:t xml:space="preserve">Leading consumer brand. </w:t>
      </w:r>
      <w:r>
        <w:rPr>
          <w:rFonts w:ascii="Arial" w:cs="Arial" w:eastAsia="Arial" w:hAnsi="Arial"/>
          <w:sz w:val="17"/>
          <w:szCs w:val="17"/>
          <w:color w:val="auto"/>
        </w:rPr>
        <w:t>Our free, fun, and effective learning experience has made us a category-leading brand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 education, which in turn drives organic traffic to our platform and minimizes our reliance on paid marketing.</w:t>
      </w:r>
    </w:p>
    <w:p>
      <w:pPr>
        <w:spacing w:after="0" w:line="76"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b w:val="1"/>
          <w:bCs w:val="1"/>
          <w:i w:val="1"/>
          <w:iCs w:val="1"/>
          <w:color w:val="auto"/>
        </w:rPr>
        <w:t xml:space="preserve">Deep data analytics capabilities. </w:t>
      </w:r>
      <w:r>
        <w:rPr>
          <w:rFonts w:ascii="Arial" w:cs="Arial" w:eastAsia="Arial" w:hAnsi="Arial"/>
          <w:sz w:val="18"/>
          <w:szCs w:val="18"/>
          <w:color w:val="auto"/>
        </w:rPr>
        <w:t>Data from over 2.3 billion tracking events generated every day by our learners informs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more than 500 A/B tests we run per quarter. These A/B tests enable us to rapidly launch product optimizations and new features that materially improve engagement, learning outcomes, and paid subscriber conversion.</w:t>
      </w:r>
    </w:p>
    <w:p>
      <w:pPr>
        <w:spacing w:after="0" w:line="117" w:lineRule="exact"/>
        <w:rPr>
          <w:sz w:val="20"/>
          <w:szCs w:val="20"/>
          <w:color w:val="auto"/>
        </w:rPr>
      </w:pPr>
    </w:p>
    <w:p>
      <w:pPr>
        <w:ind w:left="680" w:right="440"/>
        <w:spacing w:after="0" w:line="268" w:lineRule="auto"/>
        <w:rPr>
          <w:sz w:val="20"/>
          <w:szCs w:val="20"/>
          <w:color w:val="auto"/>
        </w:rPr>
      </w:pPr>
      <w:r>
        <w:rPr>
          <w:rFonts w:ascii="Arial" w:cs="Arial" w:eastAsia="Arial" w:hAnsi="Arial"/>
          <w:sz w:val="18"/>
          <w:szCs w:val="18"/>
          <w:b w:val="1"/>
          <w:bCs w:val="1"/>
          <w:i w:val="1"/>
          <w:iCs w:val="1"/>
          <w:color w:val="auto"/>
        </w:rPr>
        <w:t xml:space="preserve">Superior learning outcomes through personalized learning. </w:t>
      </w:r>
      <w:r>
        <w:rPr>
          <w:rFonts w:ascii="Arial" w:cs="Arial" w:eastAsia="Arial" w:hAnsi="Arial"/>
          <w:sz w:val="18"/>
          <w:szCs w:val="18"/>
          <w:color w:val="auto"/>
        </w:rPr>
        <w:t>We also leverage our massive collection of language-learning data to develop novel artificial intelligence models at the intersection of machine learning, natural language processing, and cognitive science.</w:t>
      </w:r>
    </w:p>
    <w:p>
      <w:pPr>
        <w:spacing w:after="0" w:line="117" w:lineRule="exact"/>
        <w:rPr>
          <w:sz w:val="20"/>
          <w:szCs w:val="20"/>
          <w:color w:val="auto"/>
        </w:rPr>
      </w:pPr>
    </w:p>
    <w:p>
      <w:pPr>
        <w:ind w:left="680" w:right="400"/>
        <w:spacing w:after="0" w:line="287" w:lineRule="auto"/>
        <w:rPr>
          <w:sz w:val="20"/>
          <w:szCs w:val="20"/>
          <w:color w:val="auto"/>
        </w:rPr>
      </w:pPr>
      <w:r>
        <w:rPr>
          <w:rFonts w:ascii="Arial" w:cs="Arial" w:eastAsia="Arial" w:hAnsi="Arial"/>
          <w:sz w:val="18"/>
          <w:szCs w:val="18"/>
          <w:b w:val="1"/>
          <w:bCs w:val="1"/>
          <w:i w:val="1"/>
          <w:iCs w:val="1"/>
          <w:color w:val="auto"/>
        </w:rPr>
        <w:t xml:space="preserve">Powerful flywheel effects powered by a strong business model. </w:t>
      </w:r>
      <w:r>
        <w:rPr>
          <w:rFonts w:ascii="Arial" w:cs="Arial" w:eastAsia="Arial" w:hAnsi="Arial"/>
          <w:sz w:val="18"/>
          <w:szCs w:val="18"/>
          <w:color w:val="auto"/>
        </w:rPr>
        <w:t>Our mutually reinforcing Learning and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flywheels drive efficient growth on our platform while widening our competitive moat.</w:t>
      </w:r>
    </w:p>
    <w:p>
      <w:pPr>
        <w:spacing w:after="0" w:line="99" w:lineRule="exact"/>
        <w:rPr>
          <w:sz w:val="20"/>
          <w:szCs w:val="20"/>
          <w:color w:val="auto"/>
        </w:rPr>
      </w:pPr>
    </w:p>
    <w:p>
      <w:pPr>
        <w:ind w:left="680" w:right="380"/>
        <w:spacing w:after="0" w:line="287" w:lineRule="auto"/>
        <w:rPr>
          <w:sz w:val="20"/>
          <w:szCs w:val="20"/>
          <w:color w:val="auto"/>
        </w:rPr>
      </w:pPr>
      <w:r>
        <w:rPr>
          <w:rFonts w:ascii="Arial" w:cs="Arial" w:eastAsia="Arial" w:hAnsi="Arial"/>
          <w:sz w:val="18"/>
          <w:szCs w:val="18"/>
          <w:b w:val="1"/>
          <w:bCs w:val="1"/>
          <w:i w:val="1"/>
          <w:iCs w:val="1"/>
          <w:color w:val="auto"/>
        </w:rPr>
        <w:t xml:space="preserve">Highly scalable platform. </w:t>
      </w:r>
      <w:r>
        <w:rPr>
          <w:rFonts w:ascii="Arial" w:cs="Arial" w:eastAsia="Arial" w:hAnsi="Arial"/>
          <w:sz w:val="18"/>
          <w:szCs w:val="18"/>
          <w:color w:val="auto"/>
        </w:rPr>
        <w:t>We are a technology-driven company and have invested deeply in developing our scalable,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mobile-first platform.</w:t>
      </w:r>
    </w:p>
    <w:p>
      <w:pPr>
        <w:spacing w:after="0" w:line="99"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b w:val="1"/>
          <w:bCs w:val="1"/>
          <w:i w:val="1"/>
          <w:iCs w:val="1"/>
          <w:color w:val="auto"/>
        </w:rPr>
        <w:t xml:space="preserve">Strong profitability and cash flow dynamics drive long-term value. </w:t>
      </w:r>
      <w:r>
        <w:rPr>
          <w:rFonts w:ascii="Arial" w:cs="Arial" w:eastAsia="Arial" w:hAnsi="Arial"/>
          <w:sz w:val="18"/>
          <w:szCs w:val="18"/>
          <w:color w:val="auto"/>
        </w:rPr>
        <w:t>Our business model, which is focused on organic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and “free to paid” 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ectPr>
          <w:pgSz w:w="11900" w:h="16838" w:orient="portrait"/>
          <w:cols w:equalWidth="0" w:num="1">
            <w:col w:w="10480"/>
          </w:cols>
          <w:pgMar w:left="320" w:top="14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0"/>
          </w:cols>
          <w:pgMar w:left="320" w:top="144" w:right="10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43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right="380"/>
        <w:spacing w:after="0" w:line="287" w:lineRule="auto"/>
        <w:rPr>
          <w:sz w:val="20"/>
          <w:szCs w:val="20"/>
          <w:color w:val="auto"/>
        </w:rPr>
      </w:pPr>
      <w:r>
        <w:rPr>
          <w:rFonts w:ascii="Arial" w:cs="Arial" w:eastAsia="Arial" w:hAnsi="Arial"/>
          <w:sz w:val="18"/>
          <w:szCs w:val="18"/>
          <w:b w:val="1"/>
          <w:bCs w:val="1"/>
          <w:i w:val="1"/>
          <w:iCs w:val="1"/>
          <w:color w:val="auto"/>
        </w:rPr>
        <w:t xml:space="preserve">Mission-driven, founder-led management team. </w:t>
      </w:r>
      <w:r>
        <w:rPr>
          <w:rFonts w:ascii="Arial" w:cs="Arial" w:eastAsia="Arial" w:hAnsi="Arial"/>
          <w:sz w:val="18"/>
          <w:szCs w:val="18"/>
          <w:color w:val="auto"/>
        </w:rPr>
        <w:t>Duolingo is led by passionate co-founders and a leadership team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seasoned executives with a proven track record of scaling consumer technology businesses.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Growth Opportunities</w:t>
      </w:r>
    </w:p>
    <w:p>
      <w:pPr>
        <w:spacing w:after="0" w:line="207" w:lineRule="exact"/>
        <w:rPr>
          <w:sz w:val="20"/>
          <w:szCs w:val="20"/>
          <w:color w:val="auto"/>
        </w:rPr>
      </w:pPr>
    </w:p>
    <w:p>
      <w:pPr>
        <w:ind w:left="680" w:right="80"/>
        <w:spacing w:after="0" w:line="269" w:lineRule="auto"/>
        <w:rPr>
          <w:sz w:val="20"/>
          <w:szCs w:val="20"/>
          <w:color w:val="auto"/>
        </w:rPr>
      </w:pPr>
      <w:r>
        <w:rPr>
          <w:rFonts w:ascii="Arial" w:cs="Arial" w:eastAsia="Arial" w:hAnsi="Arial"/>
          <w:sz w:val="18"/>
          <w:szCs w:val="18"/>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17" w:lineRule="exact"/>
        <w:rPr>
          <w:sz w:val="20"/>
          <w:szCs w:val="20"/>
          <w:color w:val="auto"/>
        </w:rPr>
      </w:pPr>
    </w:p>
    <w:p>
      <w:pPr>
        <w:jc w:val="both"/>
        <w:ind w:left="680" w:right="200"/>
        <w:spacing w:after="0" w:line="268" w:lineRule="auto"/>
        <w:rPr>
          <w:sz w:val="20"/>
          <w:szCs w:val="20"/>
          <w:color w:val="auto"/>
        </w:rPr>
      </w:pPr>
      <w:r>
        <w:rPr>
          <w:rFonts w:ascii="Arial" w:cs="Arial" w:eastAsia="Arial" w:hAnsi="Arial"/>
          <w:sz w:val="18"/>
          <w:szCs w:val="18"/>
          <w:b w:val="1"/>
          <w:bCs w:val="1"/>
          <w:i w:val="1"/>
          <w:iCs w:val="1"/>
          <w:color w:val="auto"/>
        </w:rPr>
        <w:t xml:space="preserve">Continue expansion of learners on our platform. </w:t>
      </w:r>
      <w:r>
        <w:rPr>
          <w:rFonts w:ascii="Arial" w:cs="Arial" w:eastAsia="Arial" w:hAnsi="Arial"/>
          <w:sz w:val="18"/>
          <w:szCs w:val="18"/>
          <w:color w:val="auto"/>
        </w:rPr>
        <w:t>As a category leader in digital language learning, we believe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positioned to continue to grow the number of learners who use our platform. Our audience is globally distributed, and we are in the early stages of penetrating key international markets, including Europe, Asia, and Latin America.</w:t>
      </w:r>
    </w:p>
    <w:p>
      <w:pPr>
        <w:spacing w:after="0" w:line="117" w:lineRule="exact"/>
        <w:rPr>
          <w:sz w:val="20"/>
          <w:szCs w:val="20"/>
          <w:color w:val="auto"/>
        </w:rPr>
      </w:pPr>
    </w:p>
    <w:p>
      <w:pPr>
        <w:ind w:left="680" w:right="100"/>
        <w:spacing w:after="0" w:line="259" w:lineRule="auto"/>
        <w:rPr>
          <w:sz w:val="20"/>
          <w:szCs w:val="20"/>
          <w:color w:val="auto"/>
        </w:rPr>
      </w:pPr>
      <w:r>
        <w:rPr>
          <w:rFonts w:ascii="Arial" w:cs="Arial" w:eastAsia="Arial" w:hAnsi="Arial"/>
          <w:sz w:val="18"/>
          <w:szCs w:val="18"/>
          <w:b w:val="1"/>
          <w:bCs w:val="1"/>
          <w:i w:val="1"/>
          <w:iCs w:val="1"/>
          <w:color w:val="auto"/>
        </w:rPr>
        <w:t xml:space="preserve">Drive higher conversion to paid subscriptions. </w:t>
      </w:r>
      <w:r>
        <w:rPr>
          <w:rFonts w:ascii="Arial" w:cs="Arial" w:eastAsia="Arial" w:hAnsi="Arial"/>
          <w:sz w:val="18"/>
          <w:szCs w:val="18"/>
          <w:color w:val="auto"/>
        </w:rPr>
        <w:t>We believe our ongoing investment in product improvements,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rollout of new 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25"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b w:val="1"/>
          <w:bCs w:val="1"/>
          <w:i w:val="1"/>
          <w:iCs w:val="1"/>
          <w:color w:val="auto"/>
        </w:rPr>
        <w:t xml:space="preserve">Increase the lifetime value of our subscribers. </w:t>
      </w:r>
      <w:r>
        <w:rPr>
          <w:rFonts w:ascii="Arial" w:cs="Arial" w:eastAsia="Arial" w:hAnsi="Arial"/>
          <w:sz w:val="18"/>
          <w:szCs w:val="18"/>
          <w:color w:val="auto"/>
        </w:rPr>
        <w:t>As we continue to expand Duolingo’s subscriber base, we are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subscriber stickiness, which drives the lifetime value of our subscribers. The primary way we improve subscriber stickiness is through product improvements that increase engagement, like Leaderboards and Streaks.</w:t>
      </w:r>
    </w:p>
    <w:p>
      <w:pPr>
        <w:spacing w:after="0" w:line="117"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b w:val="1"/>
          <w:bCs w:val="1"/>
          <w:i w:val="1"/>
          <w:iCs w:val="1"/>
          <w:color w:val="auto"/>
        </w:rPr>
        <w:t xml:space="preserve">Expand adoption of the Duolingo English Test. </w:t>
      </w:r>
      <w:r>
        <w:rPr>
          <w:rFonts w:ascii="Arial" w:cs="Arial" w:eastAsia="Arial" w:hAnsi="Arial"/>
          <w:sz w:val="18"/>
          <w:szCs w:val="18"/>
          <w:color w:val="auto"/>
        </w:rPr>
        <w:t>We believe there is a significant opportunity to continue expanding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the Duolingo English Test via three primary avenues: (1) continuing to expand acceptance by higher education programs for international student admissions; (2) 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w:t>
      </w:r>
    </w:p>
    <w:p>
      <w:pPr>
        <w:spacing w:after="0" w:line="128"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b w:val="1"/>
          <w:bCs w:val="1"/>
          <w:i w:val="1"/>
          <w:iCs w:val="1"/>
          <w:color w:val="auto"/>
        </w:rPr>
        <w:t xml:space="preserve">Extend our platform and brand beyond language learning. </w:t>
      </w:r>
      <w:r>
        <w:rPr>
          <w:rFonts w:ascii="Arial" w:cs="Arial" w:eastAsia="Arial" w:hAnsi="Arial"/>
          <w:sz w:val="18"/>
          <w:szCs w:val="18"/>
          <w:color w:val="auto"/>
        </w:rPr>
        <w:t>We believe that there is an opportunity to diversify the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platform beyond language learning to a variety of subjects, using the same product-focused, mobile-first, gamified approach to education. For example, in 2020 we launched Duolingo ABC, an app for young children that teaches early literacy skills. We believe that expanding the scope of our platform to additional learning subjects will further expand our addressable market.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Estimated Selected Preliminary Results for the Three Months Ended June 30, 2021 (unaudited)</w:t>
      </w:r>
    </w:p>
    <w:p>
      <w:pPr>
        <w:spacing w:after="0" w:line="207" w:lineRule="exact"/>
        <w:rPr>
          <w:sz w:val="20"/>
          <w:szCs w:val="20"/>
          <w:color w:val="auto"/>
        </w:rPr>
      </w:pPr>
    </w:p>
    <w:p>
      <w:pPr>
        <w:ind w:left="680"/>
        <w:spacing w:after="0" w:line="267" w:lineRule="auto"/>
        <w:rPr>
          <w:sz w:val="20"/>
          <w:szCs w:val="20"/>
          <w:color w:val="auto"/>
        </w:rPr>
      </w:pPr>
      <w:r>
        <w:rPr>
          <w:rFonts w:ascii="Arial" w:cs="Arial" w:eastAsia="Arial" w:hAnsi="Arial"/>
          <w:sz w:val="18"/>
          <w:szCs w:val="18"/>
          <w:color w:val="auto"/>
        </w:rPr>
        <w:t>Set forth below are certain estimated preliminary unaudited financial results and other data for the three months ended June 30, 2021 and the corresponding period of the prior fiscal year. Our unaudited interim consolidated financial statements for the three months ended June 30, 2021 are not yet available. These ranges are based on the information available to us as of the date of this prospectus. These are forward-looking statements and may differ from actual results. We have provided ranges, rather than specific amounts, because these results are preliminary and subject to change. Our actual results may vary from the estimated preliminary results presented below due to the completion of our financial closing and other operational procedures, final adjustments, and other developments that may arise between now and the time the financial results for the three months ended June 30, 2021 are finalized.</w:t>
      </w:r>
    </w:p>
    <w:p>
      <w:pPr>
        <w:sectPr>
          <w:pgSz w:w="11900" w:h="16838" w:orient="portrait"/>
          <w:cols w:equalWidth="0" w:num="1">
            <w:col w:w="10520"/>
          </w:cols>
          <w:pgMar w:left="320" w:top="144"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0"/>
          </w:cols>
          <w:pgMar w:left="320" w:top="144" w:right="105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393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right="100"/>
        <w:spacing w:after="0" w:line="267" w:lineRule="auto"/>
        <w:rPr>
          <w:sz w:val="20"/>
          <w:szCs w:val="20"/>
          <w:color w:val="auto"/>
        </w:rPr>
      </w:pPr>
      <w:r>
        <w:rPr>
          <w:rFonts w:ascii="Arial" w:cs="Arial" w:eastAsia="Arial" w:hAnsi="Arial"/>
          <w:sz w:val="18"/>
          <w:szCs w:val="18"/>
          <w:color w:val="auto"/>
        </w:rPr>
        <w:t>These estimates should not be viewed as a substitute for our full interim or annual financial statements prepared in accordance with US generally accepted accounting principles (GAAP). Accordingly, you should not place undue reliance on this preliminary data. See the sections titled “Risk Factors,” “Special Note Regarding Forward-Looking Statements,” and “Management’s Discussion and Analysis of Financial Condition and Results of Operations” for additional information regarding factors that could result in differences between the preliminary estimated ranges of our financial and other data presented below and the actual financial and other data we will report for the three months ended June 30, 2021, and see the section titled “—Summary Consolidated Financial and Other Data—Key Operating Metrics and Non-GAAP Financial Measures” for additional information on the operating metrics and non-GAAP financial measures set forth below.</w:t>
      </w:r>
    </w:p>
    <w:p>
      <w:pPr>
        <w:spacing w:after="0" w:line="156" w:lineRule="exact"/>
        <w:rPr>
          <w:sz w:val="20"/>
          <w:szCs w:val="20"/>
          <w:color w:val="auto"/>
        </w:rPr>
      </w:pPr>
    </w:p>
    <w:p>
      <w:pPr>
        <w:ind w:left="680" w:right="200"/>
        <w:spacing w:after="0" w:line="269" w:lineRule="auto"/>
        <w:rPr>
          <w:sz w:val="20"/>
          <w:szCs w:val="20"/>
          <w:color w:val="auto"/>
        </w:rPr>
      </w:pPr>
      <w:r>
        <w:rPr>
          <w:rFonts w:ascii="Arial" w:cs="Arial" w:eastAsia="Arial" w:hAnsi="Arial"/>
          <w:sz w:val="18"/>
          <w:szCs w:val="18"/>
          <w:color w:val="auto"/>
        </w:rPr>
        <w:t>The estimated preliminary financial results for the three months ended June 30, 2021 have been prepared by, and are the responsibility of, management. Our independent registered public accounting firm, Deloitte &amp; Touche LLP, has not audited, reviewed, compiled or performed any procedures with respect to the estimated preliminary financial results. Accordingly, Deloitte &amp; Touche LLP does not express an opinion or any other form of assurance with respect thereto.</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2020 Actual</w:t>
            </w: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 Estimated</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5"/>
                <w:szCs w:val="15"/>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10"/>
        </w:trPr>
        <w:tc>
          <w:tcPr>
            <w:tcW w:w="5500" w:type="dxa"/>
            <w:vAlign w:val="bottom"/>
            <w:tcBorders>
              <w:top w:val="single" w:sz="8" w:color="DBDBDB"/>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GAAP Financial Measures</w:t>
            </w:r>
          </w:p>
        </w:tc>
        <w:tc>
          <w:tcPr>
            <w:tcW w:w="220" w:type="dxa"/>
            <w:vAlign w:val="bottom"/>
            <w:tcBorders>
              <w:top w:val="single" w:sz="8" w:color="auto"/>
            </w:tcBorders>
            <w:shd w:val="clear" w:color="auto" w:fill="DBDBDB"/>
          </w:tcPr>
          <w:p>
            <w:pPr>
              <w:spacing w:after="0"/>
              <w:rPr>
                <w:sz w:val="18"/>
                <w:szCs w:val="18"/>
                <w:color w:val="auto"/>
              </w:rPr>
            </w:pPr>
          </w:p>
        </w:tc>
        <w:tc>
          <w:tcPr>
            <w:tcW w:w="11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20" w:type="dxa"/>
            <w:vAlign w:val="bottom"/>
            <w:tcBorders>
              <w:top w:val="single" w:sz="8" w:color="auto"/>
            </w:tcBorders>
            <w:shd w:val="clear" w:color="auto" w:fill="DBDBDB"/>
          </w:tcPr>
          <w:p>
            <w:pPr>
              <w:spacing w:after="0"/>
              <w:rPr>
                <w:sz w:val="18"/>
                <w:szCs w:val="18"/>
                <w:color w:val="auto"/>
              </w:rPr>
            </w:pPr>
          </w:p>
        </w:tc>
        <w:tc>
          <w:tcPr>
            <w:tcW w:w="88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57,300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58,500</w:t>
            </w: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42,400</w:t>
            </w: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55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Operating Metrics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Subscription bookings(1)</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36,581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Total bookings(2)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63,300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64,500</w:t>
            </w:r>
          </w:p>
        </w:tc>
        <w:tc>
          <w:tcPr>
            <w:tcW w:w="0" w:type="dxa"/>
            <w:vAlign w:val="bottom"/>
          </w:tcPr>
          <w:p>
            <w:pPr>
              <w:spacing w:after="0"/>
              <w:rPr>
                <w:sz w:val="1"/>
                <w:szCs w:val="1"/>
                <w:color w:val="auto"/>
              </w:rPr>
            </w:pPr>
          </w:p>
        </w:tc>
      </w:tr>
      <w:tr>
        <w:trPr>
          <w:trHeight w:val="257"/>
        </w:trPr>
        <w:tc>
          <w:tcPr>
            <w:tcW w:w="55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Non-GAAP Financial Measure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Adjusted EBITDA(3)</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980" w:hanging="306"/>
        <w:spacing w:after="0"/>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pacing w:after="0" w:line="163" w:lineRule="exact"/>
        <w:rPr>
          <w:rFonts w:ascii="Arial" w:cs="Arial" w:eastAsia="Arial" w:hAnsi="Arial"/>
          <w:sz w:val="14"/>
          <w:szCs w:val="14"/>
          <w:color w:val="auto"/>
        </w:rPr>
      </w:pPr>
    </w:p>
    <w:p>
      <w:pPr>
        <w:ind w:left="1000" w:right="120" w:hanging="326"/>
        <w:spacing w:after="0" w:line="258" w:lineRule="auto"/>
        <w:tabs>
          <w:tab w:leader="none" w:pos="987"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9" w:lineRule="exact"/>
        <w:rPr>
          <w:rFonts w:ascii="Arial" w:cs="Arial" w:eastAsia="Arial" w:hAnsi="Arial"/>
          <w:sz w:val="14"/>
          <w:szCs w:val="14"/>
          <w:color w:val="auto"/>
        </w:rPr>
      </w:pPr>
    </w:p>
    <w:p>
      <w:pPr>
        <w:ind w:left="1000" w:right="20" w:hanging="326"/>
        <w:spacing w:after="0" w:line="258" w:lineRule="auto"/>
        <w:tabs>
          <w:tab w:leader="none" w:pos="987"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is defined as net loss excluding interest (income) expense, net, income tax provision, depreciation and amortization, IPO and public company readiness costs, stock-based compensation expense, tender offer-related costs, other expenses, and the impairment of capitalized software.</w:t>
      </w:r>
    </w:p>
    <w:p>
      <w:pPr>
        <w:spacing w:after="0" w:line="134" w:lineRule="exact"/>
        <w:rPr>
          <w:rFonts w:ascii="Arial" w:cs="Arial" w:eastAsia="Arial" w:hAnsi="Arial"/>
          <w:sz w:val="14"/>
          <w:szCs w:val="14"/>
          <w:color w:val="auto"/>
        </w:rPr>
      </w:pPr>
    </w:p>
    <w:p>
      <w:pPr>
        <w:ind w:left="1320" w:hanging="322"/>
        <w:spacing w:after="0" w:line="253"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revenue to be between $57.3 million and $58.5 million, as compared to revenue of $40.0 million for the three months ended June 30, 2020, an increase of 45% at the midpoint. The expected increase is due to the increase in total bookings, which was driven by a higher number of average subscribers. In addition, advertising revenue increased due to an increase in daily active users and average revenue per user.</w:t>
      </w:r>
    </w:p>
    <w:p>
      <w:pPr>
        <w:spacing w:after="0" w:line="151" w:lineRule="exact"/>
        <w:rPr>
          <w:rFonts w:ascii="Arial" w:cs="Arial" w:eastAsia="Arial" w:hAnsi="Arial"/>
          <w:sz w:val="18"/>
          <w:szCs w:val="18"/>
          <w:color w:val="auto"/>
        </w:rPr>
      </w:pPr>
    </w:p>
    <w:p>
      <w:pPr>
        <w:ind w:left="1320" w:right="120" w:hanging="322"/>
        <w:spacing w:after="0" w:line="253"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gross profit to be between $41.2 million and $42.4 million, as compared to gross profit of $28.2 million for the three months ended June 30, 2020, an increase of 48% at the midpoint. The expected increase is driven by the higher revenue as described above, and the mix shift towards higher percentages of subscribers on the annual plan. Further, advertising revenue per user was higher year over year.</w:t>
      </w:r>
    </w:p>
    <w:p>
      <w:pPr>
        <w:sectPr>
          <w:pgSz w:w="11900" w:h="16838" w:orient="portrait"/>
          <w:cols w:equalWidth="0" w:num="1">
            <w:col w:w="10580"/>
          </w:cols>
          <w:pgMar w:left="320" w:top="14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80"/>
          </w:cols>
          <w:pgMar w:left="320" w:top="144" w:right="99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324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260" w:hanging="322"/>
        <w:spacing w:after="0" w:line="278" w:lineRule="auto"/>
        <w:tabs>
          <w:tab w:leader="none" w:pos="1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three months ended June 30, 2021 we expect net loss to be between $(3.0) million and $(0.5) million, as compared to net income of $40.4 thousand for the three months ended June 30, 2020. The expected decrease is due to operating expenses, particularly research and development expenses, increasing faster than gross profit.</w:t>
      </w:r>
    </w:p>
    <w:p>
      <w:pPr>
        <w:spacing w:after="0" w:line="130" w:lineRule="exact"/>
        <w:rPr>
          <w:rFonts w:ascii="Arial" w:cs="Arial" w:eastAsia="Arial" w:hAnsi="Arial"/>
          <w:sz w:val="17"/>
          <w:szCs w:val="17"/>
          <w:color w:val="auto"/>
        </w:rPr>
      </w:pPr>
    </w:p>
    <w:p>
      <w:pPr>
        <w:ind w:left="1320" w:right="60" w:hanging="322"/>
        <w:spacing w:after="0" w:line="254"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subscription bookings to be between $48.0 million and $49.0 million, as compared to subscription bookings of $36.6 million for the three months ended June 30, 2020, an increase of 33% at the midpoint. The expected increase is due to an increase in the number of subscribers from the prior year.</w:t>
      </w:r>
    </w:p>
    <w:p>
      <w:pPr>
        <w:spacing w:after="0" w:line="149" w:lineRule="exact"/>
        <w:rPr>
          <w:rFonts w:ascii="Arial" w:cs="Arial" w:eastAsia="Arial" w:hAnsi="Arial"/>
          <w:sz w:val="18"/>
          <w:szCs w:val="18"/>
          <w:color w:val="auto"/>
        </w:rPr>
      </w:pPr>
    </w:p>
    <w:p>
      <w:pPr>
        <w:ind w:left="1320" w:right="40" w:hanging="322"/>
        <w:spacing w:after="0" w:line="254"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total bookings to be between $63.3 million and $64.5 million, as compared to total bookings of $49.6 million for the three months ended June 30, 2020, an increase of 29% at the midpoint. The expected increase is due to the increase in subscription bookings noted above, in addition to the increase in advertising revenue due to an increase in daily active users and average revenue per user.</w:t>
      </w:r>
    </w:p>
    <w:p>
      <w:pPr>
        <w:spacing w:after="0" w:line="149" w:lineRule="exact"/>
        <w:rPr>
          <w:rFonts w:ascii="Arial" w:cs="Arial" w:eastAsia="Arial" w:hAnsi="Arial"/>
          <w:sz w:val="18"/>
          <w:szCs w:val="18"/>
          <w:color w:val="auto"/>
        </w:rPr>
      </w:pPr>
    </w:p>
    <w:p>
      <w:pPr>
        <w:ind w:left="1320" w:right="20" w:hanging="322"/>
        <w:spacing w:after="0" w:line="256"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Adjusted EBITDA to be between $1.0 million and $3.5 million, as compared to Adjusted EBITDA of $2.3 million for the three months ended June 30, 2020, a decrease of (3)% at the midpoint. Adjusted EBITDA will change based upon the changes noted in net income (loss) above.</w:t>
      </w:r>
    </w:p>
    <w:p>
      <w:pPr>
        <w:spacing w:after="0" w:line="161" w:lineRule="exact"/>
        <w:rPr>
          <w:sz w:val="20"/>
          <w:szCs w:val="20"/>
          <w:color w:val="auto"/>
        </w:rPr>
      </w:pPr>
    </w:p>
    <w:p>
      <w:pPr>
        <w:ind w:left="680" w:right="180"/>
        <w:spacing w:after="0" w:line="277" w:lineRule="auto"/>
        <w:rPr>
          <w:sz w:val="20"/>
          <w:szCs w:val="20"/>
          <w:color w:val="auto"/>
        </w:rPr>
      </w:pPr>
      <w:r>
        <w:rPr>
          <w:rFonts w:ascii="Arial" w:cs="Arial" w:eastAsia="Arial" w:hAnsi="Arial"/>
          <w:sz w:val="18"/>
          <w:szCs w:val="18"/>
          <w:color w:val="auto"/>
          <w:highlight w:val="white"/>
        </w:rPr>
        <w:t>The following table presents a reconciliation of Adjusted EBITDA for the periods presented above to net income (loss), the most directly comparable financial measure presented in accordance with GAAP:</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2020 Actual</w:t>
            </w: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 Estimated</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5"/>
                <w:szCs w:val="15"/>
                <w:color w:val="auto"/>
              </w:rPr>
            </w:pPr>
          </w:p>
        </w:tc>
        <w:tc>
          <w:tcPr>
            <w:tcW w:w="880" w:type="dxa"/>
            <w:vAlign w:val="bottom"/>
          </w:tcPr>
          <w:p>
            <w:pPr>
              <w:jc w:val="right"/>
              <w:ind w:right="452"/>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23"/>
        </w:trPr>
        <w:tc>
          <w:tcPr>
            <w:tcW w:w="5500" w:type="dxa"/>
            <w:vAlign w:val="bottom"/>
            <w:tcBorders>
              <w:top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DBDBDB"/>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IPO and public company readiness costs(1)</w:t>
            </w:r>
          </w:p>
        </w:tc>
        <w:tc>
          <w:tcPr>
            <w:tcW w:w="2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Other expenses(2)</w:t>
            </w:r>
          </w:p>
        </w:tc>
        <w:tc>
          <w:tcPr>
            <w:tcW w:w="2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000" w:right="300" w:hanging="326"/>
        <w:spacing w:after="0" w:line="249" w:lineRule="auto"/>
        <w:tabs>
          <w:tab w:leader="none" w:pos="987" w:val="left"/>
        </w:tabs>
        <w:numPr>
          <w:ilvl w:val="0"/>
          <w:numId w:val="6"/>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146" w:lineRule="exact"/>
        <w:rPr>
          <w:rFonts w:ascii="Arial" w:cs="Arial" w:eastAsia="Arial" w:hAnsi="Arial"/>
          <w:sz w:val="14"/>
          <w:szCs w:val="14"/>
          <w:color w:val="auto"/>
        </w:rPr>
      </w:pPr>
    </w:p>
    <w:p>
      <w:pPr>
        <w:ind w:left="1000" w:right="20" w:hanging="326"/>
        <w:spacing w:after="0" w:line="249" w:lineRule="auto"/>
        <w:tabs>
          <w:tab w:leader="none" w:pos="98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Consolidated Statement of Operations. See Note 14 to our audited consolidated financial statements and Note 2 to our unaudited interim consolidated financial statements included elsewhere in this prospectus.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Risk Factors Summary</w:t>
      </w:r>
    </w:p>
    <w:p>
      <w:pPr>
        <w:spacing w:after="0" w:line="207" w:lineRule="exact"/>
        <w:rPr>
          <w:sz w:val="20"/>
          <w:szCs w:val="20"/>
          <w:color w:val="auto"/>
        </w:rPr>
      </w:pPr>
    </w:p>
    <w:p>
      <w:pPr>
        <w:jc w:val="both"/>
        <w:ind w:left="680" w:right="300"/>
        <w:spacing w:after="0" w:line="271"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36" w:lineRule="exact"/>
        <w:rPr>
          <w:sz w:val="20"/>
          <w:szCs w:val="20"/>
          <w:color w:val="auto"/>
        </w:rPr>
      </w:pPr>
    </w:p>
    <w:p>
      <w:pPr>
        <w:ind w:left="1320" w:right="40" w:hanging="322"/>
        <w:spacing w:after="0" w:line="291" w:lineRule="auto"/>
        <w:tabs>
          <w:tab w:leader="none" w:pos="1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keep existing users or add new users, or if our users decrease their level of engagement with our products or do not convert to paying users, our revenue, financial results and business may be significantly harmed.</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0"/>
          </w:cols>
          <w:pgMar w:left="320" w:top="144" w:right="101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65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60" w:hanging="322"/>
        <w:spacing w:after="0" w:line="261"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online language learning industry is highly competitive, with low switching costs and a consistent stream of new products and entrants and innovation by our competitors may disrupt our business.</w:t>
      </w:r>
    </w:p>
    <w:p>
      <w:pPr>
        <w:spacing w:after="0" w:line="143" w:lineRule="exact"/>
        <w:rPr>
          <w:rFonts w:ascii="Arial" w:cs="Arial" w:eastAsia="Arial" w:hAnsi="Arial"/>
          <w:sz w:val="18"/>
          <w:szCs w:val="18"/>
          <w:color w:val="auto"/>
        </w:rPr>
      </w:pPr>
    </w:p>
    <w:p>
      <w:pPr>
        <w:ind w:left="1320" w:right="280" w:hanging="322"/>
        <w:spacing w:after="0" w:line="261"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to our existing brand and products, or the introduction of a new brand or products, could fail to attract or keep users or generate revenue and profits.</w:t>
      </w:r>
    </w:p>
    <w:p>
      <w:pPr>
        <w:spacing w:after="0" w:line="143" w:lineRule="exact"/>
        <w:rPr>
          <w:rFonts w:ascii="Arial" w:cs="Arial" w:eastAsia="Arial" w:hAnsi="Arial"/>
          <w:sz w:val="18"/>
          <w:szCs w:val="18"/>
          <w:color w:val="auto"/>
        </w:rPr>
      </w:pPr>
    </w:p>
    <w:p>
      <w:pPr>
        <w:ind w:left="1320" w:right="40" w:hanging="322"/>
        <w:spacing w:after="0" w:line="261"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43" w:lineRule="exact"/>
        <w:rPr>
          <w:rFonts w:ascii="Arial" w:cs="Arial" w:eastAsia="Arial" w:hAnsi="Arial"/>
          <w:sz w:val="18"/>
          <w:szCs w:val="18"/>
          <w:color w:val="auto"/>
        </w:rPr>
      </w:pPr>
    </w:p>
    <w:p>
      <w:pPr>
        <w:ind w:left="1320" w:right="500" w:hanging="322"/>
        <w:spacing w:after="0" w:line="261"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operating results and other operating metrics may fluctuate from quarter to quarter, which makes these metrics difficult to predict.</w:t>
      </w:r>
    </w:p>
    <w:p>
      <w:pPr>
        <w:spacing w:after="0" w:line="143" w:lineRule="exact"/>
        <w:rPr>
          <w:rFonts w:ascii="Arial" w:cs="Arial" w:eastAsia="Arial" w:hAnsi="Arial"/>
          <w:sz w:val="18"/>
          <w:szCs w:val="18"/>
          <w:color w:val="auto"/>
        </w:rPr>
      </w:pPr>
    </w:p>
    <w:p>
      <w:pPr>
        <w:ind w:left="1320" w:right="440" w:hanging="322"/>
        <w:spacing w:after="0" w:line="261"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user metrics and other estimates are subject to inherent challenges in measurement, and real or perceived inaccuracies in those metrics may negatively affect our reputation and our business.</w:t>
      </w:r>
    </w:p>
    <w:p>
      <w:pPr>
        <w:spacing w:after="0" w:line="143" w:lineRule="exact"/>
        <w:rPr>
          <w:rFonts w:ascii="Arial" w:cs="Arial" w:eastAsia="Arial" w:hAnsi="Arial"/>
          <w:sz w:val="18"/>
          <w:szCs w:val="18"/>
          <w:color w:val="auto"/>
        </w:rPr>
      </w:pPr>
    </w:p>
    <w:p>
      <w:pPr>
        <w:ind w:left="1320" w:right="80" w:hanging="322"/>
        <w:spacing w:after="0" w:line="253"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51" w:lineRule="exact"/>
        <w:rPr>
          <w:rFonts w:ascii="Arial" w:cs="Arial" w:eastAsia="Arial" w:hAnsi="Arial"/>
          <w:sz w:val="18"/>
          <w:szCs w:val="18"/>
          <w:color w:val="auto"/>
        </w:rPr>
      </w:pPr>
    </w:p>
    <w:p>
      <w:pPr>
        <w:ind w:left="1320" w:hanging="322"/>
        <w:spacing w:after="0" w:line="254"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49" w:lineRule="exact"/>
        <w:rPr>
          <w:rFonts w:ascii="Arial" w:cs="Arial" w:eastAsia="Arial" w:hAnsi="Arial"/>
          <w:sz w:val="18"/>
          <w:szCs w:val="18"/>
          <w:color w:val="auto"/>
        </w:rPr>
      </w:pPr>
    </w:p>
    <w:p>
      <w:pPr>
        <w:ind w:left="1320" w:right="60" w:hanging="322"/>
        <w:spacing w:after="0" w:line="254"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49" w:lineRule="exact"/>
        <w:rPr>
          <w:rFonts w:ascii="Arial" w:cs="Arial" w:eastAsia="Arial" w:hAnsi="Arial"/>
          <w:sz w:val="18"/>
          <w:szCs w:val="18"/>
          <w:color w:val="auto"/>
        </w:rPr>
      </w:pPr>
    </w:p>
    <w:p>
      <w:pPr>
        <w:ind w:left="1320" w:right="220" w:hanging="322"/>
        <w:spacing w:after="0" w:line="261"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in part, on our ability to access, collect, and use personal data about our users and payers, and to comply with applicable data privacy laws.</w:t>
      </w:r>
    </w:p>
    <w:p>
      <w:pPr>
        <w:spacing w:after="0" w:line="143" w:lineRule="exact"/>
        <w:rPr>
          <w:rFonts w:ascii="Arial" w:cs="Arial" w:eastAsia="Arial" w:hAnsi="Arial"/>
          <w:sz w:val="18"/>
          <w:szCs w:val="18"/>
          <w:color w:val="auto"/>
        </w:rPr>
      </w:pPr>
    </w:p>
    <w:p>
      <w:pPr>
        <w:ind w:left="1320" w:right="120" w:hanging="322"/>
        <w:spacing w:after="0" w:line="256"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47" w:lineRule="exact"/>
        <w:rPr>
          <w:rFonts w:ascii="Arial" w:cs="Arial" w:eastAsia="Arial" w:hAnsi="Arial"/>
          <w:sz w:val="18"/>
          <w:szCs w:val="18"/>
          <w:color w:val="auto"/>
        </w:rPr>
      </w:pPr>
    </w:p>
    <w:p>
      <w:pPr>
        <w:ind w:left="1320" w:right="60" w:hanging="322"/>
        <w:spacing w:after="0" w:line="256"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47" w:lineRule="exact"/>
        <w:rPr>
          <w:rFonts w:ascii="Arial" w:cs="Arial" w:eastAsia="Arial" w:hAnsi="Arial"/>
          <w:sz w:val="18"/>
          <w:szCs w:val="18"/>
          <w:color w:val="auto"/>
        </w:rPr>
      </w:pPr>
    </w:p>
    <w:p>
      <w:pPr>
        <w:ind w:left="1320" w:right="260" w:hanging="322"/>
        <w:spacing w:after="0" w:line="261"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adequately obtain, protect and maintain our intellectual property rights or prevent third parties from making unauthorized use of such rights.</w:t>
      </w:r>
    </w:p>
    <w:p>
      <w:pPr>
        <w:spacing w:after="0" w:line="143" w:lineRule="exact"/>
        <w:rPr>
          <w:rFonts w:ascii="Arial" w:cs="Arial" w:eastAsia="Arial" w:hAnsi="Arial"/>
          <w:sz w:val="18"/>
          <w:szCs w:val="18"/>
          <w:color w:val="auto"/>
        </w:rPr>
      </w:pPr>
    </w:p>
    <w:p>
      <w:pPr>
        <w:ind w:left="1320" w:right="160" w:hanging="322"/>
        <w:spacing w:after="0" w:line="254"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ectPr>
          <w:pgSz w:w="11900" w:h="16838" w:orient="portrait"/>
          <w:cols w:equalWidth="0" w:num="1">
            <w:col w:w="10580"/>
          </w:cols>
          <w:pgMar w:left="320" w:top="14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80"/>
          </w:cols>
          <w:pgMar w:left="320" w:top="144" w:right="99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73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27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100" w:hanging="322"/>
        <w:spacing w:after="0" w:line="252"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91.5% of the voting power of our capital stock as of March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We were incorporated in August 2011 as a Delaware corporation. Our principal executive offices are located at 5900 Penn Avenue, Pittsburgh, Pennsylvania 15206, and our telephone number is (412) 567-6602. Our website address is www.duolingo.com.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54" w:lineRule="exact"/>
        <w:rPr>
          <w:sz w:val="20"/>
          <w:szCs w:val="20"/>
          <w:color w:val="auto"/>
        </w:rPr>
      </w:pPr>
    </w:p>
    <w:p>
      <w:pPr>
        <w:ind w:left="680" w:right="360"/>
        <w:spacing w:after="0" w:line="268" w:lineRule="auto"/>
        <w:rPr>
          <w:sz w:val="20"/>
          <w:szCs w:val="20"/>
          <w:color w:val="auto"/>
        </w:rPr>
      </w:pPr>
      <w:r>
        <w:rPr>
          <w:rFonts w:ascii="Arial" w:cs="Arial" w:eastAsia="Arial" w:hAnsi="Arial"/>
          <w:sz w:val="18"/>
          <w:szCs w:val="18"/>
          <w:color w:val="auto"/>
        </w:rPr>
        <w:t>The Duolingo word mark, “Duolingo,” and our other registered or common law trademarks, service marks or tradenames appearing in this prospectus are the property of Duolingo, Inc. Solely for convenience, our trademarks, tradenames, and service marks referred to in this prospectus appear without the ®, TM,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07" w:lineRule="exact"/>
        <w:rPr>
          <w:sz w:val="20"/>
          <w:szCs w:val="20"/>
          <w:color w:val="auto"/>
        </w:rPr>
      </w:pPr>
    </w:p>
    <w:p>
      <w:pPr>
        <w:ind w:left="680" w:right="80"/>
        <w:spacing w:after="0" w:line="26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141" w:lineRule="exact"/>
        <w:rPr>
          <w:sz w:val="20"/>
          <w:szCs w:val="20"/>
          <w:color w:val="auto"/>
        </w:rPr>
      </w:pPr>
    </w:p>
    <w:p>
      <w:pPr>
        <w:ind w:left="1320" w:right="80" w:hanging="322"/>
        <w:spacing w:after="0" w:line="256"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present in this prospectus only two years of audited financial statements, plus unaudited condensed financial statements for any interim period, and related management’s discussion and analysis of financial condition and results of operations;</w:t>
      </w:r>
    </w:p>
    <w:p>
      <w:pPr>
        <w:spacing w:after="0" w:line="147" w:lineRule="exact"/>
        <w:rPr>
          <w:rFonts w:ascii="Arial" w:cs="Arial" w:eastAsia="Arial" w:hAnsi="Arial"/>
          <w:sz w:val="18"/>
          <w:szCs w:val="18"/>
          <w:color w:val="auto"/>
        </w:rPr>
      </w:pPr>
    </w:p>
    <w:p>
      <w:pPr>
        <w:ind w:left="1320" w:right="200" w:hanging="322"/>
        <w:spacing w:after="0" w:line="261"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w:t>
      </w:r>
    </w:p>
    <w:p>
      <w:pPr>
        <w:spacing w:after="0" w:line="143" w:lineRule="exact"/>
        <w:rPr>
          <w:rFonts w:ascii="Arial" w:cs="Arial" w:eastAsia="Arial" w:hAnsi="Arial"/>
          <w:sz w:val="18"/>
          <w:szCs w:val="18"/>
          <w:color w:val="auto"/>
        </w:rPr>
      </w:pPr>
    </w:p>
    <w:p>
      <w:pPr>
        <w:ind w:left="1320" w:hanging="322"/>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71" w:lineRule="exact"/>
        <w:rPr>
          <w:rFonts w:ascii="Arial" w:cs="Arial" w:eastAsia="Arial" w:hAnsi="Arial"/>
          <w:sz w:val="18"/>
          <w:szCs w:val="18"/>
          <w:color w:val="auto"/>
        </w:rPr>
      </w:pPr>
    </w:p>
    <w:p>
      <w:pPr>
        <w:ind w:left="1320" w:right="740" w:hanging="322"/>
        <w:spacing w:after="0" w:line="261"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w:t>
      </w:r>
    </w:p>
    <w:p>
      <w:pPr>
        <w:sectPr>
          <w:pgSz w:w="11900" w:h="16838" w:orient="portrait"/>
          <w:cols w:equalWidth="0" w:num="1">
            <w:col w:w="10580"/>
          </w:cols>
          <w:pgMar w:left="320" w:top="14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80"/>
          </w:cols>
          <w:pgMar w:left="320" w:top="144" w:right="99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1830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320" w:top="144" w:right="10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698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981825"/>
                    </a:xfrm>
                    <a:prstGeom prst="rect">
                      <a:avLst/>
                    </a:prstGeom>
                    <a:noFill/>
                  </pic:spPr>
                </pic:pic>
              </a:graphicData>
            </a:graphic>
          </wp:anchor>
        </w:drawing>
      </w:r>
    </w:p>
    <w:p>
      <w:pPr>
        <w:sectPr>
          <w:pgSz w:w="11900" w:h="16838" w:orient="portrait"/>
          <w:cols w:equalWidth="0" w:num="1">
            <w:col w:w="10520"/>
          </w:cols>
          <w:pgMar w:left="320" w:top="144"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The Offering</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A common stock offered by us</w:t>
      </w:r>
    </w:p>
    <w:p>
      <w:pPr>
        <w:spacing w:after="0" w:line="185" w:lineRule="exact"/>
        <w:rPr>
          <w:sz w:val="20"/>
          <w:szCs w:val="20"/>
          <w:color w:val="auto"/>
        </w:rPr>
      </w:pPr>
    </w:p>
    <w:p>
      <w:pPr>
        <w:ind w:left="700" w:right="300"/>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175" w:lineRule="exact"/>
        <w:rPr>
          <w:sz w:val="20"/>
          <w:szCs w:val="20"/>
          <w:color w:val="auto"/>
        </w:rPr>
      </w:pPr>
    </w:p>
    <w:p>
      <w:pPr>
        <w:ind w:left="700" w:right="140"/>
        <w:spacing w:after="0" w:line="241" w:lineRule="auto"/>
        <w:rPr>
          <w:sz w:val="20"/>
          <w:szCs w:val="20"/>
          <w:color w:val="auto"/>
        </w:rPr>
      </w:pPr>
      <w:r>
        <w:rPr>
          <w:rFonts w:ascii="Arial" w:cs="Arial" w:eastAsia="Arial" w:hAnsi="Arial"/>
          <w:sz w:val="17"/>
          <w:szCs w:val="17"/>
          <w:color w:val="auto"/>
        </w:rPr>
        <w:t>Option to purchase additional shares of Class A common stock offered by us</w:t>
      </w:r>
    </w:p>
    <w:p>
      <w:pPr>
        <w:spacing w:after="0" w:line="174" w:lineRule="exact"/>
        <w:rPr>
          <w:sz w:val="20"/>
          <w:szCs w:val="20"/>
          <w:color w:val="auto"/>
        </w:rPr>
      </w:pPr>
    </w:p>
    <w:p>
      <w:pPr>
        <w:ind w:left="700"/>
        <w:spacing w:after="0" w:line="227" w:lineRule="auto"/>
        <w:rPr>
          <w:sz w:val="20"/>
          <w:szCs w:val="20"/>
          <w:color w:val="auto"/>
        </w:rPr>
      </w:pPr>
      <w:r>
        <w:rPr>
          <w:rFonts w:ascii="Arial" w:cs="Arial" w:eastAsia="Arial" w:hAnsi="Arial"/>
          <w:sz w:val="18"/>
          <w:szCs w:val="18"/>
          <w:color w:val="auto"/>
        </w:rPr>
        <w:t>Class A common stock to be outstanding after this offering</w:t>
      </w:r>
    </w:p>
    <w:p>
      <w:pPr>
        <w:spacing w:after="0" w:line="175" w:lineRule="exact"/>
        <w:rPr>
          <w:sz w:val="20"/>
          <w:szCs w:val="20"/>
          <w:color w:val="auto"/>
        </w:rPr>
      </w:pPr>
    </w:p>
    <w:p>
      <w:pPr>
        <w:ind w:left="700"/>
        <w:spacing w:after="0" w:line="227" w:lineRule="auto"/>
        <w:rPr>
          <w:sz w:val="20"/>
          <w:szCs w:val="20"/>
          <w:color w:val="auto"/>
        </w:rPr>
      </w:pPr>
      <w:r>
        <w:rPr>
          <w:rFonts w:ascii="Arial" w:cs="Arial" w:eastAsia="Arial" w:hAnsi="Arial"/>
          <w:sz w:val="18"/>
          <w:szCs w:val="18"/>
          <w:color w:val="auto"/>
        </w:rPr>
        <w:t>Class B common stock to be outstanding after this offering</w:t>
      </w:r>
    </w:p>
    <w:p>
      <w:pPr>
        <w:spacing w:after="0" w:line="175" w:lineRule="exact"/>
        <w:rPr>
          <w:sz w:val="20"/>
          <w:szCs w:val="20"/>
          <w:color w:val="auto"/>
        </w:rPr>
      </w:pPr>
    </w:p>
    <w:p>
      <w:pPr>
        <w:ind w:left="700"/>
        <w:spacing w:after="0" w:line="227" w:lineRule="auto"/>
        <w:rPr>
          <w:sz w:val="20"/>
          <w:szCs w:val="20"/>
          <w:color w:val="auto"/>
        </w:rPr>
      </w:pPr>
      <w:r>
        <w:rPr>
          <w:rFonts w:ascii="Arial" w:cs="Arial" w:eastAsia="Arial" w:hAnsi="Arial"/>
          <w:sz w:val="18"/>
          <w:szCs w:val="18"/>
          <w:color w:val="auto"/>
        </w:rPr>
        <w:t>Total Class A and Class B common stock to be outstanding after this offering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3,700,000 shares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1,406,113 shares</w:t>
      </w:r>
    </w:p>
    <w:p>
      <w:pPr>
        <w:spacing w:after="0" w:line="18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765,916 shares. The underwriters can exercise this option at any time within 30 days from the date of this prospectus.</w:t>
      </w:r>
    </w:p>
    <w:p>
      <w:pPr>
        <w:spacing w:after="0" w:line="17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11,293,655 shares (or 12,059,571 shares if the underwriters exercise their option to purchase additional shares of Class A common stock in full).</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24,598,497 shares</w:t>
      </w:r>
    </w:p>
    <w:p>
      <w:pPr>
        <w:spacing w:after="0" w:line="18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35,892,152 shares (or 36,658,068 shares if the underwriters exercise their option to purchase additional shares of Class A common stock in full).</w:t>
      </w:r>
    </w:p>
    <w:p>
      <w:pPr>
        <w:spacing w:after="0" w:line="174"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We have two classes of common stock, Class A and Class B common stock. The rights of holders of Class A and Class B common stock are identical, except voting and conversion rights. Each share of Class A common stock is entitled to one vote. Each share of Class B common stock is entitled to 20 votes and is convertible at any time into one share of Class A common stock.</w:t>
      </w:r>
    </w:p>
    <w:p>
      <w:pPr>
        <w:spacing w:after="0" w:line="13" w:lineRule="exact"/>
        <w:rPr>
          <w:sz w:val="20"/>
          <w:szCs w:val="20"/>
          <w:color w:val="auto"/>
        </w:rPr>
      </w:pPr>
    </w:p>
    <w:p>
      <w:pPr>
        <w:ind w:right="60"/>
        <w:spacing w:after="0" w:line="209" w:lineRule="auto"/>
        <w:rPr>
          <w:sz w:val="20"/>
          <w:szCs w:val="20"/>
          <w:color w:val="auto"/>
        </w:rPr>
      </w:pPr>
      <w:r>
        <w:rPr>
          <w:rFonts w:ascii="Arial" w:cs="Arial" w:eastAsia="Arial" w:hAnsi="Arial"/>
          <w:sz w:val="18"/>
          <w:szCs w:val="18"/>
          <w:color w:val="auto"/>
        </w:rPr>
        <w:t>The holders of our outstanding Class B common stock will hold 97.8% of the voting power of our outstanding capital stock following this offering, with our directors, executive officers, and 5% stockholders and their respective affiliates holding approximately 91.5% of the voting power. These holders will have the ability to control the outcome of matters submitted to our stockholders for approval, including the election of our directors and the approval of any change of control transaction. See the section titled “Description of Capital Stock” for additional information.</w:t>
      </w:r>
    </w:p>
    <w:p>
      <w:pPr>
        <w:spacing w:after="0" w:line="178"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We estimate that that we will receive net proceeds from this offering of approximately $351.9 million (or $425.6 million if the underwriters exercise their option to purchase additional shares of Class A common stock in full), based upon the initial public offering price of $102.00 per share, after deducting underwriting discounts and commissions and estimated offering expenses payable by us.</w:t>
      </w:r>
    </w:p>
    <w:p>
      <w:pPr>
        <w:spacing w:after="0" w:line="123"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We will not receive any proceeds from the sale of shares of Class A common stock offered by the selling stockholders.</w:t>
      </w:r>
    </w:p>
    <w:p>
      <w:pPr>
        <w:spacing w:after="0" w:line="175" w:lineRule="exact"/>
        <w:rPr>
          <w:sz w:val="20"/>
          <w:szCs w:val="20"/>
          <w:color w:val="auto"/>
        </w:rPr>
      </w:pPr>
    </w:p>
    <w:p>
      <w:pPr>
        <w:ind w:right="80"/>
        <w:spacing w:after="0" w:line="210"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Class A common stock. We currently intend to use the net proceeds from this offering for general corporate purposes, including working capital, operating expenses, and capital expenditures. We will have broad discretion in the way that we use the net proceeds of this offering. See the section titled “Use of Proceeds” for additional information.</w:t>
      </w:r>
    </w:p>
    <w:p>
      <w:pPr>
        <w:spacing w:after="0" w:line="200" w:lineRule="exact"/>
        <w:rPr>
          <w:sz w:val="20"/>
          <w:szCs w:val="20"/>
          <w:color w:val="auto"/>
        </w:rPr>
      </w:pPr>
    </w:p>
    <w:p>
      <w:pPr>
        <w:sectPr>
          <w:pgSz w:w="11900" w:h="16838" w:orient="portrait"/>
          <w:cols w:equalWidth="0" w:num="2">
            <w:col w:w="3960" w:space="220"/>
            <w:col w:w="6340"/>
          </w:cols>
          <w:pgMar w:left="320" w:top="144"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20"/>
          </w:cols>
          <w:pgMar w:left="320" w:top="144" w:right="105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64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00"/>
        <w:spacing w:after="0"/>
        <w:tabs>
          <w:tab w:leader="none" w:pos="41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the section titled “Risk Factors” and the other information included in this</w:t>
      </w:r>
    </w:p>
    <w:p>
      <w:pPr>
        <w:ind w:left="4180" w:right="460"/>
        <w:spacing w:after="0" w:line="227" w:lineRule="auto"/>
        <w:rPr>
          <w:sz w:val="20"/>
          <w:szCs w:val="20"/>
          <w:color w:val="auto"/>
        </w:rPr>
      </w:pPr>
      <w:r>
        <w:rPr>
          <w:rFonts w:ascii="Arial" w:cs="Arial" w:eastAsia="Arial" w:hAnsi="Arial"/>
          <w:sz w:val="18"/>
          <w:szCs w:val="18"/>
          <w:color w:val="auto"/>
        </w:rPr>
        <w:t>prospectus for a discussion of factors you should carefully consider before deciding to invest in shares of our Class A common stock.</w:t>
      </w:r>
    </w:p>
    <w:p>
      <w:pPr>
        <w:spacing w:after="0" w:line="175" w:lineRule="exact"/>
        <w:rPr>
          <w:sz w:val="20"/>
          <w:szCs w:val="20"/>
          <w:color w:val="auto"/>
        </w:rPr>
      </w:pPr>
    </w:p>
    <w:p>
      <w:pPr>
        <w:ind w:left="700"/>
        <w:spacing w:after="0"/>
        <w:tabs>
          <w:tab w:leader="none" w:pos="416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“DUOL”</w:t>
      </w:r>
    </w:p>
    <w:p>
      <w:pPr>
        <w:spacing w:after="0" w:line="279" w:lineRule="exact"/>
        <w:rPr>
          <w:sz w:val="20"/>
          <w:szCs w:val="20"/>
          <w:color w:val="auto"/>
        </w:rPr>
      </w:pPr>
    </w:p>
    <w:p>
      <w:pPr>
        <w:ind w:left="680" w:right="40"/>
        <w:spacing w:after="0" w:line="271" w:lineRule="auto"/>
        <w:rPr>
          <w:sz w:val="20"/>
          <w:szCs w:val="20"/>
          <w:color w:val="auto"/>
        </w:rPr>
      </w:pPr>
      <w:r>
        <w:rPr>
          <w:rFonts w:ascii="Arial" w:cs="Arial" w:eastAsia="Arial" w:hAnsi="Arial"/>
          <w:sz w:val="18"/>
          <w:szCs w:val="18"/>
          <w:color w:val="auto"/>
        </w:rPr>
        <w:t>The number of shares of our common stock to be outstanding after this offering is based on 6,187,542 shares of Class A common stock and 26,004,610 shares of Class B common stock outstanding as of March 31, 2021 (after giving effect to the Transactions (as defined below)), and excludes:</w:t>
      </w:r>
    </w:p>
    <w:p>
      <w:pPr>
        <w:spacing w:after="0" w:line="136" w:lineRule="exact"/>
        <w:rPr>
          <w:sz w:val="20"/>
          <w:szCs w:val="20"/>
          <w:color w:val="auto"/>
        </w:rPr>
      </w:pPr>
    </w:p>
    <w:p>
      <w:pPr>
        <w:ind w:left="1320" w:right="340" w:hanging="322"/>
        <w:spacing w:after="0" w:line="256"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6,736,002 shares of our Class A common stock issuable upon the exercise of options to purchase shares of our Class A common stock that were outstanding as of March 31, 2021, with a weighted-average exercise price of $9.64 per share, pursuant to our 2011 Equity Incentive Plan, as amended (2011 Plan);</w:t>
      </w:r>
    </w:p>
    <w:p>
      <w:pPr>
        <w:spacing w:after="0" w:line="147" w:lineRule="exact"/>
        <w:rPr>
          <w:rFonts w:ascii="Arial" w:cs="Arial" w:eastAsia="Arial" w:hAnsi="Arial"/>
          <w:sz w:val="18"/>
          <w:szCs w:val="18"/>
          <w:color w:val="auto"/>
        </w:rPr>
      </w:pPr>
    </w:p>
    <w:p>
      <w:pPr>
        <w:ind w:left="1320" w:right="340" w:hanging="322"/>
        <w:spacing w:after="0" w:line="256"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1,034,500 shares of our Class B common stock issuable upon the exercise of options to purchase shares of our Class B common stock that were outstanding as of March 31, 2021, with a weighted-average exercise price of $20.17 per share, pursuant to our 2011 Plan;</w:t>
      </w:r>
    </w:p>
    <w:p>
      <w:pPr>
        <w:spacing w:after="0" w:line="147" w:lineRule="exact"/>
        <w:rPr>
          <w:rFonts w:ascii="Arial" w:cs="Arial" w:eastAsia="Arial" w:hAnsi="Arial"/>
          <w:sz w:val="18"/>
          <w:szCs w:val="18"/>
          <w:color w:val="auto"/>
        </w:rPr>
      </w:pPr>
    </w:p>
    <w:p>
      <w:pPr>
        <w:ind w:left="1320" w:right="160" w:hanging="322"/>
        <w:spacing w:after="0" w:line="254"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41,917 shares of our Class A common stock issuable upon the vesting and settlement of restricted stock units (RSUs) outstanding as of March 31, 2021, pursuant to our 2011 Plan, including 1,743 RSUs for which the service-based condition had been satisfied as of March 31, 2021 and the performance-based condition is expected to be satisfied in connection with this offering;</w:t>
      </w:r>
    </w:p>
    <w:p>
      <w:pPr>
        <w:spacing w:after="0" w:line="149" w:lineRule="exact"/>
        <w:rPr>
          <w:rFonts w:ascii="Arial" w:cs="Arial" w:eastAsia="Arial" w:hAnsi="Arial"/>
          <w:sz w:val="18"/>
          <w:szCs w:val="18"/>
          <w:color w:val="auto"/>
        </w:rPr>
      </w:pPr>
    </w:p>
    <w:p>
      <w:pPr>
        <w:ind w:left="1320" w:hanging="322"/>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71,700 shares of our Class A common stock issuable upon the exercise of options to purchase shares of our</w:t>
      </w:r>
    </w:p>
    <w:p>
      <w:pPr>
        <w:spacing w:after="0" w:line="9" w:lineRule="exact"/>
        <w:rPr>
          <w:rFonts w:ascii="Arial" w:cs="Arial" w:eastAsia="Arial" w:hAnsi="Arial"/>
          <w:sz w:val="18"/>
          <w:szCs w:val="18"/>
          <w:color w:val="auto"/>
        </w:rPr>
      </w:pPr>
    </w:p>
    <w:p>
      <w:pPr>
        <w:ind w:left="1320"/>
        <w:spacing w:after="0" w:line="261" w:lineRule="auto"/>
        <w:rPr>
          <w:rFonts w:ascii="Arial" w:cs="Arial" w:eastAsia="Arial" w:hAnsi="Arial"/>
          <w:sz w:val="18"/>
          <w:szCs w:val="18"/>
          <w:color w:val="auto"/>
        </w:rPr>
      </w:pPr>
      <w:r>
        <w:rPr>
          <w:rFonts w:ascii="Arial" w:cs="Arial" w:eastAsia="Arial" w:hAnsi="Arial"/>
          <w:sz w:val="18"/>
          <w:szCs w:val="18"/>
          <w:color w:val="auto"/>
        </w:rPr>
        <w:t>Class A common stock that were granted after March 31, 2021, with an exercise price of $52.80 per share, pursuant to our 2011 Plan;</w:t>
      </w:r>
    </w:p>
    <w:p>
      <w:pPr>
        <w:spacing w:after="0" w:line="143" w:lineRule="exact"/>
        <w:rPr>
          <w:rFonts w:ascii="Arial" w:cs="Arial" w:eastAsia="Arial" w:hAnsi="Arial"/>
          <w:sz w:val="18"/>
          <w:szCs w:val="18"/>
          <w:color w:val="auto"/>
        </w:rPr>
      </w:pPr>
    </w:p>
    <w:p>
      <w:pPr>
        <w:ind w:left="1320" w:right="120" w:hanging="322"/>
        <w:spacing w:after="0" w:line="261"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552,788 shares of our Class A common stock issuable upon the vesting and settlement of RSUs that were granted after March 31, 2021, pursuant to our 2011 Plan;</w:t>
      </w:r>
    </w:p>
    <w:p>
      <w:pPr>
        <w:spacing w:after="0" w:line="143" w:lineRule="exact"/>
        <w:rPr>
          <w:rFonts w:ascii="Arial" w:cs="Arial" w:eastAsia="Arial" w:hAnsi="Arial"/>
          <w:sz w:val="18"/>
          <w:szCs w:val="18"/>
          <w:color w:val="auto"/>
        </w:rPr>
      </w:pPr>
    </w:p>
    <w:p>
      <w:pPr>
        <w:ind w:left="1320" w:right="120" w:hanging="322"/>
        <w:spacing w:after="0" w:line="254"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1,800,000 shares of our Class B common stock issuable upon the vesting and settlement of performance-based RSUs that were granted to Luis von Ahn and Severin Hacker (our Founders) after March 31, 2021, pursuant to our 2011 Plan, as more fully described in the section titled “Executive Compensation—Narrative to Summary Compensation Table—Fiscal 2021 Equity-Based Compensation;”</w:t>
      </w:r>
    </w:p>
    <w:p>
      <w:pPr>
        <w:spacing w:after="0" w:line="149" w:lineRule="exact"/>
        <w:rPr>
          <w:rFonts w:ascii="Arial" w:cs="Arial" w:eastAsia="Arial" w:hAnsi="Arial"/>
          <w:sz w:val="18"/>
          <w:szCs w:val="18"/>
          <w:color w:val="auto"/>
        </w:rPr>
      </w:pPr>
    </w:p>
    <w:p>
      <w:pPr>
        <w:ind w:left="1320" w:right="160" w:hanging="322"/>
        <w:spacing w:after="0" w:line="254"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7,832,000 shares of our Class A common stock reserved for future issuance under our 2021 Incentive Award Plan (2021 Plan), which became effective on the date immediately prior to the date our registration statement of which this prospectus forms a part became effective (and which excludes any potential annual evergreen increases pursuant to the 2021 Plan); and</w:t>
      </w:r>
    </w:p>
    <w:p>
      <w:pPr>
        <w:spacing w:after="0" w:line="149" w:lineRule="exact"/>
        <w:rPr>
          <w:rFonts w:ascii="Arial" w:cs="Arial" w:eastAsia="Arial" w:hAnsi="Arial"/>
          <w:sz w:val="18"/>
          <w:szCs w:val="18"/>
          <w:color w:val="auto"/>
        </w:rPr>
      </w:pPr>
    </w:p>
    <w:p>
      <w:pPr>
        <w:ind w:left="1320" w:right="180" w:hanging="322"/>
        <w:spacing w:after="0" w:line="254"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1,119,000 shares of our Class A common stock reserved for future issuance under our Employee Stock Purchase Plan (ESPP), which became effective on the date immediately prior to the date our registration statement of which this prospectus forms a part became effective (and which excludes any potential annual evergreen increases pursuant to the ESPP).</w:t>
      </w:r>
    </w:p>
    <w:p>
      <w:pPr>
        <w:spacing w:after="0" w:line="163" w:lineRule="exact"/>
        <w:rPr>
          <w:sz w:val="20"/>
          <w:szCs w:val="20"/>
          <w:color w:val="auto"/>
        </w:rPr>
      </w:pPr>
    </w:p>
    <w:p>
      <w:pPr>
        <w:ind w:left="680" w:right="240"/>
        <w:spacing w:after="0" w:line="268" w:lineRule="auto"/>
        <w:rPr>
          <w:sz w:val="20"/>
          <w:szCs w:val="20"/>
          <w:color w:val="auto"/>
        </w:rPr>
      </w:pPr>
      <w:r>
        <w:rPr>
          <w:rFonts w:ascii="Arial" w:cs="Arial" w:eastAsia="Arial" w:hAnsi="Arial"/>
          <w:sz w:val="18"/>
          <w:szCs w:val="18"/>
          <w:color w:val="auto"/>
        </w:rPr>
        <w:t>Our 2021 Plan and ESPP each provide for annual automatic increases in the number of shares reserved thereunder, and our 2021 Plan also provides for increases to the number of shares of Class A common stock that may be granted thereunder based on shares underlying any awards under our 2011 Plan that expire, are forfeited or are otherwise terminated, as more fully described in the section titled “Executive Compensation—Equity Compensation Plans—2021 Incentive Award Plan.”</w:t>
      </w:r>
    </w:p>
    <w:p>
      <w:pPr>
        <w:sectPr>
          <w:pgSz w:w="11900" w:h="16838" w:orient="portrait"/>
          <w:cols w:equalWidth="0" w:num="1">
            <w:col w:w="10540"/>
          </w:cols>
          <w:pgMar w:left="320" w:top="144"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40"/>
          </w:cols>
          <w:pgMar w:left="320" w:top="144" w:right="10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4864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86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71" w:lineRule="exact"/>
        <w:rPr>
          <w:sz w:val="20"/>
          <w:szCs w:val="20"/>
          <w:color w:val="auto"/>
        </w:rPr>
      </w:pPr>
    </w:p>
    <w:p>
      <w:pPr>
        <w:ind w:left="1320" w:right="200" w:hanging="322"/>
        <w:spacing w:after="0" w:line="256"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147" w:lineRule="exact"/>
        <w:rPr>
          <w:rFonts w:ascii="Arial" w:cs="Arial" w:eastAsia="Arial" w:hAnsi="Arial"/>
          <w:sz w:val="18"/>
          <w:szCs w:val="18"/>
          <w:color w:val="auto"/>
        </w:rPr>
      </w:pPr>
    </w:p>
    <w:p>
      <w:pPr>
        <w:ind w:left="1320" w:right="120" w:hanging="322"/>
        <w:spacing w:after="0" w:line="253"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our common stock as of March 31, 2021 into an equal number of shares of our Class A common stock and the subsequent exchange of all shares of Class A common stock held by our Founders into an aggregate of 6,930,334 shares of Class B common stock pursuant to the terms of an exchange agreement entered into with us, each of which will occur prior to completion of this offering (collectively, the Common Stock Reclassification and Exchange);</w:t>
      </w:r>
    </w:p>
    <w:p>
      <w:pPr>
        <w:spacing w:after="0" w:line="151" w:lineRule="exact"/>
        <w:rPr>
          <w:rFonts w:ascii="Arial" w:cs="Arial" w:eastAsia="Arial" w:hAnsi="Arial"/>
          <w:sz w:val="18"/>
          <w:szCs w:val="18"/>
          <w:color w:val="auto"/>
        </w:rPr>
      </w:pPr>
    </w:p>
    <w:p>
      <w:pPr>
        <w:ind w:left="1320" w:hanging="322"/>
        <w:spacing w:after="0" w:line="256"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as of March 31, 2021 into an aggregate of 19,074,276 shares of our Class B common stock, the conversion of which will occur immediately prior to the completion of this offering (the Preferred Stock Conversion);</w:t>
      </w:r>
    </w:p>
    <w:p>
      <w:pPr>
        <w:spacing w:after="0" w:line="147" w:lineRule="exact"/>
        <w:rPr>
          <w:rFonts w:ascii="Arial" w:cs="Arial" w:eastAsia="Arial" w:hAnsi="Arial"/>
          <w:sz w:val="18"/>
          <w:szCs w:val="18"/>
          <w:color w:val="auto"/>
        </w:rPr>
      </w:pPr>
    </w:p>
    <w:p>
      <w:pPr>
        <w:ind w:left="1320" w:right="20" w:hanging="322"/>
        <w:spacing w:after="0" w:line="253"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reclassification of all shares of common stock underlying outstanding equity awards under our 2011 Plan (other than those held by our Founders) into shares of Class A common stock pursuant to an amendment to the 2011 Plan and the amendment of the terms of all outstanding stock options to purchase shares of common stock and RSUs under our 2011 Plan held by our Founders to provide that such awards are exercisable for or settle into shares of Class B common stock, which will occur immediately prior to the completion of this offering;</w:t>
      </w:r>
    </w:p>
    <w:p>
      <w:pPr>
        <w:spacing w:after="0" w:line="151" w:lineRule="exact"/>
        <w:rPr>
          <w:rFonts w:ascii="Arial" w:cs="Arial" w:eastAsia="Arial" w:hAnsi="Arial"/>
          <w:sz w:val="18"/>
          <w:szCs w:val="18"/>
          <w:color w:val="auto"/>
        </w:rPr>
      </w:pPr>
    </w:p>
    <w:p>
      <w:pPr>
        <w:ind w:left="1320" w:hanging="322"/>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options or settlement of outstanding RSUs except as described above; and</w:t>
      </w:r>
    </w:p>
    <w:p>
      <w:pPr>
        <w:spacing w:after="0" w:line="171" w:lineRule="exact"/>
        <w:rPr>
          <w:rFonts w:ascii="Arial" w:cs="Arial" w:eastAsia="Arial" w:hAnsi="Arial"/>
          <w:sz w:val="18"/>
          <w:szCs w:val="18"/>
          <w:color w:val="auto"/>
        </w:rPr>
      </w:pPr>
    </w:p>
    <w:p>
      <w:pPr>
        <w:ind w:left="1320" w:right="140" w:hanging="322"/>
        <w:spacing w:after="0" w:line="261"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765,916 additional shares of our Class A common stock.</w:t>
      </w:r>
    </w:p>
    <w:p>
      <w:pPr>
        <w:spacing w:after="0" w:line="157" w:lineRule="exact"/>
        <w:rPr>
          <w:sz w:val="20"/>
          <w:szCs w:val="20"/>
          <w:color w:val="auto"/>
        </w:rPr>
      </w:pPr>
    </w:p>
    <w:p>
      <w:pPr>
        <w:ind w:left="680" w:right="20"/>
        <w:spacing w:after="0" w:line="271" w:lineRule="auto"/>
        <w:rPr>
          <w:sz w:val="20"/>
          <w:szCs w:val="20"/>
          <w:color w:val="auto"/>
        </w:rPr>
      </w:pPr>
      <w:r>
        <w:rPr>
          <w:rFonts w:ascii="Arial" w:cs="Arial" w:eastAsia="Arial" w:hAnsi="Arial"/>
          <w:sz w:val="18"/>
          <w:szCs w:val="18"/>
          <w:color w:val="auto"/>
        </w:rPr>
        <w:t>Unless otherwise specified or context otherwise requires, we refer to the Common Stock Reclassification and Exchange and the Preferred Stock Conversion, collectively as the “Transactions.” See the section titled “Description of Capital Stock” for additional information regarding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320" w:top="144" w:right="10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3338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333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07" w:lineRule="exact"/>
        <w:rPr>
          <w:sz w:val="20"/>
          <w:szCs w:val="20"/>
          <w:color w:val="auto"/>
        </w:rPr>
      </w:pPr>
    </w:p>
    <w:p>
      <w:pPr>
        <w:ind w:left="680"/>
        <w:spacing w:after="0" w:line="266" w:lineRule="auto"/>
        <w:rPr>
          <w:sz w:val="20"/>
          <w:szCs w:val="20"/>
          <w:color w:val="auto"/>
        </w:rPr>
      </w:pPr>
      <w:r>
        <w:rPr>
          <w:rFonts w:ascii="Arial" w:cs="Arial" w:eastAsia="Arial" w:hAnsi="Arial"/>
          <w:sz w:val="18"/>
          <w:szCs w:val="18"/>
          <w:color w:val="auto"/>
        </w:rPr>
        <w:t>The following tables summarize our consolidated financial and other data. The summary consolidated statements of operations data for the years ended December 31, 2019 and 2020 have been derived from our audited consolidated financial statements included elsewhere in this prospectus. We derived our summary consolidated statements of operations data for the three months ended March 31, 2020 and 2021 and the summary consolidated balance sheet data as of March 31, 2021 from our unaudited interim consolidated financial statements included elsewhere in this prospectus. In our opinion, the unaudited interim consolidated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results to be expected in the future and our interim results are not necessarily indicative of the results that may be expected for the full fiscal year or any other future period. You should read the following summary consolidated financial and other data in conjunction with the section titled “Management's Discussion and Analysis of Financial Condition and Results of Operations” and our consolidated financial statements and related notes included elsewhere in this prospectus. The summary consolidated financial and other data in this section are not intended to replace, and are qualified in their entirety by,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320" w:top="144" w:right="107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539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27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4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161,696</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28,112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DBDBDB"/>
            </w:tcBorders>
            <w:gridSpan w:val="2"/>
          </w:tcPr>
          <w:p>
            <w:pPr>
              <w:ind w:left="40"/>
              <w:spacing w:after="0"/>
              <w:rPr>
                <w:sz w:val="20"/>
                <w:szCs w:val="20"/>
                <w:color w:val="auto"/>
              </w:rPr>
            </w:pPr>
            <w:r>
              <w:rPr>
                <w:rFonts w:ascii="Arial" w:cs="Arial" w:eastAsia="Arial" w:hAnsi="Arial"/>
                <w:sz w:val="18"/>
                <w:szCs w:val="18"/>
                <w:color w:val="auto"/>
              </w:rPr>
              <w:t>Cost of revenues(1)(2)</w:t>
            </w:r>
          </w:p>
        </w:tc>
        <w:tc>
          <w:tcPr>
            <w:tcW w:w="14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45,987</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15,019</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115,709</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19,898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3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Research and development(1)</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53,024</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22,529</w:t>
            </w:r>
          </w:p>
        </w:tc>
        <w:tc>
          <w:tcPr>
            <w:tcW w:w="0" w:type="dxa"/>
            <w:vAlign w:val="bottom"/>
          </w:tcPr>
          <w:p>
            <w:pPr>
              <w:spacing w:after="0"/>
              <w:rPr>
                <w:sz w:val="1"/>
                <w:szCs w:val="1"/>
                <w:color w:val="auto"/>
              </w:rPr>
            </w:pPr>
          </w:p>
        </w:tc>
      </w:tr>
      <w:tr>
        <w:trPr>
          <w:trHeight w:val="229"/>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Sales and marketing(1)(2)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34,983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General and administrative(1)</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43,713</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29"/>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Impairment of capitalized software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DBDBDB"/>
            </w:tcBorders>
            <w:gridSpan w:val="2"/>
            <w:shd w:val="clear" w:color="auto" w:fill="DBDBDB"/>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1120" w:type="dxa"/>
            <w:vAlign w:val="bottom"/>
            <w:tcBorders>
              <w:top w:val="single" w:sz="8" w:color="auto"/>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64,148</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160" w:type="dxa"/>
            <w:vAlign w:val="bottom"/>
            <w:tcBorders>
              <w:top w:val="single" w:sz="8" w:color="auto"/>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131,720</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22,353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2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(16,011)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w w:val="93"/>
              </w:rPr>
              <w:t>233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DBDBDB"/>
            </w:tcBorders>
            <w:gridSpan w:val="2"/>
          </w:tcPr>
          <w:p>
            <w:pPr>
              <w:ind w:left="4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(15,708)</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w w:val="99"/>
              </w:rPr>
              <w:t>68</w:t>
            </w:r>
          </w:p>
        </w:tc>
        <w:tc>
          <w:tcPr>
            <w:tcW w:w="8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(15,776)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0"/>
        </w:trPr>
        <w:tc>
          <w:tcPr>
            <w:tcW w:w="340" w:type="dxa"/>
            <w:vAlign w:val="bottom"/>
            <w:tcBorders>
              <w:bottom w:val="single" w:sz="8" w:color="DBDBDB"/>
            </w:tcBorders>
          </w:tcPr>
          <w:p>
            <w:pPr>
              <w:spacing w:after="0" w:line="20" w:lineRule="exact"/>
              <w:rPr>
                <w:sz w:val="1"/>
                <w:szCs w:val="1"/>
                <w:color w:val="auto"/>
              </w:rPr>
            </w:pPr>
          </w:p>
        </w:tc>
        <w:tc>
          <w:tcPr>
            <w:tcW w:w="3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Basic and diluted net loss per share(3)</w:t>
            </w:r>
          </w:p>
        </w:tc>
        <w:tc>
          <w:tcPr>
            <w:tcW w:w="14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(1.24)</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920" w:type="dxa"/>
            <w:vAlign w:val="bottom"/>
            <w:tcBorders>
              <w:top w:val="single" w:sz="8" w:color="DBDBDB"/>
              <w:bottom w:val="single" w:sz="8" w:color="DBDBDB"/>
            </w:tcBorders>
            <w:gridSpan w:val="2"/>
            <w:vMerge w:val="restart"/>
          </w:tcPr>
          <w:p>
            <w:pPr>
              <w:ind w:left="40"/>
              <w:spacing w:after="0" w:line="176" w:lineRule="exact"/>
              <w:rPr>
                <w:sz w:val="20"/>
                <w:szCs w:val="20"/>
                <w:color w:val="auto"/>
              </w:rPr>
            </w:pPr>
            <w:r>
              <w:rPr>
                <w:rFonts w:ascii="Arial" w:cs="Arial" w:eastAsia="Arial" w:hAnsi="Arial"/>
                <w:sz w:val="18"/>
                <w:szCs w:val="18"/>
                <w:color w:val="auto"/>
                <w:w w:val="99"/>
              </w:rPr>
              <w:t>Weighted-average shares used in computing net</w:t>
            </w:r>
          </w:p>
        </w:tc>
        <w:tc>
          <w:tcPr>
            <w:tcW w:w="1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loss per share attributable to common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12,735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12,403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190"/>
        </w:trPr>
        <w:tc>
          <w:tcPr>
            <w:tcW w:w="392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stockholders, basic and diluted (3)</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DBDBDB"/>
            </w:tcBorders>
          </w:tcPr>
          <w:p>
            <w:pPr>
              <w:spacing w:after="0" w:line="20" w:lineRule="exact"/>
              <w:rPr>
                <w:sz w:val="1"/>
                <w:szCs w:val="1"/>
                <w:color w:val="auto"/>
              </w:rPr>
            </w:pPr>
          </w:p>
        </w:tc>
        <w:tc>
          <w:tcPr>
            <w:tcW w:w="3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gridSpan w:val="2"/>
            <w:shd w:val="clear" w:color="auto" w:fill="DBDBDB"/>
          </w:tcPr>
          <w:p>
            <w:pPr>
              <w:ind w:left="40"/>
              <w:spacing w:after="0" w:line="155" w:lineRule="exact"/>
              <w:rPr>
                <w:sz w:val="20"/>
                <w:szCs w:val="20"/>
                <w:color w:val="auto"/>
              </w:rPr>
            </w:pPr>
            <w:r>
              <w:rPr>
                <w:rFonts w:ascii="Arial" w:cs="Arial" w:eastAsia="Arial" w:hAnsi="Arial"/>
                <w:sz w:val="17"/>
                <w:szCs w:val="17"/>
                <w:color w:val="auto"/>
              </w:rPr>
              <w:t>Pro forma net loss per share attributable to</w:t>
            </w:r>
          </w:p>
        </w:tc>
        <w:tc>
          <w:tcPr>
            <w:tcW w:w="14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gridSpan w:val="2"/>
            <w:shd w:val="clear" w:color="auto" w:fill="DBDBDB"/>
          </w:tcPr>
          <w:p>
            <w:pPr>
              <w:ind w:left="200"/>
              <w:spacing w:after="0" w:line="176" w:lineRule="exact"/>
              <w:rPr>
                <w:sz w:val="20"/>
                <w:szCs w:val="20"/>
                <w:color w:val="auto"/>
              </w:rPr>
            </w:pPr>
            <w:r>
              <w:rPr>
                <w:rFonts w:ascii="Arial" w:cs="Arial" w:eastAsia="Arial" w:hAnsi="Arial"/>
                <w:sz w:val="18"/>
                <w:szCs w:val="18"/>
                <w:color w:val="auto"/>
              </w:rPr>
              <w:t>common stockholders—basic and diluted</w:t>
            </w:r>
          </w:p>
        </w:tc>
        <w:tc>
          <w:tcPr>
            <w:tcW w:w="1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vMerge w:val="restart"/>
            <w:shd w:val="clear" w:color="auto" w:fill="DBDBDB"/>
          </w:tcPr>
          <w:p>
            <w:pPr>
              <w:jc w:val="right"/>
              <w:ind w:right="20"/>
              <w:spacing w:after="0"/>
              <w:rPr>
                <w:sz w:val="20"/>
                <w:szCs w:val="20"/>
                <w:color w:val="auto"/>
              </w:rPr>
            </w:pPr>
            <w:r>
              <w:rPr>
                <w:rFonts w:ascii="Arial" w:cs="Arial" w:eastAsia="Arial" w:hAnsi="Arial"/>
                <w:sz w:val="18"/>
                <w:szCs w:val="18"/>
                <w:color w:val="auto"/>
              </w:rPr>
              <w:t>(0.68)</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DBDBDB"/>
            </w:tcBorders>
            <w:gridSpan w:val="2"/>
            <w:shd w:val="clear" w:color="auto" w:fill="DBDBDB"/>
          </w:tcPr>
          <w:p>
            <w:pPr>
              <w:ind w:left="200"/>
              <w:spacing w:after="0" w:line="190" w:lineRule="exact"/>
              <w:rPr>
                <w:sz w:val="20"/>
                <w:szCs w:val="20"/>
                <w:color w:val="auto"/>
              </w:rPr>
            </w:pPr>
            <w:r>
              <w:rPr>
                <w:rFonts w:ascii="Arial" w:cs="Arial" w:eastAsia="Arial" w:hAnsi="Arial"/>
                <w:sz w:val="18"/>
                <w:szCs w:val="18"/>
                <w:color w:val="auto"/>
              </w:rPr>
              <w:t>(unaudited)(4)</w:t>
            </w:r>
          </w:p>
        </w:tc>
        <w:tc>
          <w:tcPr>
            <w:tcW w:w="14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vMerge w:val="continue"/>
            <w:shd w:val="clear" w:color="auto" w:fill="DBDBDB"/>
          </w:tcPr>
          <w:p>
            <w:pPr>
              <w:spacing w:after="0"/>
              <w:rPr>
                <w:sz w:val="18"/>
                <w:szCs w:val="18"/>
                <w:color w:val="auto"/>
              </w:rPr>
            </w:pPr>
          </w:p>
        </w:tc>
        <w:tc>
          <w:tcPr>
            <w:tcW w:w="1160" w:type="dxa"/>
            <w:vAlign w:val="bottom"/>
            <w:tcBorders>
              <w:bottom w:val="single" w:sz="8" w:color="auto"/>
            </w:tcBorders>
            <w:gridSpan w:val="4"/>
            <w:vMerge w:val="continue"/>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1220" w:type="dxa"/>
            <w:vAlign w:val="bottom"/>
            <w:tcBorders>
              <w:bottom w:val="single" w:sz="8" w:color="auto"/>
            </w:tcBorders>
            <w:gridSpan w:val="2"/>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DBDBDB"/>
              <w:bottom w:val="single" w:sz="8" w:color="DBDBDB"/>
            </w:tcBorders>
            <w:gridSpan w:val="2"/>
            <w:vMerge w:val="restart"/>
          </w:tcPr>
          <w:p>
            <w:pPr>
              <w:ind w:left="40"/>
              <w:spacing w:after="0" w:line="176" w:lineRule="exact"/>
              <w:rPr>
                <w:sz w:val="20"/>
                <w:szCs w:val="20"/>
                <w:color w:val="auto"/>
              </w:rPr>
            </w:pPr>
            <w:r>
              <w:rPr>
                <w:rFonts w:ascii="Arial" w:cs="Arial" w:eastAsia="Arial" w:hAnsi="Arial"/>
                <w:sz w:val="18"/>
                <w:szCs w:val="18"/>
                <w:color w:val="auto"/>
                <w:w w:val="99"/>
              </w:rPr>
              <w:t>Weighted-average shares used in computing pro</w:t>
            </w:r>
          </w:p>
        </w:tc>
        <w:tc>
          <w:tcPr>
            <w:tcW w:w="1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6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forma net loss per share attributable to common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31,809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190"/>
        </w:trPr>
        <w:tc>
          <w:tcPr>
            <w:tcW w:w="3920" w:type="dxa"/>
            <w:vAlign w:val="bottom"/>
            <w:gridSpan w:val="2"/>
          </w:tcPr>
          <w:p>
            <w:pPr>
              <w:ind w:left="200"/>
              <w:spacing w:after="0" w:line="190" w:lineRule="exact"/>
              <w:rPr>
                <w:sz w:val="20"/>
                <w:szCs w:val="20"/>
                <w:color w:val="auto"/>
              </w:rPr>
            </w:pPr>
            <w:r>
              <w:rPr>
                <w:rFonts w:ascii="Arial" w:cs="Arial" w:eastAsia="Arial" w:hAnsi="Arial"/>
                <w:sz w:val="18"/>
                <w:szCs w:val="18"/>
                <w:color w:val="auto"/>
                <w:w w:val="99"/>
              </w:rPr>
              <w:t>stockholders—basic and diluted (unaudited)(4)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color w:val="auto"/>
              </w:rPr>
              <w:t>_________________</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9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060" w:type="dxa"/>
            <w:vAlign w:val="bottom"/>
            <w:gridSpan w:val="3"/>
          </w:tcPr>
          <w:p>
            <w:pPr>
              <w:ind w:left="20"/>
              <w:spacing w:after="0"/>
              <w:rPr>
                <w:sz w:val="20"/>
                <w:szCs w:val="20"/>
                <w:color w:val="auto"/>
              </w:rPr>
            </w:pPr>
            <w:r>
              <w:rPr>
                <w:rFonts w:ascii="Arial" w:cs="Arial" w:eastAsia="Arial" w:hAnsi="Arial"/>
                <w:sz w:val="14"/>
                <w:szCs w:val="14"/>
                <w:color w:val="auto"/>
              </w:rPr>
              <w:t>(1)  Includes stock-based compensation expenses as follows: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7"/>
          </w:tcPr>
          <w:p>
            <w:pPr>
              <w:jc w:val="right"/>
              <w:ind w:right="496"/>
              <w:spacing w:after="0"/>
              <w:rPr>
                <w:sz w:val="20"/>
                <w:szCs w:val="20"/>
                <w:color w:val="auto"/>
              </w:rPr>
            </w:pPr>
            <w:r>
              <w:rPr>
                <w:rFonts w:ascii="Arial" w:cs="Arial" w:eastAsia="Arial" w:hAnsi="Arial"/>
                <w:sz w:val="13"/>
                <w:szCs w:val="13"/>
                <w:b w:val="1"/>
                <w:bCs w:val="1"/>
                <w:color w:val="auto"/>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8"/>
          </w:tcPr>
          <w:p>
            <w:pPr>
              <w:jc w:val="right"/>
              <w:ind w:right="710"/>
              <w:spacing w:after="0"/>
              <w:rPr>
                <w:sz w:val="20"/>
                <w:szCs w:val="20"/>
                <w:color w:val="auto"/>
              </w:rPr>
            </w:pPr>
            <w:r>
              <w:rPr>
                <w:rFonts w:ascii="Arial" w:cs="Arial" w:eastAsia="Arial" w:hAnsi="Arial"/>
                <w:sz w:val="13"/>
                <w:szCs w:val="13"/>
                <w:b w:val="1"/>
                <w:bCs w:val="1"/>
                <w:color w:val="auto"/>
                <w:w w:val="97"/>
              </w:rPr>
              <w:t>Three Months Ended March 31,</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380" w:type="dxa"/>
            <w:vAlign w:val="bottom"/>
            <w:gridSpan w:val="3"/>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3,725</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1,154</w:t>
            </w:r>
          </w:p>
        </w:tc>
        <w:tc>
          <w:tcPr>
            <w:tcW w:w="380" w:type="dxa"/>
            <w:vAlign w:val="bottom"/>
            <w:gridSpan w:val="3"/>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2,551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000" w:right="540"/>
        <w:spacing w:after="0" w:line="258"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w:t>
      </w:r>
    </w:p>
    <w:p>
      <w:pPr>
        <w:spacing w:after="0" w:line="140" w:lineRule="exact"/>
        <w:rPr>
          <w:sz w:val="20"/>
          <w:szCs w:val="20"/>
          <w:color w:val="auto"/>
        </w:rPr>
      </w:pPr>
    </w:p>
    <w:p>
      <w:pPr>
        <w:ind w:left="680"/>
        <w:spacing w:after="0"/>
        <w:tabs>
          <w:tab w:leader="none" w:pos="960"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15" w:lineRule="exact"/>
        <w:rPr>
          <w:sz w:val="20"/>
          <w:szCs w:val="20"/>
          <w:color w:val="auto"/>
        </w:rPr>
      </w:pPr>
    </w:p>
    <w:tbl>
      <w:tblPr>
        <w:tblLayout w:type="fixed"/>
        <w:tblInd w:w="1000" w:type="dxa"/>
        <w:tblCellMar>
          <w:top w:w="0" w:type="dxa"/>
          <w:left w:w="0" w:type="dxa"/>
          <w:bottom w:w="0" w:type="dxa"/>
          <w:right w:w="0" w:type="dxa"/>
        </w:tblCellMar>
      </w:tblPr>
      <w:tr>
        <w:trPr>
          <w:trHeight w:val="177"/>
        </w:trPr>
        <w:tc>
          <w:tcPr>
            <w:tcW w:w="3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5"/>
          </w:tcPr>
          <w:p>
            <w:pPr>
              <w:ind w:left="30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5"/>
                <w:szCs w:val="15"/>
                <w:color w:val="auto"/>
              </w:rPr>
            </w:pPr>
          </w:p>
        </w:tc>
        <w:tc>
          <w:tcPr>
            <w:tcW w:w="2480" w:type="dxa"/>
            <w:vAlign w:val="bottom"/>
            <w:gridSpan w:val="4"/>
          </w:tcPr>
          <w:p>
            <w:pPr>
              <w:jc w:val="right"/>
              <w:ind w:right="370"/>
              <w:spacing w:after="0"/>
              <w:rPr>
                <w:sz w:val="20"/>
                <w:szCs w:val="20"/>
                <w:color w:val="auto"/>
              </w:rPr>
            </w:pPr>
            <w:r>
              <w:rPr>
                <w:rFonts w:ascii="Arial" w:cs="Arial" w:eastAsia="Arial" w:hAnsi="Arial"/>
                <w:sz w:val="13"/>
                <w:szCs w:val="13"/>
                <w:b w:val="1"/>
                <w:bCs w:val="1"/>
                <w:color w:val="auto"/>
              </w:rPr>
              <w:t>Three Months Ended March 31,</w:t>
            </w:r>
          </w:p>
        </w:tc>
      </w:tr>
      <w:tr>
        <w:trPr>
          <w:trHeight w:val="175"/>
        </w:trPr>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2021</w:t>
            </w:r>
          </w:p>
        </w:tc>
      </w:tr>
      <w:tr>
        <w:trPr>
          <w:trHeight w:val="183"/>
        </w:trPr>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207"/>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35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320" w:right="40" w:hanging="322"/>
        <w:spacing w:after="0" w:line="258" w:lineRule="auto"/>
        <w:tabs>
          <w:tab w:leader="none" w:pos="13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 and selling and marketing for revenue and non-revenue generating capitalized software, respectively.</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60"/>
          </w:cols>
          <w:pgMar w:left="320" w:top="144" w:right="101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093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0" w:right="420" w:hanging="326"/>
        <w:spacing w:after="0" w:line="249" w:lineRule="auto"/>
        <w:tabs>
          <w:tab w:leader="none" w:pos="987"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 13 to our audited consolidated financial statements and Note 12 to our unaudited interim condensed consolidated financial statements included elsewhere in this prospectus for an explanation of the method used to calculate our basic and diluted net loss per share attributable to common stockholders.</w:t>
      </w:r>
    </w:p>
    <w:p>
      <w:pPr>
        <w:spacing w:after="0" w:line="146" w:lineRule="exact"/>
        <w:rPr>
          <w:rFonts w:ascii="Arial" w:cs="Arial" w:eastAsia="Arial" w:hAnsi="Arial"/>
          <w:sz w:val="14"/>
          <w:szCs w:val="14"/>
          <w:color w:val="auto"/>
        </w:rPr>
      </w:pPr>
    </w:p>
    <w:p>
      <w:pPr>
        <w:ind w:left="1000" w:right="120" w:hanging="326"/>
        <w:spacing w:after="0" w:line="249" w:lineRule="auto"/>
        <w:tabs>
          <w:tab w:leader="none" w:pos="987"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presented the unaudited pro forma basic and diluted net loss per share which has been computed to give effect to the conversion of our stock-based awards and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146"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The following table sets forth the computation of our unaudited pro forma basic and diluted net loss per share:</w:t>
      </w:r>
    </w:p>
    <w:tbl>
      <w:tblPr>
        <w:tblLayout w:type="fixed"/>
        <w:tblInd w:w="700" w:type="dxa"/>
        <w:tblCellMar>
          <w:top w:w="0" w:type="dxa"/>
          <w:left w:w="0" w:type="dxa"/>
          <w:bottom w:w="0" w:type="dxa"/>
          <w:right w:w="0" w:type="dxa"/>
        </w:tblCellMar>
      </w:tblPr>
      <w:tr>
        <w:trPr>
          <w:trHeight w:val="145"/>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040" w:type="dxa"/>
            <w:vAlign w:val="bottom"/>
            <w:gridSpan w:val="4"/>
          </w:tcPr>
          <w:p>
            <w:pPr>
              <w:jc w:val="right"/>
              <w:ind w:right="129"/>
              <w:spacing w:after="0" w:line="145" w:lineRule="exact"/>
              <w:rPr>
                <w:sz w:val="20"/>
                <w:szCs w:val="20"/>
                <w:color w:val="auto"/>
              </w:rPr>
            </w:pPr>
            <w:r>
              <w:rPr>
                <w:rFonts w:ascii="Arial" w:cs="Arial" w:eastAsia="Arial" w:hAnsi="Arial"/>
                <w:sz w:val="13"/>
                <w:szCs w:val="13"/>
                <w:b w:val="1"/>
                <w:bCs w:val="1"/>
                <w:color w:val="auto"/>
                <w:w w:val="97"/>
              </w:rPr>
              <w:t>Year Ended December 31,Three Months Ended</w:t>
            </w:r>
          </w:p>
        </w:tc>
        <w:tc>
          <w:tcPr>
            <w:tcW w:w="0" w:type="dxa"/>
            <w:vAlign w:val="bottom"/>
          </w:tcPr>
          <w:p>
            <w:pPr>
              <w:spacing w:after="0"/>
              <w:rPr>
                <w:sz w:val="1"/>
                <w:szCs w:val="1"/>
                <w:color w:val="auto"/>
              </w:rPr>
            </w:pPr>
          </w:p>
        </w:tc>
      </w:tr>
      <w:tr>
        <w:trPr>
          <w:trHeight w:val="175"/>
        </w:trPr>
        <w:tc>
          <w:tcPr>
            <w:tcW w:w="6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March 31, 2021</w:t>
            </w:r>
          </w:p>
        </w:tc>
        <w:tc>
          <w:tcPr>
            <w:tcW w:w="0" w:type="dxa"/>
            <w:vAlign w:val="bottom"/>
          </w:tcPr>
          <w:p>
            <w:pPr>
              <w:spacing w:after="0"/>
              <w:rPr>
                <w:sz w:val="1"/>
                <w:szCs w:val="1"/>
                <w:color w:val="auto"/>
              </w:rPr>
            </w:pPr>
          </w:p>
        </w:tc>
      </w:tr>
      <w:tr>
        <w:trPr>
          <w:trHeight w:val="169"/>
        </w:trPr>
        <w:tc>
          <w:tcPr>
            <w:tcW w:w="620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(15,776)$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(13,472)</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shd w:val="clear" w:color="auto" w:fill="DBDBDB"/>
          </w:tcPr>
          <w:p>
            <w:pPr>
              <w:spacing w:after="0"/>
              <w:rPr>
                <w:sz w:val="20"/>
                <w:szCs w:val="20"/>
                <w:color w:val="auto"/>
              </w:rPr>
            </w:pPr>
            <w:r>
              <w:rPr>
                <w:rFonts w:ascii="Arial" w:cs="Arial" w:eastAsia="Arial" w:hAnsi="Arial"/>
                <w:sz w:val="14"/>
                <w:szCs w:val="14"/>
                <w:color w:val="auto"/>
              </w:rPr>
              <w:t>forma adjustment for RSU compensation expense(a)</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Pro forma adjustment for executive stock option compensation expense(b)</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4"/>
                <w:szCs w:val="14"/>
                <w:color w:val="auto"/>
              </w:rPr>
              <w:t>forma net loss</w:t>
            </w:r>
          </w:p>
        </w:tc>
        <w:tc>
          <w:tcPr>
            <w:tcW w:w="340" w:type="dxa"/>
            <w:vAlign w:val="bottom"/>
            <w:tcBorders>
              <w:top w:val="single" w:sz="8" w:color="DBDBDB"/>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(21,607)</w:t>
            </w:r>
          </w:p>
        </w:tc>
        <w:tc>
          <w:tcPr>
            <w:tcW w:w="100" w:type="dxa"/>
            <w:vAlign w:val="bottom"/>
            <w:tcBorders>
              <w:top w:val="single" w:sz="8" w:color="DBDBDB"/>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(19,345)</w:t>
            </w: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590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Weighted-average shares used in computing net loss per share attributable to common</w:t>
            </w:r>
          </w:p>
        </w:tc>
        <w:tc>
          <w:tcPr>
            <w:tcW w:w="34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12,735</w:t>
            </w:r>
          </w:p>
        </w:tc>
        <w:tc>
          <w:tcPr>
            <w:tcW w:w="10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ind w:right="9"/>
              <w:spacing w:after="0"/>
              <w:rPr>
                <w:sz w:val="20"/>
                <w:szCs w:val="20"/>
                <w:color w:val="auto"/>
              </w:rPr>
            </w:pPr>
            <w:r>
              <w:rPr>
                <w:rFonts w:ascii="Arial" w:cs="Arial" w:eastAsia="Arial" w:hAnsi="Arial"/>
                <w:sz w:val="14"/>
                <w:szCs w:val="14"/>
                <w:color w:val="auto"/>
              </w:rPr>
              <w:t>12,916</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stockholders, basic and diluted</w:t>
            </w:r>
          </w:p>
        </w:tc>
        <w:tc>
          <w:tcPr>
            <w:tcW w:w="340" w:type="dxa"/>
            <w:vAlign w:val="bottom"/>
            <w:shd w:val="clear" w:color="auto" w:fill="DBDBDB"/>
          </w:tcPr>
          <w:p>
            <w:pPr>
              <w:spacing w:after="0"/>
              <w:rPr>
                <w:sz w:val="14"/>
                <w:szCs w:val="14"/>
                <w:color w:val="auto"/>
              </w:rPr>
            </w:pPr>
          </w:p>
        </w:tc>
        <w:tc>
          <w:tcPr>
            <w:tcW w:w="13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Pro forma adjustment to reflect assumed vesting and settlement of RSUs(c)</w:t>
            </w:r>
          </w:p>
        </w:tc>
        <w:tc>
          <w:tcPr>
            <w:tcW w:w="3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shd w:val="clear" w:color="auto" w:fill="DBDBDB"/>
          </w:tcPr>
          <w:p>
            <w:pPr>
              <w:spacing w:after="0"/>
              <w:rPr>
                <w:sz w:val="20"/>
                <w:szCs w:val="20"/>
                <w:color w:val="auto"/>
              </w:rPr>
            </w:pPr>
            <w:r>
              <w:rPr>
                <w:rFonts w:ascii="Arial" w:cs="Arial" w:eastAsia="Arial" w:hAnsi="Arial"/>
                <w:sz w:val="14"/>
                <w:szCs w:val="14"/>
                <w:color w:val="auto"/>
              </w:rPr>
              <w:t>forma adjustment to reflect assumed conversion of convertible preferred stock</w:t>
            </w:r>
          </w:p>
        </w:tc>
        <w:tc>
          <w:tcPr>
            <w:tcW w:w="340" w:type="dxa"/>
            <w:vAlign w:val="bottom"/>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19,074</w:t>
            </w:r>
          </w:p>
        </w:tc>
        <w:tc>
          <w:tcPr>
            <w:tcW w:w="100" w:type="dxa"/>
            <w:vAlign w:val="bottom"/>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19,074</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900" w:type="dxa"/>
            <w:vAlign w:val="bottom"/>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 basic and diluted</w:t>
            </w:r>
          </w:p>
        </w:tc>
        <w:tc>
          <w:tcPr>
            <w:tcW w:w="34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31,809</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31,992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9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shd w:val="clear" w:color="auto" w:fill="DBDBDB"/>
          </w:tcPr>
          <w:p>
            <w:pPr>
              <w:spacing w:after="0"/>
              <w:rPr>
                <w:sz w:val="20"/>
                <w:szCs w:val="20"/>
                <w:color w:val="auto"/>
              </w:rPr>
            </w:pPr>
            <w:r>
              <w:rPr>
                <w:rFonts w:ascii="Arial" w:cs="Arial" w:eastAsia="Arial" w:hAnsi="Arial"/>
                <w:sz w:val="14"/>
                <w:szCs w:val="14"/>
                <w:color w:val="auto"/>
              </w:rPr>
              <w:t>forma net loss per share, basic and diluted</w:t>
            </w:r>
          </w:p>
        </w:tc>
        <w:tc>
          <w:tcPr>
            <w:tcW w:w="34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1320" w:right="80" w:hanging="322"/>
        <w:spacing w:after="0" w:line="249" w:lineRule="auto"/>
        <w:tabs>
          <w:tab w:leader="none" w:pos="13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stock-based compensation expenses related to RSUs subject to both a service-based vesting condition and a performance-based vesting condition, where the performance-based vesting condition will be satisfied in connection with this offering. There was $1.2 million and $1.4 million of unrecognized expense as of December 31, 2020 and March 31, 2021 remaining after the pro forma RSU compensation expense.</w:t>
      </w:r>
    </w:p>
    <w:p>
      <w:pPr>
        <w:spacing w:after="0" w:line="146" w:lineRule="exact"/>
        <w:rPr>
          <w:rFonts w:ascii="Arial" w:cs="Arial" w:eastAsia="Arial" w:hAnsi="Arial"/>
          <w:sz w:val="14"/>
          <w:szCs w:val="14"/>
          <w:color w:val="auto"/>
        </w:rPr>
      </w:pPr>
    </w:p>
    <w:p>
      <w:pPr>
        <w:ind w:left="1320" w:right="40" w:hanging="322"/>
        <w:spacing w:after="0" w:line="249" w:lineRule="auto"/>
        <w:tabs>
          <w:tab w:leader="none" w:pos="13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compensation expense for stock options granted to our executive officers whereby the vesting accelerates in connection with this offering. There was $2.9 million and $2.5 million of unrecognized expense remaining as of December 31, 2020 and March 31, 2021, respectively, after giving effect to the pro forma stock-based compensation expense.</w:t>
      </w:r>
    </w:p>
    <w:p>
      <w:pPr>
        <w:spacing w:after="0" w:line="146" w:lineRule="exact"/>
        <w:rPr>
          <w:rFonts w:ascii="Arial" w:cs="Arial" w:eastAsia="Arial" w:hAnsi="Arial"/>
          <w:sz w:val="14"/>
          <w:szCs w:val="14"/>
          <w:color w:val="auto"/>
        </w:rPr>
      </w:pPr>
    </w:p>
    <w:p>
      <w:pPr>
        <w:ind w:left="1320" w:hanging="322"/>
        <w:spacing w:after="0" w:line="249" w:lineRule="auto"/>
        <w:tabs>
          <w:tab w:leader="none" w:pos="1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RSUs that have vested as of December 31, 2020 and March 31, 2021 for which the service-based vesting condition had been satisfied as of December 31, 2020 and March 31, 2021, respectively, and for which the performance-based vesting condition will be satisfied in connection with this offering.</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Consolidated Balance Sheet Data:</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2"/>
                <w:szCs w:val="12"/>
                <w:color w:val="auto"/>
              </w:rPr>
            </w:pPr>
          </w:p>
        </w:tc>
        <w:tc>
          <w:tcPr>
            <w:tcW w:w="11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Pro Forma(1)</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5500" w:type="dxa"/>
            <w:vAlign w:val="bottom"/>
            <w:tcBorders>
              <w:bottom w:val="single" w:sz="8" w:color="DBDBDB"/>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Adjusted(2)</w:t>
            </w:r>
          </w:p>
        </w:tc>
        <w:tc>
          <w:tcPr>
            <w:tcW w:w="0" w:type="dxa"/>
            <w:vAlign w:val="bottom"/>
          </w:tcPr>
          <w:p>
            <w:pPr>
              <w:spacing w:after="0"/>
              <w:rPr>
                <w:sz w:val="1"/>
                <w:szCs w:val="1"/>
                <w:color w:val="auto"/>
              </w:rPr>
            </w:pPr>
          </w:p>
        </w:tc>
      </w:tr>
      <w:tr>
        <w:trPr>
          <w:trHeight w:val="223"/>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469,347</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426,804</w:t>
            </w: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176,874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176,874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528,762</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DBDBDB"/>
            </w:tcBorders>
          </w:tcPr>
          <w:p>
            <w:pPr>
              <w:ind w:left="40"/>
              <w:spacing w:after="0"/>
              <w:rPr>
                <w:sz w:val="20"/>
                <w:szCs w:val="20"/>
                <w:color w:val="auto"/>
              </w:rPr>
            </w:pPr>
            <w:r>
              <w:rPr>
                <w:rFonts w:ascii="Arial" w:cs="Arial" w:eastAsia="Arial" w:hAnsi="Arial"/>
                <w:sz w:val="18"/>
                <w:szCs w:val="18"/>
                <w:color w:val="auto"/>
              </w:rPr>
              <w:t>Total deferred revenues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65,262</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65,262</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65,262</w:t>
            </w:r>
          </w:p>
        </w:tc>
        <w:tc>
          <w:tcPr>
            <w:tcW w:w="0" w:type="dxa"/>
            <w:vAlign w:val="bottom"/>
          </w:tcPr>
          <w:p>
            <w:pPr>
              <w:spacing w:after="0"/>
              <w:rPr>
                <w:sz w:val="1"/>
                <w:szCs w:val="1"/>
                <w:color w:val="auto"/>
              </w:rPr>
            </w:pPr>
          </w:p>
        </w:tc>
      </w:tr>
      <w:tr>
        <w:trPr>
          <w:trHeight w:val="243"/>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(97,785)</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84,826</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436,715</w:t>
            </w:r>
          </w:p>
        </w:tc>
        <w:tc>
          <w:tcPr>
            <w:tcW w:w="0" w:type="dxa"/>
            <w:vAlign w:val="bottom"/>
          </w:tcPr>
          <w:p>
            <w:pPr>
              <w:spacing w:after="0"/>
              <w:rPr>
                <w:sz w:val="1"/>
                <w:szCs w:val="1"/>
                <w:color w:val="auto"/>
              </w:rPr>
            </w:pPr>
          </w:p>
        </w:tc>
      </w:tr>
      <w:tr>
        <w:trPr>
          <w:trHeight w:val="20"/>
        </w:trPr>
        <w:tc>
          <w:tcPr>
            <w:tcW w:w="55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000" w:right="580" w:hanging="326"/>
        <w:spacing w:after="0" w:line="258" w:lineRule="auto"/>
        <w:tabs>
          <w:tab w:leader="none" w:pos="98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balance sheet data reflects (a) the Transactions as if such Transactions had occurred on March 31, 2021, and (b) the filing and effectiveness of our amended and restated certificate of incorporation, which will occur immediately prior to the completion of this offering.</w:t>
      </w:r>
    </w:p>
    <w:p>
      <w:pPr>
        <w:spacing w:after="0" w:line="139" w:lineRule="exact"/>
        <w:rPr>
          <w:rFonts w:ascii="Arial" w:cs="Arial" w:eastAsia="Arial" w:hAnsi="Arial"/>
          <w:sz w:val="14"/>
          <w:szCs w:val="14"/>
          <w:color w:val="auto"/>
        </w:rPr>
      </w:pPr>
    </w:p>
    <w:p>
      <w:pPr>
        <w:ind w:left="1000" w:right="120" w:hanging="326"/>
        <w:spacing w:after="0" w:line="249" w:lineRule="auto"/>
        <w:tabs>
          <w:tab w:leader="none" w:pos="98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(a) the pro forma adjustments set forth in footnote (1) above and (b) our sale and issuance of 3,700,000 shares of our Class A common stock in this offering at the initial public offering price per share of $102.00, after deducting underwriting discounts and commissions and estimated offering expenses payable by us.</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60"/>
          </w:cols>
          <w:pgMar w:left="320" w:top="144" w:right="101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170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17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left="680"/>
        <w:spacing w:after="0" w:line="267"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With respect to MAUs and DAUs, along with paid subscribers, these operating metrics help inform management about the underlying growth in users of our platform, and are a measure of our monetization efforts with respect to Duolingo Plus. Other companies, including companies in our industry, may calculate these measures differently or not at all, which reduces their usefulness as comparative measures. See “Selected Consolidated Financial and Other Data —Key Operating Metrics and Non-GAAP Financial Measures” for additional information on the operating metrics and non-GAAP financial measures set forth below, including a reconciliation of the non-GAAP financial measures, Adjusted EBITDA and free cash flow, to the most directly comparable financial measure calculated in accordance with GAAP.</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77"/>
        </w:trPr>
        <w:tc>
          <w:tcPr>
            <w:tcW w:w="4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5"/>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2560" w:type="dxa"/>
            <w:vAlign w:val="bottom"/>
            <w:gridSpan w:val="4"/>
          </w:tcPr>
          <w:p>
            <w:pPr>
              <w:jc w:val="right"/>
              <w:ind w:right="412"/>
              <w:spacing w:after="0"/>
              <w:rPr>
                <w:sz w:val="20"/>
                <w:szCs w:val="20"/>
                <w:color w:val="auto"/>
              </w:rPr>
            </w:pPr>
            <w:r>
              <w:rPr>
                <w:rFonts w:ascii="Arial" w:cs="Arial" w:eastAsia="Arial" w:hAnsi="Arial"/>
                <w:sz w:val="13"/>
                <w:szCs w:val="13"/>
                <w:b w:val="1"/>
                <w:bCs w:val="1"/>
                <w:color w:val="auto"/>
              </w:rPr>
              <w:t>Three Months Ended March 31,</w:t>
            </w:r>
          </w:p>
        </w:tc>
      </w:tr>
      <w:tr>
        <w:trPr>
          <w:trHeight w:val="189"/>
        </w:trPr>
        <w:tc>
          <w:tcPr>
            <w:tcW w:w="4060" w:type="dxa"/>
            <w:vAlign w:val="bottom"/>
            <w:tcBorders>
              <w:bottom w:val="single" w:sz="8" w:color="DBDBDB"/>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dollar amounts in thousands)</w:t>
            </w: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09"/>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Operating Metrics</w:t>
            </w:r>
          </w:p>
        </w:tc>
        <w:tc>
          <w:tcPr>
            <w:tcW w:w="3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Monthly active users (MAUs)(1)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Daily active users (DAUs)(2)</w:t>
            </w: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Paid subscribers(3)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Subscription bookings(4)</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50,466</w:t>
            </w: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Total bookings(5)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190,181</w:t>
            </w:r>
          </w:p>
        </w:tc>
        <w:tc>
          <w:tcPr>
            <w:tcW w:w="8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36,880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65,830</w:t>
            </w:r>
          </w:p>
        </w:tc>
      </w:tr>
      <w:tr>
        <w:trPr>
          <w:trHeight w:val="108"/>
        </w:trPr>
        <w:tc>
          <w:tcPr>
            <w:tcW w:w="4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Non-GAAP Financial Measures</w:t>
            </w: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Net loss (GAAP)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(15,776)</w:t>
            </w:r>
          </w:p>
        </w:tc>
        <w:tc>
          <w:tcPr>
            <w:tcW w:w="8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(13,472)</w:t>
            </w:r>
          </w:p>
        </w:tc>
      </w:tr>
      <w:tr>
        <w:trPr>
          <w:trHeight w:val="229"/>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Adjusted EBITDA(6)</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w:t>
            </w:r>
          </w:p>
        </w:tc>
      </w:tr>
      <w:tr>
        <w:trPr>
          <w:trHeight w:val="338"/>
        </w:trPr>
        <w:tc>
          <w:tcPr>
            <w:tcW w:w="4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(GAAP)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17,708</w:t>
            </w:r>
          </w:p>
        </w:tc>
        <w:tc>
          <w:tcPr>
            <w:tcW w:w="8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Free cash flow(7)</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3,825</w:t>
            </w: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000" w:right="80" w:hanging="326"/>
        <w:spacing w:after="0" w:line="249"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46" w:lineRule="exact"/>
        <w:rPr>
          <w:rFonts w:ascii="Arial" w:cs="Arial" w:eastAsia="Arial" w:hAnsi="Arial"/>
          <w:sz w:val="14"/>
          <w:szCs w:val="14"/>
          <w:color w:val="auto"/>
        </w:rPr>
      </w:pPr>
    </w:p>
    <w:p>
      <w:pPr>
        <w:ind w:left="1000" w:right="20" w:hanging="326"/>
        <w:spacing w:after="0" w:line="249"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DAUs are defined as unique Duolingo users who engage with our mobile language learning application or the 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146" w:lineRule="exact"/>
        <w:rPr>
          <w:rFonts w:ascii="Arial" w:cs="Arial" w:eastAsia="Arial" w:hAnsi="Arial"/>
          <w:sz w:val="14"/>
          <w:szCs w:val="14"/>
          <w:color w:val="auto"/>
        </w:rPr>
      </w:pPr>
    </w:p>
    <w:p>
      <w:pPr>
        <w:jc w:val="both"/>
        <w:ind w:left="1000" w:right="160" w:hanging="326"/>
        <w:spacing w:after="0" w:line="249"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Paid subscribers are defined as users who pay for access to Duolingo Plus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146" w:lineRule="exact"/>
        <w:rPr>
          <w:rFonts w:ascii="Arial" w:cs="Arial" w:eastAsia="Arial" w:hAnsi="Arial"/>
          <w:sz w:val="14"/>
          <w:szCs w:val="14"/>
          <w:color w:val="auto"/>
        </w:rPr>
      </w:pPr>
    </w:p>
    <w:p>
      <w:pPr>
        <w:ind w:left="980" w:hanging="306"/>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pacing w:after="0" w:line="163" w:lineRule="exact"/>
        <w:rPr>
          <w:rFonts w:ascii="Arial" w:cs="Arial" w:eastAsia="Arial" w:hAnsi="Arial"/>
          <w:sz w:val="14"/>
          <w:szCs w:val="14"/>
          <w:color w:val="auto"/>
        </w:rPr>
      </w:pPr>
    </w:p>
    <w:p>
      <w:pPr>
        <w:ind w:left="1000" w:right="100" w:hanging="326"/>
        <w:spacing w:after="0" w:line="258"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9" w:lineRule="exact"/>
        <w:rPr>
          <w:rFonts w:ascii="Arial" w:cs="Arial" w:eastAsia="Arial" w:hAnsi="Arial"/>
          <w:sz w:val="14"/>
          <w:szCs w:val="14"/>
          <w:color w:val="auto"/>
        </w:rPr>
      </w:pPr>
    </w:p>
    <w:p>
      <w:pPr>
        <w:ind w:left="1000" w:hanging="326"/>
        <w:spacing w:after="0" w:line="258"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EBITDA is defined as net loss excluding interest (income) expense, net, income tax provision, depreciation and amortization, IPO and public company readiness costs, stock-based compensation expense, tender offer-related costs, other expenses, and the impairment of capitalized software.</w:t>
      </w:r>
    </w:p>
    <w:p>
      <w:pPr>
        <w:spacing w:after="0" w:line="139" w:lineRule="exact"/>
        <w:rPr>
          <w:rFonts w:ascii="Arial" w:cs="Arial" w:eastAsia="Arial" w:hAnsi="Arial"/>
          <w:sz w:val="14"/>
          <w:szCs w:val="14"/>
          <w:color w:val="auto"/>
        </w:rPr>
      </w:pPr>
    </w:p>
    <w:p>
      <w:pPr>
        <w:ind w:left="1000" w:right="220" w:hanging="326"/>
        <w:spacing w:after="0" w:line="258"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Free cash flow is defined as net cash provided by operating activities, reduced by capital expenditures and capitalized software development costs, and increased by IPO and public company readiness costs.</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60"/>
          </w:cols>
          <w:pgMar w:left="320" w:top="144" w:right="1019" w:bottom="1440" w:gutter="0" w:footer="0" w:header="0"/>
          <w:type w:val="continuous"/>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If any of the risks actually occur, our business, results of operations, financial condition and prospects could be harmed. In that event, the trading price of our Class A common stock could decline, and you could lose part or all of your investment. Additional risks and uncertainties not presently known to us or that we currently deem immaterial also may impair our business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3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4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and the sharing of user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other subjects or have concerns related to security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w:t>
      </w:r>
    </w:p>
    <w:p>
      <w:pPr>
        <w:spacing w:after="0" w:line="17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if we introduce new products or services, or make changes to existing products and services, that are not favorably received;</w:t>
      </w:r>
    </w:p>
    <w:p>
      <w:pPr>
        <w:spacing w:after="0" w:line="14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a decrease in user stickiness as a result of users no longer being interested in pursuing online language learning or reaching a point where they feel our product cannot advance their language ability;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143"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143"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 rate slows or declines, we will become increasingly dependent on our ability to maintain or increase levels of user engagement and monetization in order to drive revenue growth.</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4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4"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as a result, our past results may not be indicative of future operating performance.</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each year since our inception and we may not achieve or maintain profitability in the future.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May 31, 2021, our headcount grew from approximately 140 employees to over 400 employees. Further, as we grow, our business becomes increasingly complex. To effectively manage and capitalize on our growth, we must continue to expand our sales and marketing, focus on innovative product and content development, upgrade our management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13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13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143"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errors in our forecasting of the demand for our products and services, which could lead to lower revenue or increased costs,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9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143" w:lineRule="exact"/>
        <w:rPr>
          <w:rFonts w:ascii="Arial" w:cs="Arial" w:eastAsia="Arial" w:hAnsi="Arial"/>
          <w:sz w:val="18"/>
          <w:szCs w:val="18"/>
          <w:color w:val="auto"/>
        </w:rPr>
      </w:pPr>
    </w:p>
    <w:p>
      <w:pPr>
        <w:ind w:left="660" w:right="48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business or macroeconomic conditions, including the impact of the current COVID-19 outbreak, lower consumer confidence in our business or in the online learning industry generally, recessionary conditions, increased unemployment rates, stagnant or declining wages, political unrest, armed conflicts, or natural disasters.</w:t>
      </w:r>
    </w:p>
    <w:p>
      <w:pPr>
        <w:spacing w:after="0" w:line="16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4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We pay Apple and Google, as applicable, a meaningful share (generally 30%) of the revenue we receive from transactions processed through in-app payment systems. In 2020, we derived 51% of our revenue and 53% of our total bookings from the Apple App Store, and 19% of our revenue and 20% of our total bookings from the Google Play Store. The timing of their payments also may change, which may negatively impact our cash receipts and working capital. While we do not anticipate any interruption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their distribution platforms or ability to accept customer payments, any such disruptions, even temporary, may have material impacts on our business and operations.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2020 Apple announced that a version update of iOS 14 will require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Based on statements from Apple, we anticipate these changes will take effect in 2021. We are continuing to evaluate how these rules or announced changes may affect our business, operations and financial results.</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36"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5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Any failure, disruption or interference with our use of hosted cloud computing services and systems provided by third-parties, like AWS or Google Cloud, could adversely impact our business, financial condition or results of operations. In addition, since many of the technical specialists responsible for managing disruptions to our technology infrastructure are working from home in accordance with shelter-in-place orders issued due to the COVID-19 pandemic, the time required to remedy any interruption may increase.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1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44" w:right="3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In 2020, approximately 17%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and enhance returns for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As of April 2021, Apple has deployed further changes, requiring its users with a version of iOS 14 (and presumably future iOS versions) to opt into the use of identifier-for-advertising on a per app basis.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The impact of these operating systems changes or potential future regulation on targeted advertising is highly uncertain.</w:t>
      </w:r>
    </w:p>
    <w:p>
      <w:pPr>
        <w:spacing w:after="0" w:line="11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years ended December 31, 2019 and 2020, our sales and marketing expenses were $15.0 million and $35.0 million, respectively. For the three months ended March 31, 2020 and 2021, our sales and marketing expenses were $5.5 million and $19.8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may make decisions regarding our business and products in accordance with Duolingo’s mission and values that may reduce our short-or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could engage in misconduct that materially adversely affects us.”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44"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goals, as well as our business, financial condition, and results of operations generally, could be materially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seriously harm our business, brand image or reputation.”</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the acceptance by educational organizations of technology-based education does not continue to grow, or if technology-based education is discouraged by educational organizations, it could have a material adverse effect on our business.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success depends in part upon the continued adoption by educational organizations, such as schools, of technology-based education initiatives, including online learning. Some educators utilize our language learning application or Duolingo for Schools, our free web-based tool for teachers, as part of their curriculums or as a supplement to their curriculums. Based on a 2020 survey, we believe that almost 40% of foreign language teachers in US K-12 schools use Duolingo in their classrooms in some form. However, some academics and educators oppose online education in principle and have expressed concerns regarding the perceived loss of control over the education process that could result from offering or utilizing courses online. If the acceptance of technology-based education does not continue to grow, or if schools and other educational organizations do not continue to utilize our language learning application in the classroom or do not promote the utilization of our language learning application outside of the classroom, our ability to continue to grow our language learning application could be impaired.</w:t>
      </w:r>
    </w:p>
    <w:p>
      <w:pPr>
        <w:spacing w:after="0" w:line="12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44"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reduce or eliminate reliance on standardized testing, it would have a material adverse effect on our Duolingo English Test business, which could adversely affect our revenues and results of operations.</w:t>
      </w:r>
    </w:p>
    <w:p>
      <w:pPr>
        <w:spacing w:after="0" w:line="1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13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4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14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(such as the COVID-19 pandemic) or the threat of any of these events; and</w:t>
      </w:r>
    </w:p>
    <w:p>
      <w:pPr>
        <w:spacing w:after="0" w:line="143"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44" w:right="3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Our office of approximately 17 employees in Beijing makes it easier for the Chinese authorities to bring enforcement actions against us.</w:t>
      </w:r>
    </w:p>
    <w:p>
      <w:pPr>
        <w:spacing w:after="0" w:line="1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10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business and results of operations may be materially adversely affected by the recent COVID-19 pandemic or other similar outbreaks.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some of these measures have been relaxed over the past few months in certain parts of the world, ongoing social distancing measures, and future prevention and mitigation measures, as well as the potential for some of these measures to be reinstituted in the event of repeat waves of the virus, are likely to have an adverse impact on global economic conditions and consumer confidence and spending, and could materially adversely affect demand, or users’ ability to pay, for our products and services.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public health epidemic or pandemic, including COVID-19,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outbreak, we have taken several precautions that may adversely impact employee productivity, such as requiring employees to work remotely, imposing travel restrictions, and temporarily closing office locations.</w:t>
      </w:r>
    </w:p>
    <w:p>
      <w:pPr>
        <w:spacing w:after="0" w:line="1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widespread epidemic, pandemic or other health crisis could also cause significant volatility in global markets. The COVID-19 outbreak has caused disruption in financial markets, which if it continues or intensifies, could reduce our ability to access capital and thereby negatively impact our liquidity.</w:t>
      </w:r>
    </w:p>
    <w:p>
      <w:pPr>
        <w:spacing w:after="0" w:line="149"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We intend to continue to execute on our strategic plans and operational initiatives during the COVID-19 outbreak;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outbreak could increase the magnitude of many of the other risks described in this prospectus,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5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54" w:lineRule="exact"/>
        <w:rPr>
          <w:sz w:val="20"/>
          <w:szCs w:val="20"/>
          <w:color w:val="auto"/>
        </w:rPr>
      </w:pPr>
    </w:p>
    <w:p>
      <w:pPr>
        <w:jc w:val="both"/>
        <w:ind w:right="620"/>
        <w:spacing w:after="0" w:line="271"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320" w:top="144" w:right="39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5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work with our payment service providers to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49"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For example, under the Payment Services Regulation 2017, banks and other payment services providers are expected to develop and implement by September 14, 2021 strong customer authentication to check that the person requesting access to an account or trying to make a payment is permitted to do so. This could materially adversely affect our payment authorization rate and user journey.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44" w:right="37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 Security breaches, improper access to or disclosure of our data or user data, other hacking and phishing attacks on our systems, or other cyber incidents could compromise sensitive information related to our business and/or personal data processed by us or on our behalf and expose us to liability, which could harm our reputation and materially adversely affect our business.”</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13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24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5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 opportunity estimates and expectations about market growth included in this prospectus are subject to significant uncertainty and are based on assumptions and estimates that may not prove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320" w:top="144" w:right="4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accurate. Even if the markets in which we compete meet the size estimates and growth expectations included in this prospectus, our business could fail to grow for a variety of reasons, which could adversely affect our results of operations.</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4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44" w:right="37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are subject to rules and regulations of the United States and abroad relating to export controls and economic sanctions, including, but not limited to, trade sanctions administered by the Office of Foreign Assets Control within the US Department of the Treasury, as well as the Export Administration Regulations administered by the Department of Commerce. These regulations limit our ability to market, sell, distribute or otherwise transfer our products or technology to prohibited countries or persons.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Further, we have historically provided services to users in Iran, Cuba and Syria, countries that are presently the subject of comprehensive sanctions by the US government (Sanctioned Countries). We believe our provision of such services is either in compliance with generally available exemptions from sanctions laws or otherwise in compliance with applicable law, and have implemented various control mechanisms designed to prevent unauthorized dealings with Sanctioned Countries.</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1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success depends, in part, on our ability to access, collect, and use personal data about our users and payers, and to comply with applicable data privacy laws.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impose obligations on our ability to share data with others, and potentially subject us to fines, lawsuits, and regulatory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4"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 £17.5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16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 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1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56"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6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5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2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“Business—Legal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5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 paying for our services, which could materially adversely affect our business, financial condition and results of operations.</w:t>
      </w:r>
    </w:p>
    <w:p>
      <w:pPr>
        <w:spacing w:after="0" w:line="15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 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4" w:right="3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entered into such agreements with each party that has or may have had access to our proprietary 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5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5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44" w:right="37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13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this offering, there has not been a public trading market for shares of our Class A common stock. The initial public offering price per share of Class A common stock was determined by agreement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us, the selling stockholders and the representative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our company will lead to the development of an active trading market on the Nasdaq Global Select Market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151"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In addition, we currently anticipate that up to 1% of the shares of Class A common stock offered hereby will, at our request, be offered to retail investors through Robinhood Financial, LLC, as a selling group member, via its online brokerage platform. There may be risks associated with the use of the Robinhood platform that we cannot foresee, including risks related to the technology and operation of the platform, and the publicity and the use of social media by users of the platform that we cannot control.</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34"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53"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7" w:lineRule="exact"/>
        <w:rPr>
          <w:sz w:val="20"/>
          <w:szCs w:val="20"/>
          <w:color w:val="auto"/>
        </w:rPr>
      </w:pPr>
    </w:p>
    <w:p>
      <w:pPr>
        <w:ind w:right="144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reports on us, we could lose visibility in the financial markets, which in turn could cause our Class A common stock price or trading volume to decline and our Class A common stock to be less liquid.</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91.5% of the voting power of our capital stock as of March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has 20 votes per share, and our Class A common stock, which is the stock that is being sold in this offering, has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vote per share. As of March 31, 2021, our directors, executive officers, and 5% stockholders and their affiliates held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aggregate 91.5% of the voting power of our capital stock. Because of the 20-to-one voting ratio between our Class B and Class A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the holders of our Class B common stock collectively could continue to control a significant percentage of the combined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and therefore be able to control all matters submitted to our stockholders for approval until all outstanding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Class A and Class B common stock have converted automatically into shares of a single class of common stock. This concentrated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limit or preclude your ability to influence corporate matters for the foreseeable future, including the election of directors, amendments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and any merger, consolidation, sale of all or substantially all of our assets, or other major corporate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 requiring stockholder approval. In addition, this may prevent or discourage unsolicited acquisition proposals or offers for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stock that you may believe are in your best interest as one of our stockholders.</w:t>
      </w:r>
    </w:p>
    <w:p>
      <w:pPr>
        <w:spacing w:after="0" w:line="1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this offering, any future issuances of Class B common stock would be dilutive to holders of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4"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from this offering and may not use the net proceeds effectively.</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management will have broad discretion in the application of the net proceeds of this offering, which may include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suffer immediate and substantial dilution.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initial public offering price per share of Class A common stock will be substantially higher than our pro forma net tangible book value per share immediately after this offering.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the section entitled “Dilution.”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144" w:right="39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our common stock in the public market could cause the market price of our common stock to drop significantly, even if our business is doing well.</w:t>
      </w:r>
    </w:p>
    <w:p>
      <w:pPr>
        <w:spacing w:after="0" w:line="15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or the perception that these sales might occur in large quantities, could cause the market price of our Class A common stock to decline and could impair our ability to raise capital through the sale of additional equity securities. Upon the closing of this offering, based on the number of shares outstanding as of March 31, 2021, we will have 11,293,655 shares of Class A common stock outstanding and 24,598,497 shares of Class B common stock outstanding.</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(the “lock-up period”), except with the prior written consent of Goldman Sachs &amp; Co. LLC. Notwithstanding the foregoing, certain shares may automatically be released during the lock-up period pursuant to certain conditions being met. See “Shares Eligible for Future Sale” for a discussion of certain early release and other exceptions to transfer restrictions that would allow for sales during the lock-up period.</w:t>
      </w:r>
    </w:p>
    <w:p>
      <w:pPr>
        <w:spacing w:after="0" w:line="15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 See the section titled “Shares Eligible for Future Sale” for additional information regarding shares of our Class A common stock that will be eligible for resale after this offering.</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Moreover, following this offering, the holders of up to 17,668,163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as described in the section of this prospectus entitled “Description of Capital Stock—Registration Rights.” Any registration statement we file to register additional shares, whether as a result of registration rights or otherwise, could cause the market price of our Class A common stock to decline or be volatile.</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Further, as of March 31, 2021, we had options outstanding that, if fully exercised, would result in the issuance of 6,736,002 shares of Class A common stock and 1,034,500 shares of Class B common stock, as well as 41,917 shares of Class A common stock issuable upon vesting and settlement of outstanding RSUs. After March 31, 2021, we issued additional options exercisable for 71,700 shares of Class A common stock and additional RSUs representing the right to receive an aggregate of 552,788 shares of Class A common stock upon vesting. We intend to file a registration statement on Form S-8 under the Securities Act to register the shares of our common stock subject to outstanding stock options and RSUs as of the date of this prospectus and shares that will be issuable pursuant to future awards granted under our equity incentive plan. Once we register these shares, they can be freely sold in the public market upon issuance, subject to applicable vesting requirements, compliance by affiliates with Rule 144, the market stand-off provisions and lock-up agreements described in the section of this prospectus entitled “Underwriting,” and other restrictions provided under the terms of the applicable plan and/or the award agreements entered into with participants.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substantial dilution to our existing stockholders and cause the trading price of our Class A common stock to decline.</w:t>
      </w:r>
    </w:p>
    <w:p>
      <w:pPr>
        <w:spacing w:after="0" w:line="14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only paid one dividend in our history and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 For more information, see the section titled “Management’s Discussion and Analysis of Financial Condition and Results of Operations—Liquidity and Capital Resources.”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provide for:</w:t>
      </w:r>
    </w:p>
    <w:p>
      <w:pPr>
        <w:spacing w:after="0" w:line="13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right="20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147"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44" w:right="37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separate series, to adopt, amend, or repeal certain provisions of our restated certificate of incorporation;</w:t>
      </w:r>
    </w:p>
    <w:p>
      <w:pPr>
        <w:spacing w:after="0" w:line="171" w:lineRule="exact"/>
        <w:rPr>
          <w:sz w:val="20"/>
          <w:szCs w:val="20"/>
          <w:color w:val="auto"/>
        </w:rPr>
      </w:pPr>
    </w:p>
    <w:p>
      <w:pPr>
        <w:ind w:left="660" w:right="34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14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provide that we will indemnify our directors and officers, in each case to the fullest extent permitted by Delaware law.</w:t>
      </w:r>
    </w:p>
    <w:p>
      <w:pPr>
        <w:spacing w:after="0" w:line="14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36" w:lineRule="exact"/>
        <w:rPr>
          <w:sz w:val="20"/>
          <w:szCs w:val="20"/>
          <w:color w:val="auto"/>
        </w:rPr>
      </w:pPr>
    </w:p>
    <w:p>
      <w:pPr>
        <w:ind w:left="660" w:right="60" w:hanging="328"/>
        <w:spacing w:after="0" w:line="273"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6" w:lineRule="exact"/>
        <w:rPr>
          <w:rFonts w:ascii="Arial" w:cs="Arial" w:eastAsia="Arial" w:hAnsi="Arial"/>
          <w:sz w:val="17"/>
          <w:szCs w:val="17"/>
          <w:color w:val="auto"/>
        </w:rPr>
      </w:pPr>
    </w:p>
    <w:p>
      <w:pPr>
        <w:ind w:left="660" w:right="1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520" w:hanging="328"/>
        <w:spacing w:after="0" w:line="291"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9" w:lineRule="exact"/>
        <w:rPr>
          <w:rFonts w:ascii="Arial" w:cs="Arial" w:eastAsia="Arial" w:hAnsi="Arial"/>
          <w:sz w:val="17"/>
          <w:szCs w:val="17"/>
          <w:color w:val="auto"/>
        </w:rPr>
      </w:pPr>
    </w:p>
    <w:p>
      <w:pPr>
        <w:ind w:left="660" w:right="2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6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and relief from various reporting requirements that are applicable to other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4" w:right="37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may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results of operations, and financial condition.</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As a public company, we will incur significant legal, accounting, and other expenses that we have not incurred as a private company. We will be subject to the reporting requirements of the Securities Exchange Act of 1934, as amended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 w:right="37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2022.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including performing the evaluation needed to comply with Section 404, we will need to implement additional financial and management controls, reporting systems and procedures and hire additional accounting and finance staff.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3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5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fiscal year 2019, we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2020, we established a remediation plan to address our material weakness and we have been actively engaged in the implementation of remediation efforts to address the material weakness. As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our commitment we have hired a complement of personnel, have established a risk assessment process, established reviews over journal entries and third party reported information and continue to evaluate the additional internal controls we have designed during 2020 and 2021. When we are satisfied these internal controls associated with the material weakness have operated within our business for a sufficient period of time, we will determine if we have remediated our material weakness. We have not been required to provide a management assessment of internal controls under section 404(a) of the Sarbanes-Oxley Act. It is possible that if we had a 404(a) assessment, additional material weaknesses may have been identified. Additionally, our registered independent public accounting firm has not been engaged to perform an audit of our internal controls over financial reporting.</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future, it is possible that additional material weaknesses or significant deficiencies may be identified that we may be unable to remedy before the requisite deadline for those reports. Our ability to comply with the annual internal control reporting requirements will depend on the effectiveness of our financial reporting and data systems and controls across our company.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our stock price.</w:t>
      </w:r>
    </w:p>
    <w:p>
      <w:pPr>
        <w:spacing w:after="0" w:line="1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44" w:right="3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and could require significant investment in systems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139"/>
          </w:cols>
          <w:pgMar w:left="320" w:top="144" w:right="1440"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3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future operating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 including our ability to grow our business in the countries we have identified as near-term priorities;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offerings and services to meet those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manage expansion into international markets and new industries;</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 and our expectations regarding various laws and restrictions that relate to our business;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 w:right="3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w:t>
      </w:r>
    </w:p>
    <w:p>
      <w:pPr>
        <w:spacing w:after="0" w:line="1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Among others, we refer to estimates compiled by the following industry sources:</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Global Web Index,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GSV Ventures, a venture capital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Comscore, a media measurement and analytics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eMarketer (Insider Intelligence Inc.),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 Annie Intelligence,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GSMA Intelligence (GSMA), an industry organization that represents the interests of mobile network operators worldwide;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Harris Poll,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HolonIQ, a market research and intelligence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 a marketing analytics company.</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independently verified the market and industry data from these third-party sources and thus the accuracy and completeness of such information cannot be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estimate that we will receive net proceeds to us from this offering of approximately $351.9 million (or $425.6 million if the underwriters exercise their option to purchase additional shares of Class A common stock in full), based upon the initial public offering price of $102.00 per share, and after deducting underwriting discounts and commissions and estimated offering expenses payable by us. We will not receive any proceeds from the sale of shares of our Class A common stock by the selling stockholders.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Class A common stock.</w:t>
      </w:r>
    </w:p>
    <w:p>
      <w:pPr>
        <w:spacing w:after="0" w:line="143"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w:t>
      </w:r>
    </w:p>
    <w:p>
      <w:pPr>
        <w:spacing w:after="0" w:line="149"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our results of operations, financial condition,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and cash equivalents, as well as our capitalization, as of March 31, 2021 as follows:</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giving effect to (1) the Transactions as if such Transactions had occurred on March 31, 2021, and (2) the filing and effectiveness of our amended and restated certificate of incorporation in Delaware, which will occur immediately prior to the completion of this offering; and</w:t>
      </w:r>
    </w:p>
    <w:p>
      <w:pPr>
        <w:spacing w:after="0" w:line="93"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(1) the pro forma adjustments set forth above and (2) our sale and issuance of 3,700,000 shares of our Class A common stock in this offering at the initial public offering price per share of $102.00, after deducting underwriting discounts and commissions and estimated offering expenses payable by us.</w:t>
      </w:r>
    </w:p>
    <w:p>
      <w:pPr>
        <w:spacing w:after="0" w:line="9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information below is illustrative only, and our cash and cash equivalents, additional paid-in capital, accumulated deficit, total stockholders’ (deficit) equity, and total capitalization following the closing of this offering will be adjusted based on the actual initial public offering price and other terms of the offering determined at the pricing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2"/>
                <w:szCs w:val="12"/>
                <w:color w:val="auto"/>
              </w:rPr>
            </w:pPr>
          </w:p>
        </w:tc>
        <w:tc>
          <w:tcPr>
            <w:tcW w:w="128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66"/>
        </w:trPr>
        <w:tc>
          <w:tcPr>
            <w:tcW w:w="47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60" w:type="dxa"/>
            <w:vAlign w:val="bottom"/>
            <w:gridSpan w:val="7"/>
          </w:tcPr>
          <w:p>
            <w:pPr>
              <w:jc w:val="center"/>
              <w:ind w:right="221"/>
              <w:spacing w:after="0"/>
              <w:rPr>
                <w:sz w:val="20"/>
                <w:szCs w:val="20"/>
                <w:color w:val="auto"/>
              </w:rPr>
            </w:pPr>
            <w:r>
              <w:rPr>
                <w:rFonts w:ascii="Arial" w:cs="Arial" w:eastAsia="Arial" w:hAnsi="Arial"/>
                <w:sz w:val="14"/>
                <w:szCs w:val="14"/>
                <w:color w:val="auto"/>
              </w:rPr>
              <w:t>(in thousands, except share and per share data)</w:t>
            </w:r>
          </w:p>
        </w:tc>
        <w:tc>
          <w:tcPr>
            <w:tcW w:w="0" w:type="dxa"/>
            <w:vAlign w:val="bottom"/>
          </w:tcPr>
          <w:p>
            <w:pPr>
              <w:spacing w:after="0"/>
              <w:rPr>
                <w:sz w:val="1"/>
                <w:szCs w:val="1"/>
                <w:color w:val="auto"/>
              </w:rPr>
            </w:pPr>
          </w:p>
        </w:tc>
      </w:tr>
      <w:tr>
        <w:trPr>
          <w:trHeight w:val="213"/>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19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117,459</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117,459</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469,347</w:t>
            </w:r>
          </w:p>
        </w:tc>
        <w:tc>
          <w:tcPr>
            <w:tcW w:w="0" w:type="dxa"/>
            <w:vAlign w:val="bottom"/>
          </w:tcPr>
          <w:p>
            <w:pPr>
              <w:spacing w:after="0"/>
              <w:rPr>
                <w:sz w:val="1"/>
                <w:szCs w:val="1"/>
                <w:color w:val="auto"/>
              </w:rPr>
            </w:pPr>
          </w:p>
        </w:tc>
      </w:tr>
      <w:tr>
        <w:trPr>
          <w:trHeight w:val="160"/>
        </w:trPr>
        <w:tc>
          <w:tcPr>
            <w:tcW w:w="698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Convertible preferred stock, $0.0001 par value; 19,074,276 shares authorized, issued and</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outstanding, actual; no shares authorized, issued and outstanding, pro forma and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180"/>
              <w:spacing w:after="0"/>
              <w:rPr>
                <w:sz w:val="20"/>
                <w:szCs w:val="20"/>
                <w:color w:val="auto"/>
              </w:rPr>
            </w:pPr>
            <w:r>
              <w:rPr>
                <w:rFonts w:ascii="Arial" w:cs="Arial" w:eastAsia="Arial" w:hAnsi="Arial"/>
                <w:sz w:val="16"/>
                <w:szCs w:val="16"/>
                <w:color w:val="auto"/>
              </w:rPr>
              <w:t>forma as adjusted</w:t>
            </w:r>
          </w:p>
        </w:tc>
        <w:tc>
          <w:tcPr>
            <w:tcW w:w="2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182,609</w:t>
            </w: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 (deficit):</w:t>
            </w:r>
          </w:p>
        </w:tc>
        <w:tc>
          <w:tcPr>
            <w:tcW w:w="19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980" w:type="dxa"/>
            <w:vAlign w:val="bottom"/>
            <w:gridSpan w:val="3"/>
          </w:tcPr>
          <w:p>
            <w:pPr>
              <w:ind w:left="20"/>
              <w:spacing w:after="0" w:line="178" w:lineRule="exact"/>
              <w:rPr>
                <w:sz w:val="20"/>
                <w:szCs w:val="20"/>
                <w:color w:val="auto"/>
              </w:rPr>
            </w:pPr>
            <w:r>
              <w:rPr>
                <w:rFonts w:ascii="Arial" w:cs="Arial" w:eastAsia="Arial" w:hAnsi="Arial"/>
                <w:sz w:val="16"/>
                <w:szCs w:val="16"/>
                <w:color w:val="auto"/>
              </w:rPr>
              <w:t>Preferred stock, $0.0001 par value; no shares authorized, issued and outstanding, actual;</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20,000,000 shares authorized, no shares issued and outstanding, pro forma and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180"/>
              <w:spacing w:after="0"/>
              <w:rPr>
                <w:sz w:val="20"/>
                <w:szCs w:val="20"/>
                <w:color w:val="auto"/>
              </w:rPr>
            </w:pPr>
            <w:r>
              <w:rPr>
                <w:rFonts w:ascii="Arial" w:cs="Arial" w:eastAsia="Arial" w:hAnsi="Arial"/>
                <w:sz w:val="16"/>
                <w:szCs w:val="16"/>
                <w:color w:val="auto"/>
              </w:rPr>
              <w:t>forma as adjusted</w:t>
            </w: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6980" w:type="dxa"/>
            <w:vAlign w:val="bottom"/>
            <w:gridSpan w:val="3"/>
            <w:shd w:val="clear" w:color="auto" w:fill="DBDBDB"/>
          </w:tcPr>
          <w:p>
            <w:pPr>
              <w:ind w:left="20"/>
              <w:spacing w:after="0" w:line="181" w:lineRule="exact"/>
              <w:rPr>
                <w:sz w:val="20"/>
                <w:szCs w:val="20"/>
                <w:color w:val="auto"/>
              </w:rPr>
            </w:pPr>
            <w:r>
              <w:rPr>
                <w:rFonts w:ascii="Arial" w:cs="Arial" w:eastAsia="Arial" w:hAnsi="Arial"/>
                <w:sz w:val="16"/>
                <w:szCs w:val="16"/>
                <w:color w:val="auto"/>
              </w:rPr>
              <w:t>Common stock, $0.0001 par value; 42,800,000 shares authorized, 13,117,876 issued and</w:t>
            </w: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shd w:val="clear" w:color="auto" w:fill="DBDBDB"/>
          </w:tcPr>
          <w:p>
            <w:pPr>
              <w:ind w:left="180"/>
              <w:spacing w:after="0" w:line="162" w:lineRule="exact"/>
              <w:rPr>
                <w:sz w:val="20"/>
                <w:szCs w:val="20"/>
                <w:color w:val="auto"/>
              </w:rPr>
            </w:pPr>
            <w:r>
              <w:rPr>
                <w:rFonts w:ascii="Arial" w:cs="Arial" w:eastAsia="Arial" w:hAnsi="Arial"/>
                <w:sz w:val="16"/>
                <w:szCs w:val="16"/>
                <w:color w:val="auto"/>
              </w:rPr>
              <w:t>outstanding, actual, no shares issued and outstanding, pro forma and pro forma as</w:t>
            </w:r>
          </w:p>
        </w:tc>
        <w:tc>
          <w:tcPr>
            <w:tcW w:w="1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adjusted</w:t>
            </w:r>
          </w:p>
        </w:tc>
        <w:tc>
          <w:tcPr>
            <w:tcW w:w="19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980" w:type="dxa"/>
            <w:vAlign w:val="bottom"/>
            <w:gridSpan w:val="3"/>
          </w:tcPr>
          <w:p>
            <w:pPr>
              <w:ind w:left="20"/>
              <w:spacing w:after="0" w:line="178" w:lineRule="exact"/>
              <w:rPr>
                <w:sz w:val="20"/>
                <w:szCs w:val="20"/>
                <w:color w:val="auto"/>
              </w:rPr>
            </w:pPr>
            <w:r>
              <w:rPr>
                <w:rFonts w:ascii="Arial" w:cs="Arial" w:eastAsia="Arial" w:hAnsi="Arial"/>
                <w:sz w:val="16"/>
                <w:szCs w:val="16"/>
                <w:color w:val="auto"/>
              </w:rPr>
              <w:t>Class A common stock, $0.0001 par value; no shares authorized, issued and outstanding,</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actual; 2,000,000,000 shares authorized, 6,187,542 shares issued and outstanding,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forma; 2,000,000,000 shares authorized, 11,293,655 shares issued and outstanding,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180"/>
              <w:spacing w:after="0"/>
              <w:rPr>
                <w:sz w:val="20"/>
                <w:szCs w:val="20"/>
                <w:color w:val="auto"/>
              </w:rPr>
            </w:pPr>
            <w:r>
              <w:rPr>
                <w:rFonts w:ascii="Arial" w:cs="Arial" w:eastAsia="Arial" w:hAnsi="Arial"/>
                <w:sz w:val="16"/>
                <w:szCs w:val="16"/>
                <w:color w:val="auto"/>
              </w:rPr>
              <w:t>forma as adjusted</w:t>
            </w: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Class B common stock, $0.0001 par value; no shares authorized,</w:t>
            </w:r>
          </w:p>
        </w:tc>
        <w:tc>
          <w:tcPr>
            <w:tcW w:w="2220" w:type="dxa"/>
            <w:vAlign w:val="bottom"/>
            <w:gridSpan w:val="2"/>
            <w:shd w:val="clear" w:color="auto" w:fill="DBDBDB"/>
          </w:tcPr>
          <w:p>
            <w:pPr>
              <w:jc w:val="right"/>
              <w:ind w:right="399"/>
              <w:spacing w:after="0" w:line="181" w:lineRule="exact"/>
              <w:rPr>
                <w:sz w:val="20"/>
                <w:szCs w:val="20"/>
                <w:color w:val="auto"/>
              </w:rPr>
            </w:pPr>
            <w:r>
              <w:rPr>
                <w:rFonts w:ascii="Arial" w:cs="Arial" w:eastAsia="Arial" w:hAnsi="Arial"/>
                <w:sz w:val="16"/>
                <w:szCs w:val="16"/>
                <w:color w:val="auto"/>
              </w:rPr>
              <w:t>issued and outstanding,</w:t>
            </w: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shd w:val="clear" w:color="auto" w:fill="DBDBDB"/>
          </w:tcPr>
          <w:p>
            <w:pPr>
              <w:ind w:left="180"/>
              <w:spacing w:after="0" w:line="162" w:lineRule="exact"/>
              <w:rPr>
                <w:sz w:val="20"/>
                <w:szCs w:val="20"/>
                <w:color w:val="auto"/>
              </w:rPr>
            </w:pPr>
            <w:r>
              <w:rPr>
                <w:rFonts w:ascii="Arial" w:cs="Arial" w:eastAsia="Arial" w:hAnsi="Arial"/>
                <w:sz w:val="16"/>
                <w:szCs w:val="16"/>
                <w:color w:val="auto"/>
              </w:rPr>
              <w:t>actual; 30,000,000 shares authorized, 26,004,610 shares issued and outstanding, pro</w:t>
            </w:r>
          </w:p>
        </w:tc>
        <w:tc>
          <w:tcPr>
            <w:tcW w:w="1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3"/>
            <w:shd w:val="clear" w:color="auto" w:fill="DBDBDB"/>
          </w:tcPr>
          <w:p>
            <w:pPr>
              <w:ind w:left="180"/>
              <w:spacing w:after="0" w:line="162" w:lineRule="exact"/>
              <w:rPr>
                <w:sz w:val="20"/>
                <w:szCs w:val="20"/>
                <w:color w:val="auto"/>
              </w:rPr>
            </w:pPr>
            <w:r>
              <w:rPr>
                <w:rFonts w:ascii="Arial" w:cs="Arial" w:eastAsia="Arial" w:hAnsi="Arial"/>
                <w:sz w:val="16"/>
                <w:szCs w:val="16"/>
                <w:color w:val="auto"/>
              </w:rPr>
              <w:t>forma; 30,000,000 shares authorized, 24,598,497 shares issued and outstanding, pro</w:t>
            </w:r>
          </w:p>
        </w:tc>
        <w:tc>
          <w:tcPr>
            <w:tcW w:w="1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forma as adjusted</w:t>
            </w:r>
          </w:p>
        </w:tc>
        <w:tc>
          <w:tcPr>
            <w:tcW w:w="19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26,465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209,074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560,962</w:t>
            </w: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Accumulated deficit</w:t>
            </w:r>
          </w:p>
        </w:tc>
        <w:tc>
          <w:tcPr>
            <w:tcW w:w="19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(124,251)</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(124,251)</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(124,251)</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stockholders’ (deficit) equity</w:t>
            </w:r>
          </w:p>
        </w:tc>
        <w:tc>
          <w:tcPr>
            <w:tcW w:w="192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(97,785)</w:t>
            </w:r>
          </w:p>
        </w:tc>
        <w:tc>
          <w:tcPr>
            <w:tcW w:w="8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84,826</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436,715</w:t>
            </w:r>
          </w:p>
        </w:tc>
        <w:tc>
          <w:tcPr>
            <w:tcW w:w="0" w:type="dxa"/>
            <w:vAlign w:val="bottom"/>
          </w:tcPr>
          <w:p>
            <w:pPr>
              <w:spacing w:after="0"/>
              <w:rPr>
                <w:sz w:val="1"/>
                <w:szCs w:val="1"/>
                <w:color w:val="auto"/>
              </w:rPr>
            </w:pPr>
          </w:p>
        </w:tc>
      </w:tr>
      <w:tr>
        <w:trPr>
          <w:trHeight w:val="209"/>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capitalization</w:t>
            </w:r>
          </w:p>
        </w:tc>
        <w:tc>
          <w:tcPr>
            <w:tcW w:w="19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19,674</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84,826</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436,715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Class A common stock and the pro forma as adjusted net tangible book value per share of our Class A and Class B common stock immediately after this offering.</w:t>
      </w:r>
    </w:p>
    <w:p>
      <w:pPr>
        <w:spacing w:after="0" w:line="1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historical net tangible book value as of March 31, 2021 was $(108.2) million, or $(8.25) per share. Net tangible book value per share represents the amount of our total tangible assets less our total liabilities and convertible preferred stock, divided by the number of shares of our Class A and Class B common stock outstanding as of March 31, 2021.</w:t>
      </w:r>
    </w:p>
    <w:p>
      <w:pPr>
        <w:spacing w:after="0" w:line="14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pro forma net tangible book value as of March 31, 2021 was $74.4 million, or $2.31 per share. Pro forma net tangible book value per share represents the amount of our total tangible assets less our total liabilities, divided by the number of our shares of Class A and Class B common stock outstanding as of March 31, 2021, after giving effect to (1) the Transactions as if such Transactions had occurred on March 31, 2021 and (2) the filing and effectiveness of our amended and restated certificate of incorporation in Delaware, which will occur immediately prior to the completion of this offering.</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After giving effect to the sale and issuance by us of 3,700,000 shares of Class A common stock in this offering at the initial public offering price per share of $102.00, and after deducting underwriting discounts and commissions and estimated offering expenses, our pro forma as adjusted net tangible book value as of March 31, 2021 would have been $426.3 million, or $11.88 per share. This amount represents an immediate increase in pro forma as adjusted net tangible book value of $9.57 per share to our existing stockholders and an immediate dilution in pro forma as adjusted net tangible book value of $90.12 per share to new investors purchasing Class A common stock in this offering.</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determine dilution by subtracting the pro forma as adjusted net tangible book value per share after this offering from the initial public offering price per share paid by new investors for a share of Class A common stock. The following table illustrates this dilution on a per share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Initial public offering price per share</w:t>
            </w:r>
          </w:p>
        </w:tc>
        <w:tc>
          <w:tcPr>
            <w:tcW w:w="600" w:type="dxa"/>
            <w:vAlign w:val="bottom"/>
            <w:shd w:val="clear" w:color="auto" w:fill="DBDBDB"/>
          </w:tcPr>
          <w:p>
            <w:pPr>
              <w:spacing w:after="0"/>
              <w:rPr>
                <w:sz w:val="19"/>
                <w:szCs w:val="19"/>
                <w:color w:val="auto"/>
              </w:rPr>
            </w:pPr>
          </w:p>
        </w:tc>
        <w:tc>
          <w:tcPr>
            <w:tcW w:w="1620" w:type="dxa"/>
            <w:vAlign w:val="bottom"/>
            <w:gridSpan w:val="3"/>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102.00</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Historical net tangible book value per share as of March 31, 2021</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6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March 31, 2021</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8"/>
        </w:trPr>
        <w:tc>
          <w:tcPr>
            <w:tcW w:w="798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60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217"/>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shares of Class A common stock in this offering</w:t>
            </w:r>
          </w:p>
        </w:tc>
        <w:tc>
          <w:tcPr>
            <w:tcW w:w="60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600" w:type="dxa"/>
            <w:vAlign w:val="bottom"/>
            <w:tcBorders>
              <w:bottom w:val="single" w:sz="8" w:color="DBDBDB"/>
            </w:tcBorders>
          </w:tcPr>
          <w:p>
            <w:pPr>
              <w:spacing w:after="0"/>
              <w:rPr>
                <w:sz w:val="19"/>
                <w:szCs w:val="19"/>
                <w:color w:val="auto"/>
              </w:rPr>
            </w:pPr>
          </w:p>
        </w:tc>
        <w:tc>
          <w:tcPr>
            <w:tcW w:w="98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60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90.12</w:t>
            </w:r>
          </w:p>
        </w:tc>
      </w:tr>
    </w:tbl>
    <w:p>
      <w:pPr>
        <w:spacing w:after="0" w:line="2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from us, the pro forma as adjusted net tangible book value per share after giving effect to this offering would be $13.64 per share, and the dilution to investors participating in this offering would be $88.36 per share.</w:t>
      </w:r>
    </w:p>
    <w:p>
      <w:pPr>
        <w:spacing w:after="0" w:line="149" w:lineRule="exact"/>
        <w:rPr>
          <w:sz w:val="20"/>
          <w:szCs w:val="20"/>
          <w:color w:val="auto"/>
        </w:rPr>
      </w:pPr>
    </w:p>
    <w:p>
      <w:pPr>
        <w:jc w:val="both"/>
        <w:ind w:right="740"/>
        <w:spacing w:after="0" w:line="271" w:lineRule="auto"/>
        <w:rPr>
          <w:sz w:val="20"/>
          <w:szCs w:val="20"/>
          <w:color w:val="auto"/>
        </w:rPr>
      </w:pPr>
      <w:r>
        <w:rPr>
          <w:rFonts w:ascii="Arial" w:cs="Arial" w:eastAsia="Arial" w:hAnsi="Arial"/>
          <w:sz w:val="18"/>
          <w:szCs w:val="18"/>
          <w:color w:val="auto"/>
        </w:rPr>
        <w:t>The following table summarizes on the pro forma as adjusted basis described above, the differences between the number of shares purchased from us, the total consideration paid and the average price per share paid to us by existing stockholders and by investors purchasing shares of Class A common stock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offering at the initial public offering price per share of $102.00, before deducting underwriting discounts and commissions and estimated offering expenses payable by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3360" w:type="dxa"/>
            <w:vAlign w:val="bottom"/>
            <w:gridSpan w:val="4"/>
          </w:tcPr>
          <w:p>
            <w:pPr>
              <w:ind w:left="1000"/>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6"/>
                <w:szCs w:val="16"/>
                <w:color w:val="auto"/>
              </w:rPr>
            </w:pPr>
          </w:p>
        </w:tc>
        <w:tc>
          <w:tcPr>
            <w:tcW w:w="3120" w:type="dxa"/>
            <w:vAlign w:val="bottom"/>
            <w:gridSpan w:val="4"/>
          </w:tcPr>
          <w:p>
            <w:pPr>
              <w:ind w:left="700"/>
              <w:spacing w:after="0"/>
              <w:rPr>
                <w:sz w:val="20"/>
                <w:szCs w:val="20"/>
                <w:color w:val="auto"/>
              </w:rPr>
            </w:pPr>
            <w:r>
              <w:rPr>
                <w:rFonts w:ascii="Arial" w:cs="Arial" w:eastAsia="Arial" w:hAnsi="Arial"/>
                <w:sz w:val="14"/>
                <w:szCs w:val="14"/>
                <w:b w:val="1"/>
                <w:bCs w:val="1"/>
                <w:color w:val="auto"/>
              </w:rPr>
              <w:t>Total Consideration</w:t>
            </w:r>
          </w:p>
        </w:tc>
        <w:tc>
          <w:tcPr>
            <w:tcW w:w="260" w:type="dxa"/>
            <w:vAlign w:val="bottom"/>
          </w:tcPr>
          <w:p>
            <w:pPr>
              <w:spacing w:after="0"/>
              <w:rPr>
                <w:sz w:val="16"/>
                <w:szCs w:val="16"/>
                <w:color w:val="auto"/>
              </w:rPr>
            </w:pPr>
          </w:p>
        </w:tc>
        <w:tc>
          <w:tcPr>
            <w:tcW w:w="126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vMerge w:val="restart"/>
          </w:tcPr>
          <w:p>
            <w:pPr>
              <w:jc w:val="center"/>
              <w:ind w:right="183"/>
              <w:spacing w:after="0" w:line="95" w:lineRule="exact"/>
              <w:rPr>
                <w:sz w:val="20"/>
                <w:szCs w:val="20"/>
                <w:color w:val="auto"/>
              </w:rPr>
            </w:pPr>
            <w:r>
              <w:rPr>
                <w:rFonts w:ascii="Arial" w:cs="Arial" w:eastAsia="Arial" w:hAnsi="Arial"/>
                <w:sz w:val="10"/>
                <w:szCs w:val="10"/>
                <w:b w:val="1"/>
                <w:bCs w:val="1"/>
                <w:color w:val="auto"/>
              </w:rPr>
              <w:t>Average</w:t>
            </w:r>
          </w:p>
        </w:tc>
        <w:tc>
          <w:tcPr>
            <w:tcW w:w="0" w:type="dxa"/>
            <w:vAlign w:val="bottom"/>
          </w:tcPr>
          <w:p>
            <w:pPr>
              <w:spacing w:after="0"/>
              <w:rPr>
                <w:sz w:val="1"/>
                <w:szCs w:val="1"/>
                <w:color w:val="auto"/>
              </w:rPr>
            </w:pPr>
          </w:p>
        </w:tc>
      </w:tr>
      <w:tr>
        <w:trPr>
          <w:trHeight w:val="34"/>
        </w:trPr>
        <w:tc>
          <w:tcPr>
            <w:tcW w:w="2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tcPr>
          <w:p>
            <w:pPr>
              <w:spacing w:after="0"/>
              <w:rPr>
                <w:sz w:val="11"/>
                <w:szCs w:val="11"/>
                <w:color w:val="auto"/>
              </w:rPr>
            </w:pP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Number</w:t>
            </w:r>
          </w:p>
        </w:tc>
        <w:tc>
          <w:tcPr>
            <w:tcW w:w="17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1"/>
                <w:szCs w:val="11"/>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c>
          <w:tcPr>
            <w:tcW w:w="1260" w:type="dxa"/>
            <w:vAlign w:val="bottom"/>
          </w:tcPr>
          <w:p>
            <w:pPr>
              <w:jc w:val="center"/>
              <w:ind w:right="203"/>
              <w:spacing w:after="0" w:line="135"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3"/>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2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Existing stockholders</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32,192,152</w:t>
            </w:r>
          </w:p>
        </w:tc>
        <w:tc>
          <w:tcPr>
            <w:tcW w:w="100" w:type="dxa"/>
            <w:vAlign w:val="bottom"/>
            <w:tcBorders>
              <w:top w:val="single" w:sz="8" w:color="DBDBDB"/>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89.7 %</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191,515,231</w:t>
            </w:r>
          </w:p>
        </w:tc>
        <w:tc>
          <w:tcPr>
            <w:tcW w:w="100" w:type="dxa"/>
            <w:vAlign w:val="bottom"/>
            <w:tcBorders>
              <w:top w:val="single" w:sz="8" w:color="DBDBDB"/>
            </w:tcBorders>
            <w:shd w:val="clear" w:color="auto" w:fill="DBDBDB"/>
          </w:tcPr>
          <w:p>
            <w:pPr>
              <w:spacing w:after="0"/>
              <w:rPr>
                <w:sz w:val="19"/>
                <w:szCs w:val="19"/>
                <w:color w:val="auto"/>
              </w:rPr>
            </w:pPr>
          </w:p>
        </w:tc>
        <w:tc>
          <w:tcPr>
            <w:tcW w:w="1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New investors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3,700,000</w:t>
            </w:r>
          </w:p>
        </w:tc>
        <w:tc>
          <w:tcPr>
            <w:tcW w:w="10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377,400,000</w:t>
            </w:r>
          </w:p>
        </w:tc>
        <w:tc>
          <w:tcPr>
            <w:tcW w:w="100" w:type="dxa"/>
            <w:vAlign w:val="bottom"/>
            <w:tcBorders>
              <w:bottom w:val="single" w:sz="8" w:color="DBDBDB"/>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35,892,152</w:t>
            </w:r>
          </w:p>
        </w:tc>
        <w:tc>
          <w:tcPr>
            <w:tcW w:w="10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568,915,231</w:t>
            </w:r>
          </w:p>
        </w:tc>
        <w:tc>
          <w:tcPr>
            <w:tcW w:w="100" w:type="dxa"/>
            <w:vAlign w:val="bottom"/>
            <w:tcBorders>
              <w:bottom w:val="single" w:sz="8" w:color="DBDBDB"/>
            </w:tcBorders>
            <w:shd w:val="clear" w:color="auto" w:fill="DBDBDB"/>
          </w:tcPr>
          <w:p>
            <w:pPr>
              <w:spacing w:after="0"/>
              <w:rPr>
                <w:sz w:val="21"/>
                <w:szCs w:val="21"/>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29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If the underwriters exercise their option to purchase additional shares of Class A common stock in full, our existing stockholders would</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own 87.8% and our new investors would own 12.2% of the total number of shares of our common stock outstanding upon the completion of this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shares of the Class A common stock by the selling stockholders in this offering.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there will be no dilutive impact as a result of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tables set forth our selected consolidated financial and other data. The selected consolidated statements of operations data for the years ended December 31, 2019 and 2020 and the selected consolidated balance sheet data as of December 31, 2019 and 2020 have been derived from our audited consolidated financial statements included elsewhere in this prospectus. The selected consolidated statements of operations data for the three months ended March 31, 2020 and 2021 and the selected consolidated balance sheet data as of March 31, 2021 have been derived from our unaudited interim consolidated financial statements included elsewhere in this prospectus. In our opinion, the unaudited interim consolidated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the results that may be expected in the future and our interim results are not necessarily indicative of the results that may be expected for the full fiscal year or any other future period. You should read the following selected consolidated financial and other data in conjunction with the section titled “Management’s Discussion and Analysis of Financial Condition and Results of Operations” and our consolidated financial statements included elsewhere in this prospectus. The selected consolidated financial and other data in this section are not intended to replace, and are qualified in their entirety by, the consolidated financial statements and related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4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 (1)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15,019</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19,898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(1)</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22,529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Sales and marketing (1) (2)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(1) (3)</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43,713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Impairment of 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64,148</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131,720</w:t>
            </w: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22,353</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Basic and diluted net loss per share (4)</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4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bottom w:val="single" w:sz="8" w:color="DBDBDB"/>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in computing net loss per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rPr>
              <w:t>share attributable to common stockholders, basic and</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12,735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190"/>
        </w:trPr>
        <w:tc>
          <w:tcPr>
            <w:tcW w:w="4700" w:type="dxa"/>
            <w:vAlign w:val="bottom"/>
          </w:tcPr>
          <w:p>
            <w:pPr>
              <w:ind w:left="180"/>
              <w:spacing w:after="0" w:line="190" w:lineRule="exact"/>
              <w:rPr>
                <w:sz w:val="20"/>
                <w:szCs w:val="20"/>
                <w:color w:val="auto"/>
              </w:rPr>
            </w:pPr>
            <w:r>
              <w:rPr>
                <w:rFonts w:ascii="Arial" w:cs="Arial" w:eastAsia="Arial" w:hAnsi="Arial"/>
                <w:sz w:val="18"/>
                <w:szCs w:val="18"/>
                <w:color w:val="auto"/>
              </w:rPr>
              <w:t>diluted (4)</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shd w:val="clear" w:color="auto" w:fill="DBDBDB"/>
          </w:tcPr>
          <w:p>
            <w:pPr>
              <w:ind w:left="20"/>
              <w:spacing w:after="0" w:line="155" w:lineRule="exact"/>
              <w:rPr>
                <w:sz w:val="20"/>
                <w:szCs w:val="20"/>
                <w:color w:val="auto"/>
              </w:rPr>
            </w:pPr>
            <w:r>
              <w:rPr>
                <w:rFonts w:ascii="Arial" w:cs="Arial" w:eastAsia="Arial" w:hAnsi="Arial"/>
                <w:sz w:val="17"/>
                <w:szCs w:val="17"/>
                <w:color w:val="auto"/>
              </w:rPr>
              <w:t>Pro forma net loss per share attributable to common</w:t>
            </w:r>
          </w:p>
        </w:tc>
        <w:tc>
          <w:tcPr>
            <w:tcW w:w="36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DBDBDB"/>
            </w:tcBorders>
            <w:shd w:val="clear" w:color="auto" w:fill="DBDBDB"/>
          </w:tcPr>
          <w:p>
            <w:pPr>
              <w:ind w:left="180"/>
              <w:spacing w:after="0" w:line="190" w:lineRule="exact"/>
              <w:rPr>
                <w:sz w:val="20"/>
                <w:szCs w:val="20"/>
                <w:color w:val="auto"/>
              </w:rPr>
            </w:pPr>
            <w:r>
              <w:rPr>
                <w:rFonts w:ascii="Arial" w:cs="Arial" w:eastAsia="Arial" w:hAnsi="Arial"/>
                <w:sz w:val="18"/>
                <w:szCs w:val="18"/>
                <w:color w:val="auto"/>
              </w:rPr>
              <w:t>stockholders—basic and diluted (unaudited)(5)</w:t>
            </w:r>
          </w:p>
        </w:tc>
        <w:tc>
          <w:tcPr>
            <w:tcW w:w="36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vMerge w:val="continue"/>
            <w:shd w:val="clear" w:color="auto" w:fill="DBDBDB"/>
          </w:tcPr>
          <w:p>
            <w:pPr>
              <w:spacing w:after="0"/>
              <w:rPr>
                <w:sz w:val="18"/>
                <w:szCs w:val="18"/>
                <w:color w:val="auto"/>
              </w:rPr>
            </w:pPr>
          </w:p>
        </w:tc>
        <w:tc>
          <w:tcPr>
            <w:tcW w:w="12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vMerge w:val="continue"/>
            <w:shd w:val="clear" w:color="auto" w:fill="DBDBDB"/>
          </w:tcPr>
          <w:p>
            <w:pPr>
              <w:spacing w:after="0"/>
              <w:rPr>
                <w:sz w:val="18"/>
                <w:szCs w:val="18"/>
                <w:color w:val="auto"/>
              </w:rPr>
            </w:pPr>
          </w:p>
        </w:tc>
        <w:tc>
          <w:tcPr>
            <w:tcW w:w="120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bottom w:val="single" w:sz="8" w:color="DBDBDB"/>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in computing pro forma</w:t>
            </w:r>
          </w:p>
        </w:tc>
        <w:tc>
          <w:tcPr>
            <w:tcW w:w="36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190"/>
        </w:trPr>
        <w:tc>
          <w:tcPr>
            <w:tcW w:w="4700" w:type="dxa"/>
            <w:vAlign w:val="bottom"/>
          </w:tcPr>
          <w:p>
            <w:pPr>
              <w:ind w:left="180"/>
              <w:spacing w:after="0" w:line="190" w:lineRule="exact"/>
              <w:rPr>
                <w:sz w:val="20"/>
                <w:szCs w:val="20"/>
                <w:color w:val="auto"/>
              </w:rPr>
            </w:pPr>
            <w:r>
              <w:rPr>
                <w:rFonts w:ascii="Arial" w:cs="Arial" w:eastAsia="Arial" w:hAnsi="Arial"/>
                <w:sz w:val="18"/>
                <w:szCs w:val="18"/>
                <w:color w:val="auto"/>
              </w:rPr>
              <w:t>—basic and diluted (unaudited)(5)</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stock-based compensation expenses as follows:</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412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DBDBDB"/>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DBDBDB"/>
          </w:tcPr>
          <w:p>
            <w:pPr>
              <w:spacing w:after="0"/>
              <w:rPr>
                <w:sz w:val="15"/>
                <w:szCs w:val="15"/>
                <w:color w:val="auto"/>
              </w:rPr>
            </w:pPr>
          </w:p>
        </w:tc>
        <w:tc>
          <w:tcPr>
            <w:tcW w:w="980" w:type="dxa"/>
            <w:vAlign w:val="bottom"/>
            <w:shd w:val="clear" w:color="auto" w:fill="DBDBDB"/>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1,552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89"/>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DBDBDB"/>
          </w:tcPr>
          <w:p>
            <w:pPr>
              <w:spacing w:after="0"/>
              <w:rPr>
                <w:sz w:val="16"/>
                <w:szCs w:val="16"/>
                <w:color w:val="auto"/>
              </w:rPr>
            </w:pP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341</w:t>
            </w:r>
          </w:p>
        </w:tc>
        <w:tc>
          <w:tcPr>
            <w:tcW w:w="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1,826</w:t>
            </w:r>
          </w:p>
        </w:tc>
        <w:tc>
          <w:tcPr>
            <w:tcW w:w="8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0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3,725</w:t>
            </w:r>
          </w:p>
        </w:tc>
        <w:tc>
          <w:tcPr>
            <w:tcW w:w="8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10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40"/>
        <w:spacing w:after="0" w:line="244"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 In addition, subsequent to March 31, 2021, we granted (1) options to purchase 71.7 thousand shares of common stock at an exercise price of $52.80 per share and 552.8 thousand RSUs to employees, which have aggregate estimated unrecognized compensation expense of approximately $1.8 million and $29.2 million, respectively, that is expected to be recognized over a period of four years, and (2) 1.8 million performance-based RSUs to our Founders, which have aggregate estimated unrecognized compensation expense of approximately $100.5 million that is expected to be recognized over a period of one to seven years, depending on the achievement of performance-based vesting conditions. See “Executive Compensation—Narrative to Summary Compensation Table—Fiscal 2021 Equity-Based Compensation” for additional information regarding these awards to our Founders.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gridSpan w:val="2"/>
          </w:tcPr>
          <w:p>
            <w:pPr>
              <w:spacing w:after="0"/>
              <w:rPr>
                <w:sz w:val="20"/>
                <w:szCs w:val="20"/>
                <w:color w:val="auto"/>
              </w:rPr>
            </w:pPr>
            <w:r>
              <w:rPr>
                <w:rFonts w:ascii="Arial" w:cs="Arial" w:eastAsia="Arial" w:hAnsi="Arial"/>
                <w:sz w:val="14"/>
                <w:szCs w:val="14"/>
                <w:color w:val="auto"/>
              </w:rPr>
              <w:t>(2)  Includes amortization of capitalized software as follows:</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412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120" w:type="dxa"/>
            <w:vAlign w:val="bottom"/>
            <w:tcBorders>
              <w:bottom w:val="single" w:sz="8" w:color="DBDBDB"/>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060" w:type="dxa"/>
            <w:vAlign w:val="bottom"/>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DBDBDB"/>
          </w:tcPr>
          <w:p>
            <w:pPr>
              <w:spacing w:after="0"/>
              <w:rPr>
                <w:sz w:val="15"/>
                <w:szCs w:val="15"/>
                <w:color w:val="auto"/>
              </w:rPr>
            </w:pP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w:t>
            </w: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8"/>
        </w:trPr>
        <w:tc>
          <w:tcPr>
            <w:tcW w:w="340" w:type="dxa"/>
            <w:vAlign w:val="bottom"/>
          </w:tcPr>
          <w:p>
            <w:pPr>
              <w:spacing w:after="0"/>
              <w:rPr>
                <w:sz w:val="17"/>
                <w:szCs w:val="17"/>
                <w:color w:val="auto"/>
              </w:rPr>
            </w:pPr>
          </w:p>
        </w:tc>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760" w:hanging="332"/>
        <w:spacing w:after="0" w:line="258"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Depreciation of property and equipment is predominately included within General and administrative, with nominal amounts in Cost of revenues, Research and development and Sales and marketing in the Company’s consolidated statement of operations.</w:t>
      </w:r>
    </w:p>
    <w:p>
      <w:pPr>
        <w:spacing w:after="0" w:line="139"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See Note 13 to our audited consolidated financial statements and Note 12 to our unaudited interim condensed consolidated financial statements included elsewhere in this prospectus for an explanation of the method used to calculate our basic and diluted net loss per share attributable to common stockholders.</w:t>
      </w:r>
    </w:p>
    <w:p>
      <w:pPr>
        <w:spacing w:after="0" w:line="139"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presented the unaudited pro forma basic and diluted net loss per share which has been computed to give effect to the conversion of our stock-based awards and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146"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following table sets forth the computation of our unaudited pro forma basic and diluted net loss per share:</w:t>
      </w:r>
    </w:p>
    <w:p>
      <w:pPr>
        <w:spacing w:after="0" w:line="1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69"/>
        </w:trPr>
        <w:tc>
          <w:tcPr>
            <w:tcW w:w="7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120" w:type="dxa"/>
            <w:vAlign w:val="bottom"/>
            <w:tcBorders>
              <w:top w:val="single" w:sz="8" w:color="auto"/>
            </w:tcBorders>
            <w:shd w:val="clear" w:color="auto" w:fill="DBDBDB"/>
          </w:tcPr>
          <w:p>
            <w:pPr>
              <w:spacing w:after="0"/>
              <w:rPr>
                <w:sz w:val="14"/>
                <w:szCs w:val="14"/>
                <w:color w:val="auto"/>
              </w:rPr>
            </w:pPr>
          </w:p>
        </w:tc>
        <w:tc>
          <w:tcPr>
            <w:tcW w:w="142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80" w:type="dxa"/>
            <w:vAlign w:val="bottom"/>
            <w:tcBorders>
              <w:top w:val="single" w:sz="8" w:color="auto"/>
            </w:tcBorders>
            <w:shd w:val="clear" w:color="auto" w:fill="DBDBDB"/>
          </w:tcPr>
          <w:p>
            <w:pPr>
              <w:spacing w:after="0"/>
              <w:rPr>
                <w:sz w:val="14"/>
                <w:szCs w:val="14"/>
                <w:color w:val="auto"/>
              </w:rPr>
            </w:pPr>
          </w:p>
        </w:tc>
        <w:tc>
          <w:tcPr>
            <w:tcW w:w="136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(15,776)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(13,472)</w:t>
            </w:r>
          </w:p>
        </w:tc>
        <w:tc>
          <w:tcPr>
            <w:tcW w:w="0" w:type="dxa"/>
            <w:vAlign w:val="bottom"/>
          </w:tcPr>
          <w:p>
            <w:pPr>
              <w:spacing w:after="0"/>
              <w:rPr>
                <w:sz w:val="1"/>
                <w:szCs w:val="1"/>
                <w:color w:val="auto"/>
              </w:rPr>
            </w:pPr>
          </w:p>
        </w:tc>
      </w:tr>
      <w:tr>
        <w:trPr>
          <w:trHeight w:val="189"/>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adjustment for RSU compensation expense(a)</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 forma adjustment for executive stock option compensation expense(b)</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(5,724)</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83"/>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net loss</w:t>
            </w:r>
          </w:p>
        </w:tc>
        <w:tc>
          <w:tcPr>
            <w:tcW w:w="12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(21,607)</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(19,345)</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32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Weighted-average shares used in computing net loss per share attributable to common stockholders, basic and</w:t>
            </w:r>
          </w:p>
        </w:tc>
        <w:tc>
          <w:tcPr>
            <w:tcW w:w="120" w:type="dxa"/>
            <w:vAlign w:val="bottom"/>
            <w:shd w:val="clear" w:color="auto" w:fill="DBDBDB"/>
          </w:tcPr>
          <w:p>
            <w:pPr>
              <w:spacing w:after="0"/>
              <w:rPr>
                <w:sz w:val="13"/>
                <w:szCs w:val="13"/>
                <w:color w:val="auto"/>
              </w:rPr>
            </w:pP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12,735</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3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12,916</w:t>
            </w:r>
          </w:p>
        </w:tc>
        <w:tc>
          <w:tcPr>
            <w:tcW w:w="0" w:type="dxa"/>
            <w:vAlign w:val="bottom"/>
          </w:tcPr>
          <w:p>
            <w:pPr>
              <w:spacing w:after="0"/>
              <w:rPr>
                <w:sz w:val="1"/>
                <w:szCs w:val="1"/>
                <w:color w:val="auto"/>
              </w:rPr>
            </w:pPr>
          </w:p>
        </w:tc>
      </w:tr>
      <w:tr>
        <w:trPr>
          <w:trHeight w:val="171"/>
        </w:trPr>
        <w:tc>
          <w:tcPr>
            <w:tcW w:w="73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DBDBDB"/>
          </w:tcPr>
          <w:p>
            <w:pPr>
              <w:spacing w:after="0"/>
              <w:rPr>
                <w:sz w:val="14"/>
                <w:szCs w:val="14"/>
                <w:color w:val="auto"/>
              </w:rPr>
            </w:pPr>
          </w:p>
        </w:tc>
        <w:tc>
          <w:tcPr>
            <w:tcW w:w="14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6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Pro forma adjustment to reflect assumed vesting and settlement of RSUs(c)</w:t>
            </w: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adjustment to reflect assumed conversion of convertible preferred stock</w:t>
            </w:r>
          </w:p>
        </w:tc>
        <w:tc>
          <w:tcPr>
            <w:tcW w:w="1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19,074</w:t>
            </w: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19,074</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 basic and diluted</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31,992</w:t>
            </w:r>
          </w:p>
        </w:tc>
        <w:tc>
          <w:tcPr>
            <w:tcW w:w="0" w:type="dxa"/>
            <w:vAlign w:val="bottom"/>
          </w:tcPr>
          <w:p>
            <w:pPr>
              <w:spacing w:after="0"/>
              <w:rPr>
                <w:sz w:val="1"/>
                <w:szCs w:val="1"/>
                <w:color w:val="auto"/>
              </w:rPr>
            </w:pPr>
          </w:p>
        </w:tc>
      </w:tr>
      <w:tr>
        <w:trPr>
          <w:trHeight w:val="20"/>
        </w:trPr>
        <w:tc>
          <w:tcPr>
            <w:tcW w:w="7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net loss per share, basic and diluted</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660" w:right="120" w:hanging="328"/>
        <w:spacing w:after="0" w:line="258" w:lineRule="auto"/>
        <w:tabs>
          <w:tab w:leader="none" w:pos="6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stock-based compensation expenses related to RSUs subject to both a service-based vesting condition and a performance-based vesting condition, where the performance-based vesting condition will be satisfied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320" w:top="144" w:right="4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300"/>
        <w:spacing w:after="0" w:line="258" w:lineRule="auto"/>
        <w:rPr>
          <w:sz w:val="20"/>
          <w:szCs w:val="20"/>
          <w:color w:val="auto"/>
        </w:rPr>
      </w:pPr>
      <w:r>
        <w:rPr>
          <w:rFonts w:ascii="Arial" w:cs="Arial" w:eastAsia="Arial" w:hAnsi="Arial"/>
          <w:sz w:val="14"/>
          <w:szCs w:val="14"/>
          <w:color w:val="auto"/>
        </w:rPr>
        <w:t>this offering. There was $1.2 million and $1.4 million of unrecognized expense as of December 31, 2020 and March 31, 2021, respectively, remaining after the pro forma RSU compensation expense.</w:t>
      </w:r>
    </w:p>
    <w:p>
      <w:pPr>
        <w:spacing w:after="0" w:line="140" w:lineRule="exact"/>
        <w:rPr>
          <w:sz w:val="20"/>
          <w:szCs w:val="20"/>
          <w:color w:val="auto"/>
        </w:rPr>
      </w:pPr>
    </w:p>
    <w:p>
      <w:pPr>
        <w:ind w:left="660" w:right="180" w:hanging="328"/>
        <w:spacing w:after="0" w:line="249" w:lineRule="auto"/>
        <w:tabs>
          <w:tab w:leader="none" w:pos="6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compensation expense for options granted to our executive officers whereby the vesting accelerates in connection with this offering. There was $2.9 million and $2.5 million of unrecognized expense remaining as of December 31, 2020 and March 31, 2021, respectively, after giving effect to the pro forma stock-based compensation expense.</w:t>
      </w:r>
    </w:p>
    <w:p>
      <w:pPr>
        <w:spacing w:after="0" w:line="146" w:lineRule="exact"/>
        <w:rPr>
          <w:rFonts w:ascii="Arial" w:cs="Arial" w:eastAsia="Arial" w:hAnsi="Arial"/>
          <w:sz w:val="14"/>
          <w:szCs w:val="14"/>
          <w:color w:val="auto"/>
        </w:rPr>
      </w:pPr>
    </w:p>
    <w:p>
      <w:pPr>
        <w:ind w:left="660" w:right="180" w:hanging="328"/>
        <w:spacing w:after="0" w:line="258" w:lineRule="auto"/>
        <w:tabs>
          <w:tab w:leader="none" w:pos="6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RSUs that have vested as of December 31, 2020 and March 31, 2021 for which the service-based vesting condition had been satisfied as of December 31, 2020 and March 31, 2021, respectively, and for which the performance-based vesting condition will be satisfied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BDBDB"/>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ind w:left="580"/>
              <w:spacing w:after="0"/>
              <w:rPr>
                <w:sz w:val="20"/>
                <w:szCs w:val="20"/>
                <w:color w:val="auto"/>
              </w:rPr>
            </w:pPr>
            <w:r>
              <w:rPr>
                <w:rFonts w:ascii="Arial" w:cs="Arial" w:eastAsia="Arial" w:hAnsi="Arial"/>
                <w:sz w:val="18"/>
                <w:szCs w:val="18"/>
                <w:color w:val="auto"/>
              </w:rPr>
              <w:t>59,843</w:t>
            </w: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6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46,816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74,916</w:t>
            </w: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ind w:left="580"/>
              <w:spacing w:after="0"/>
              <w:rPr>
                <w:sz w:val="20"/>
                <w:szCs w:val="20"/>
                <w:color w:val="auto"/>
              </w:rPr>
            </w:pPr>
            <w:r>
              <w:rPr>
                <w:rFonts w:ascii="Arial" w:cs="Arial" w:eastAsia="Arial" w:hAnsi="Arial"/>
                <w:sz w:val="18"/>
                <w:szCs w:val="18"/>
                <w:color w:val="auto"/>
              </w:rPr>
              <w:t>95,059</w:t>
            </w: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175,739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176,874</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Total deferred revenues</w:t>
            </w:r>
          </w:p>
        </w:tc>
        <w:tc>
          <w:tcPr>
            <w:tcW w:w="36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26,307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65,262</w:t>
            </w:r>
          </w:p>
        </w:tc>
      </w:tr>
      <w:tr>
        <w:trPr>
          <w:trHeight w:val="230"/>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stockholders’ deficit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ind w:left="520"/>
              <w:spacing w:after="0"/>
              <w:rPr>
                <w:sz w:val="20"/>
                <w:szCs w:val="20"/>
                <w:color w:val="auto"/>
              </w:rPr>
            </w:pPr>
            <w:r>
              <w:rPr>
                <w:rFonts w:ascii="Arial" w:cs="Arial" w:eastAsia="Arial" w:hAnsi="Arial"/>
                <w:sz w:val="18"/>
                <w:szCs w:val="18"/>
                <w:color w:val="auto"/>
              </w:rPr>
              <w:t>(83,976)</w:t>
            </w: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(97,785)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measures prepared in accordance with GAAP. Other companies, including companies in our industry, may calculate these measures differently or not at all, which reduces their usefulness as comparative measures. A reconciliation of the non-GAAP financial measures, Adjusted EBITDA and free cash flow to the most directly comparable financial measure calculated in accordance with GAAP is set forth below under “—Non-GAAP Financial Measures.”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millions, except dollar amounts in thousands)</w:t>
            </w: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47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6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Monthly active users (MAUs)(1)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(DAUs)(2)</w:t>
            </w: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Paid subscribers(3)</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bookings(4)</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50,466</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Total bookings(5)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190,181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36,880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65,830</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EBITDA(6)</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flow(6)</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80" w:hanging="332"/>
        <w:spacing w:after="0" w:line="249"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46" w:lineRule="exact"/>
        <w:rPr>
          <w:rFonts w:ascii="Arial" w:cs="Arial" w:eastAsia="Arial" w:hAnsi="Arial"/>
          <w:sz w:val="14"/>
          <w:szCs w:val="14"/>
          <w:color w:val="auto"/>
        </w:rPr>
      </w:pPr>
    </w:p>
    <w:p>
      <w:pPr>
        <w:ind w:left="340" w:right="120" w:hanging="332"/>
        <w:spacing w:after="0" w:line="258"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DAUs are defined as unique Duolingo users who engage with our mobile language learning application or the language learning section of our website each calendar day. DAUs are reported for a measurement period by taking the average of the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144" w:right="3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DAUs for each day in that measurement period. DAUs are a measure of the consistent engagement of our global user community on Duolingo.</w:t>
      </w:r>
    </w:p>
    <w:p>
      <w:pPr>
        <w:spacing w:after="0" w:line="163" w:lineRule="exact"/>
        <w:rPr>
          <w:sz w:val="20"/>
          <w:szCs w:val="20"/>
          <w:color w:val="auto"/>
        </w:rPr>
      </w:pPr>
    </w:p>
    <w:p>
      <w:pPr>
        <w:ind w:left="340" w:right="140" w:hanging="332"/>
        <w:spacing w:after="0" w:line="249"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Paid subscribers are defined as users who pay for access to Duolingo Plus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146"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pacing w:after="0" w:line="163" w:lineRule="exact"/>
        <w:rPr>
          <w:rFonts w:ascii="Arial" w:cs="Arial" w:eastAsia="Arial" w:hAnsi="Arial"/>
          <w:sz w:val="14"/>
          <w:szCs w:val="14"/>
          <w:color w:val="auto"/>
        </w:rPr>
      </w:pPr>
    </w:p>
    <w:p>
      <w:pPr>
        <w:ind w:left="340" w:right="240" w:hanging="332"/>
        <w:spacing w:after="0" w:line="258"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See “—Non-GAAP Financial Measures” below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use certain non-GAAP financial measures to supplement our consolidated financial statements,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financials measures differently or not at all, which reduces their usefulness as comparative measures.</w:t>
      </w:r>
    </w:p>
    <w:p>
      <w:pPr>
        <w:spacing w:after="0" w:line="13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defined as net loss excluding interest (income) expense, net, income tax provision,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IPO and public company readiness costs, stock-based compensation expense, tender offer-related costs, other expenses, and the 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 table presents a reconciliation of our net loss, the most directly comparable financial measure presented in accordance with GAAP,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47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IPO and public company readiness costs(1)</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Tender offer-related costs(2)</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expenses(3)</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Impairment of capitalized software(4)</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580" w:hanging="332"/>
        <w:spacing w:after="0" w:line="258"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139" w:lineRule="exact"/>
        <w:rPr>
          <w:rFonts w:ascii="Arial" w:cs="Arial" w:eastAsia="Arial" w:hAnsi="Arial"/>
          <w:sz w:val="14"/>
          <w:szCs w:val="14"/>
          <w:color w:val="auto"/>
        </w:rPr>
      </w:pPr>
    </w:p>
    <w:p>
      <w:pPr>
        <w:ind w:left="340" w:right="440" w:hanging="332"/>
        <w:spacing w:after="0" w:line="260"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costs related to our tender offer initiated in February 2021 (see Note 14 to our audited consolidated financial statements and Note 9 to our unaudited interim condensed consolidated financial statements included elsewhere in this prospectus), including fees incurred, as follows</w:t>
      </w:r>
      <w:r>
        <w:rPr>
          <w:rFonts w:ascii="Arial" w:cs="Arial" w:eastAsia="Arial" w:hAnsi="Arial"/>
          <w:sz w:val="17"/>
          <w:szCs w:val="17"/>
          <w:color w:val="auto"/>
        </w:rPr>
        <w:t>:</w:t>
      </w:r>
    </w:p>
    <w:p>
      <w:pPr>
        <w:spacing w:after="0" w:line="30"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252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of revenues</w:t>
            </w: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Research and</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Sales and marketing</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General and</w:t>
            </w:r>
          </w:p>
        </w:tc>
        <w:tc>
          <w:tcPr>
            <w:tcW w:w="340" w:type="dxa"/>
            <w:vAlign w:val="bottom"/>
          </w:tcPr>
          <w:p>
            <w:pPr>
              <w:spacing w:after="0"/>
              <w:rPr>
                <w:sz w:val="16"/>
                <w:szCs w:val="16"/>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development</w:t>
            </w:r>
          </w:p>
        </w:tc>
        <w:tc>
          <w:tcPr>
            <w:tcW w:w="16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administrative</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Tender offer</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tcBorders>
            <w:shd w:val="clear" w:color="auto" w:fill="DBDBDB"/>
          </w:tcPr>
          <w:p>
            <w:pPr>
              <w:spacing w:after="0"/>
              <w:rPr>
                <w:sz w:val="15"/>
                <w:szCs w:val="15"/>
                <w:color w:val="auto"/>
              </w:rPr>
            </w:pPr>
          </w:p>
        </w:tc>
        <w:tc>
          <w:tcPr>
            <w:tcW w:w="660" w:type="dxa"/>
            <w:vAlign w:val="bottom"/>
            <w:tcBorders>
              <w:top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top w:val="single" w:sz="8" w:color="DBDBDB"/>
            </w:tcBorders>
            <w:shd w:val="clear" w:color="auto" w:fill="DBDBDB"/>
          </w:tcPr>
          <w:p>
            <w:pPr>
              <w:spacing w:after="0"/>
              <w:rPr>
                <w:sz w:val="15"/>
                <w:szCs w:val="15"/>
                <w:color w:val="auto"/>
              </w:rPr>
            </w:pPr>
          </w:p>
        </w:tc>
        <w:tc>
          <w:tcPr>
            <w:tcW w:w="34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Fees and taxes paid on tender offer</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8"/>
        </w:trPr>
        <w:tc>
          <w:tcPr>
            <w:tcW w:w="25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4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0"/>
        </w:trPr>
        <w:tc>
          <w:tcPr>
            <w:tcW w:w="25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60" w:hanging="332"/>
        <w:spacing w:after="0" w:line="249"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Consolidated Statement of Operations. See Note 14 to our audited consolidated financial statements and Note 2 to our unaudited interim consolidated financial statements included elsewhere in this prospectus.</w:t>
      </w:r>
    </w:p>
    <w:p>
      <w:pPr>
        <w:spacing w:after="0" w:line="146" w:lineRule="exact"/>
        <w:rPr>
          <w:rFonts w:ascii="Arial" w:cs="Arial" w:eastAsia="Arial" w:hAnsi="Arial"/>
          <w:sz w:val="14"/>
          <w:szCs w:val="14"/>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write off of the capitalization of an internal-use software project prior to being launched to the user base.</w:t>
      </w:r>
    </w:p>
    <w:p>
      <w:pPr>
        <w:spacing w:after="0" w:line="14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software 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The following table presents a reconciliation of net cash provided by operating activities, the most directly comparable financial measure calculated in accordance with GAAP to free cash flow: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5,123</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Less: Capitalized software development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(839)</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Plus: IPO and public company readiness costs(1)</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48"/>
        </w:trPr>
        <w:tc>
          <w:tcPr>
            <w:tcW w:w="4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3,825</w:t>
            </w: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580" w:hanging="332"/>
        <w:spacing w:after="0" w:line="258"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 w:right="339"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and Other Data” and our consolidated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 Our historical results are not necessarily indicative of the results that may be expected for any period in the future. Except as otherwise noted, all references to 2019 refer to the year ended December 31, 2019 and references to 2020 refer to the year ended December 31, 2020. Subscriber metrics refer to the specific date denoted.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Duolingo is the leading global mobile learning platform, offering courses in 40 languages to approximately 40 million monthly active users. Our flagship app has organically become the world’s most popular way to learn languages and the top-grossing app in the Education category on both Google Play and the Apple App Store. We believe that we have become the preeminent online destination for language learning due to our beautifully designed products, exceptional user engagement, and demonstrated learning efficacy.</w:t>
      </w:r>
    </w:p>
    <w:p>
      <w:pPr>
        <w:spacing w:after="0" w:line="15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Our mission is to develop the best education in the world and make it universally available. Education has the ability to transform lives and create opportunities for social and economic advancement. However, access to high quality education is out of reach for too many people worldwide. We started Duolingo to provide access to quality education to everyone, and we started with a focus on language learning because of its potential to power both economic advancement and deep human connection.</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global market for consumer language learning is large, growing, and shifting online, and we believe we have a significant opportunity to expand our impact. There are 1.8 billion people in the world learning a new language, according to HolonIQ. In addition, we believe we are expanding the language learning market. For example, according to a survey we conducted in 2021, almost 80% of Duolingo users in the US were not already learning a language when they began using Duolingo.</w:t>
      </w:r>
    </w:p>
    <w:p>
      <w:pPr>
        <w:spacing w:after="0" w:line="15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Duolingo’s products are built on the belief that the hardest thing about learning a new language is staying motivated. Our product philosophy is centered around ensuring that learners have fun while also achieving their learning goals. We encourage our learners to return to our products day after day through our gamified experience. Our engaged learner base completes more than 500 million exercises each day.</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technology is at the core of everything we do. In addition to our obsession with beautiful, engaging design, we utilize the latest in machine learning and data analytics, along with a relentless focus on A/B testing, to leverage our significant data scale to improve our learners’ experience. We have an industry-leading team of approximately 280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extensions.</w:t>
      </w:r>
    </w:p>
    <w:p>
      <w:pPr>
        <w:spacing w:after="0" w:line="15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Since Duolingo’s launch in 2011, we have consistently invested in improving our platform to provide our learners a fun, engaging, and effective learning experience while remaining committed to our mission of making high quality education universally available. Over the years, we have experienced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 w:right="35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growth in learners on our platform, primarily through organic word-of-mouth virality rather than paid user acquisition. Below are some of the most important milestones in our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211455</wp:posOffset>
            </wp:positionV>
            <wp:extent cx="5349240" cy="2434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core competencies in engineering, A/B testing, data analytics, product design, gamification, personalization, and assessment are applicable not only to language learning but also to additional subjects. For example, in 2016, we launched the Duolingo English Test, which is our modern approach to testing and a pioneer in online, on-demand, high-stakes English proficiency assessment. In 2020, over 344,000 individual Duolingo English Tests were purchased compared to approximately 17,000 in 2019, a growth of approximately 2,000%. In early 2020, we launched Duolingo ABC, a new product focused on early literacy designed for children ages three to six.</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Since our founding, we have made extensive investments in technology and data analytics. Both the Duolingo English Test and Duolingo ABC leverage our shared technology infrastructure, and we believe our platform and its capabilities are extensible to additional products and subject areas.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we generated:</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revenues of $70.8 million and $161.7 million, respectively, representing year-over-year growth of 129%;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Subscription revenues of $54.8 million and $117.5 million, respectively, representing year-over-year growth of 114%;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Gross profit of $50.0 million and $115.7 million, respectively, representing year-over-year growth of 131%;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loss of $13.6 million and $15.8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of $(8.0) million and $3.6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cash provided by operating activities of $2.2 million and $17.7 million, respectively;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Free cash flow of $(3.1) million and $14.0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60"/>
          </w:cols>
          <w:pgMar w:left="320" w:top="144" w:right="41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2021, we generated:</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revenues of $28.1 million and $55.4 million, respectively, representing period-over-period growth of 97%;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Subscription revenues of $22.2 million and $40.1 million, respectively, representing period-over-period growth of 81%;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profit of $19.9 million and $40.3 million, respectively, representing period-over-period growth of 103%;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loss of $2.2 million and $13.5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of $(0.9) million and $0.9,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cash provided by operating activities of $4.7 million and $5.1 million, respectively;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Free cash flow of $3.0 million and $3.8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Generate Revenue</w:t>
      </w:r>
    </w:p>
    <w:p>
      <w:pPr>
        <w:spacing w:after="0" w:line="2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use a freemium business model that relies on a premium subscription offering, advertising, and in-app-purchases (IAPs) to produce revenue. We believe the following key attributes of our freemium subscription business model are core to our success.</w:t>
      </w:r>
    </w:p>
    <w:p>
      <w:pPr>
        <w:spacing w:after="0" w:line="10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Large Market</w:t>
      </w:r>
      <w:r>
        <w:rPr>
          <w:rFonts w:ascii="Arial" w:cs="Arial" w:eastAsia="Arial" w:hAnsi="Arial"/>
          <w:sz w:val="18"/>
          <w:szCs w:val="18"/>
          <w:color w:val="auto"/>
        </w:rPr>
        <w:t>: There is an enormous pool of potential language learners globally that HolonIQ estimates at 1.8 billion people.</w:t>
      </w:r>
    </w:p>
    <w:p>
      <w:pPr>
        <w:spacing w:after="0" w:line="171"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Free Users</w:t>
      </w:r>
      <w:r>
        <w:rPr>
          <w:rFonts w:ascii="Arial" w:cs="Arial" w:eastAsia="Arial" w:hAnsi="Arial"/>
          <w:sz w:val="18"/>
          <w:szCs w:val="18"/>
          <w:color w:val="auto"/>
        </w:rPr>
        <w:t>: Since none of our learning content is behind a paywall, anyone can download the Duolingo app, use it for as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they like, and complete any of our courses free of charge. This has allowed us to scale to 40 million MAUs for the quarter ended March 31, 2021. These millions of learners provide two benefits to our business model:</w:t>
      </w:r>
    </w:p>
    <w:p>
      <w:pPr>
        <w:spacing w:after="0" w:line="138" w:lineRule="exact"/>
        <w:rPr>
          <w:rFonts w:ascii="Arial" w:cs="Arial" w:eastAsia="Arial" w:hAnsi="Arial"/>
          <w:sz w:val="18"/>
          <w:szCs w:val="18"/>
          <w:color w:val="auto"/>
        </w:rPr>
      </w:pPr>
    </w:p>
    <w:p>
      <w:pPr>
        <w:ind w:left="1300" w:hanging="320"/>
        <w:spacing w:after="0" w:line="256" w:lineRule="auto"/>
        <w:tabs>
          <w:tab w:leader="none" w:pos="12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They become advocates for Duolingo and provide word-of-mouth publicity for our product, which enables our growth and has allowed us to make very selective and efficient marketing investments. From 2011 through the end of 2019, we spent a cumulative $14.5 million dollars on external marketing, even as Duolingo was downloaded hundreds of millions of times.</w:t>
      </w:r>
    </w:p>
    <w:p>
      <w:pPr>
        <w:spacing w:after="0" w:line="147" w:lineRule="exact"/>
        <w:rPr>
          <w:rFonts w:ascii="Arial" w:cs="Arial" w:eastAsia="Arial" w:hAnsi="Arial"/>
          <w:sz w:val="18"/>
          <w:szCs w:val="18"/>
          <w:color w:val="auto"/>
        </w:rPr>
      </w:pPr>
    </w:p>
    <w:p>
      <w:pPr>
        <w:jc w:val="both"/>
        <w:ind w:left="1300" w:right="40" w:hanging="320"/>
        <w:spacing w:after="0" w:line="256" w:lineRule="auto"/>
        <w:tabs>
          <w:tab w:leader="none" w:pos="12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users complete over 500 million exercises every day, generating large amounts of data that powers our high-volume A/B testing and novel AI techniques. We use this data and the insights that come from it to continually improve both engagement and efficacy.</w:t>
      </w:r>
    </w:p>
    <w:p>
      <w:pPr>
        <w:spacing w:after="0" w:line="125" w:lineRule="exact"/>
        <w:rPr>
          <w:rFonts w:ascii="Arial" w:cs="Arial" w:eastAsia="Arial" w:hAnsi="Arial"/>
          <w:sz w:val="18"/>
          <w:szCs w:val="18"/>
          <w:color w:val="auto"/>
        </w:rPr>
      </w:pPr>
    </w:p>
    <w:p>
      <w:pPr>
        <w:jc w:val="both"/>
        <w:ind w:left="660" w:right="340" w:hanging="328"/>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Paid Subscriber Conversion</w:t>
      </w:r>
      <w:r>
        <w:rPr>
          <w:rFonts w:ascii="Arial" w:cs="Arial" w:eastAsia="Arial" w:hAnsi="Arial"/>
          <w:sz w:val="18"/>
          <w:szCs w:val="18"/>
          <w:color w:val="auto"/>
        </w:rPr>
        <w:t>: As learners tend to use our product for months or even years before they decide to subscribe, we</w:t>
      </w:r>
      <w:r>
        <w:rPr>
          <w:rFonts w:ascii="Arial" w:cs="Arial" w:eastAsia="Arial" w:hAnsi="Arial"/>
          <w:sz w:val="18"/>
          <w:szCs w:val="18"/>
          <w:b w:val="1"/>
          <w:bCs w:val="1"/>
          <w:color w:val="auto"/>
        </w:rPr>
        <w:t xml:space="preserve"> </w:t>
      </w:r>
      <w:r>
        <w:rPr>
          <w:rFonts w:ascii="Arial" w:cs="Arial" w:eastAsia="Arial" w:hAnsi="Arial"/>
          <w:sz w:val="18"/>
          <w:szCs w:val="18"/>
          <w:color w:val="auto"/>
        </w:rPr>
        <w:t>enjoy economic benefits from attracting new users well into their tenure on the platform. In 2020, approximately 4% of our MAUs were paying subscribers. As of March 31, 2021, approximately 5% of our MAUs were paying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846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subscription offering is called Duolingo Plus. It offers learners features such as an ad-free experience, along with additional learning and gamification features that enhance their learning experience. One such enhancement is unlimited Hearts, which give learners more flexibility in how they move through course content. As of December 31, 2020, Duolingo Plus has approximately 1.6 million paying subscribers, and in 2020 subscriptions accounted for approximately 73% of our revenue. As of March 31, 2021, Duolingo Plus had approximately 1.8 million paid subscribers, and in the three months ended March 31, 2021 subscriptions accounted for approximately 72% of our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Duolingo Plus has three primary subscription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Learning app plans</w:t>
            </w:r>
          </w:p>
        </w:tc>
        <w:tc>
          <w:tcPr>
            <w:tcW w:w="80" w:type="dxa"/>
            <w:vAlign w:val="bottom"/>
            <w:vMerge w:val="restart"/>
          </w:tcPr>
          <w:p>
            <w:pPr>
              <w:spacing w:after="0"/>
              <w:rPr>
                <w:sz w:val="14"/>
                <w:szCs w:val="14"/>
                <w:color w:val="auto"/>
              </w:rPr>
            </w:pPr>
          </w:p>
        </w:tc>
        <w:tc>
          <w:tcPr>
            <w:tcW w:w="24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Payment Basis</w:t>
            </w:r>
          </w:p>
        </w:tc>
        <w:tc>
          <w:tcPr>
            <w:tcW w:w="80" w:type="dxa"/>
            <w:vAlign w:val="bottom"/>
            <w:vMerge w:val="restart"/>
          </w:tcPr>
          <w:p>
            <w:pPr>
              <w:spacing w:after="0"/>
              <w:rPr>
                <w:sz w:val="14"/>
                <w:szCs w:val="14"/>
                <w:color w:val="auto"/>
              </w:rPr>
            </w:pPr>
          </w:p>
        </w:tc>
        <w:tc>
          <w:tcPr>
            <w:tcW w:w="3640" w:type="dxa"/>
            <w:vAlign w:val="bottom"/>
            <w:vMerge w:val="restart"/>
          </w:tcPr>
          <w:p>
            <w:pPr>
              <w:jc w:val="right"/>
              <w:ind w:right="1434"/>
              <w:spacing w:after="0"/>
              <w:rPr>
                <w:sz w:val="20"/>
                <w:szCs w:val="20"/>
                <w:color w:val="auto"/>
              </w:rPr>
            </w:pPr>
            <w:r>
              <w:rPr>
                <w:rFonts w:ascii="Arial" w:cs="Arial" w:eastAsia="Arial" w:hAnsi="Arial"/>
                <w:sz w:val="14"/>
                <w:szCs w:val="14"/>
                <w:b w:val="1"/>
                <w:bCs w:val="1"/>
                <w:color w:val="auto"/>
              </w:rPr>
              <w:t>Duration</w:t>
            </w:r>
          </w:p>
        </w:tc>
        <w:tc>
          <w:tcPr>
            <w:tcW w:w="100" w:type="dxa"/>
            <w:vAlign w:val="bottom"/>
            <w:vMerge w:val="restart"/>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iOS/Android Price</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Web Price (US$)</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3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5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(US$)(1)</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1-month</w:t>
            </w:r>
          </w:p>
        </w:tc>
        <w:tc>
          <w:tcPr>
            <w:tcW w:w="254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Upfront, subscription</w:t>
            </w:r>
          </w:p>
        </w:tc>
        <w:tc>
          <w:tcPr>
            <w:tcW w:w="37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 month from date of purchase (28-31 days)</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12.99/mo</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12.99/mo</w:t>
            </w: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47.99</w:t>
            </w:r>
          </w:p>
        </w:tc>
        <w:tc>
          <w:tcPr>
            <w:tcW w:w="10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17"/>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6-month(2)</w:t>
            </w:r>
          </w:p>
        </w:tc>
        <w:tc>
          <w:tcPr>
            <w:tcW w:w="2540" w:type="dxa"/>
            <w:vAlign w:val="bottom"/>
            <w:gridSpan w:val="2"/>
          </w:tcPr>
          <w:p>
            <w:pPr>
              <w:ind w:left="780"/>
              <w:spacing w:after="0"/>
              <w:rPr>
                <w:sz w:val="20"/>
                <w:szCs w:val="20"/>
                <w:color w:val="auto"/>
              </w:rPr>
            </w:pPr>
            <w:r>
              <w:rPr>
                <w:rFonts w:ascii="Arial" w:cs="Arial" w:eastAsia="Arial" w:hAnsi="Arial"/>
                <w:sz w:val="18"/>
                <w:szCs w:val="18"/>
                <w:color w:val="auto"/>
              </w:rPr>
              <w:t>Upfront, subscription</w:t>
            </w:r>
          </w:p>
        </w:tc>
        <w:tc>
          <w:tcPr>
            <w:tcW w:w="3740" w:type="dxa"/>
            <w:vAlign w:val="bottom"/>
            <w:gridSpan w:val="2"/>
          </w:tcPr>
          <w:p>
            <w:pPr>
              <w:jc w:val="right"/>
              <w:ind w:right="120"/>
              <w:spacing w:after="0"/>
              <w:rPr>
                <w:sz w:val="20"/>
                <w:szCs w:val="20"/>
                <w:color w:val="auto"/>
              </w:rPr>
            </w:pPr>
            <w:r>
              <w:rPr>
                <w:rFonts w:ascii="Arial" w:cs="Arial" w:eastAsia="Arial" w:hAnsi="Arial"/>
                <w:sz w:val="18"/>
                <w:szCs w:val="18"/>
                <w:color w:val="auto"/>
              </w:rPr>
              <w:t>6 months from date of purchase</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(7.99/mo)</w:t>
            </w:r>
          </w:p>
        </w:tc>
        <w:tc>
          <w:tcPr>
            <w:tcW w:w="1560" w:type="dxa"/>
            <w:vAlign w:val="bottom"/>
          </w:tcPr>
          <w:p>
            <w:pPr>
              <w:jc w:val="right"/>
              <w:spacing w:after="0"/>
              <w:rPr>
                <w:sz w:val="20"/>
                <w:szCs w:val="20"/>
                <w:color w:val="auto"/>
              </w:rPr>
            </w:pPr>
            <w:r>
              <w:rPr>
                <w:rFonts w:ascii="Arial" w:cs="Arial" w:eastAsia="Arial" w:hAnsi="Arial"/>
                <w:sz w:val="18"/>
                <w:szCs w:val="18"/>
                <w:color w:val="auto"/>
              </w:rPr>
              <w:t>(7.99/mo)</w:t>
            </w:r>
          </w:p>
        </w:tc>
        <w:tc>
          <w:tcPr>
            <w:tcW w:w="0" w:type="dxa"/>
            <w:vAlign w:val="bottom"/>
          </w:tcPr>
          <w:p>
            <w:pPr>
              <w:spacing w:after="0"/>
              <w:rPr>
                <w:sz w:val="1"/>
                <w:szCs w:val="1"/>
                <w:color w:val="auto"/>
              </w:rPr>
            </w:pPr>
          </w:p>
        </w:tc>
      </w:tr>
      <w:tr>
        <w:trPr>
          <w:trHeight w:val="188"/>
        </w:trPr>
        <w:tc>
          <w:tcPr>
            <w:tcW w:w="16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740" w:type="dxa"/>
            <w:vAlign w:val="bottom"/>
            <w:gridSpan w:val="2"/>
            <w:shd w:val="clear" w:color="auto" w:fill="DBDBDB"/>
          </w:tcPr>
          <w:p>
            <w:pPr>
              <w:jc w:val="right"/>
              <w:ind w:right="120"/>
              <w:spacing w:after="0" w:line="189" w:lineRule="exact"/>
              <w:rPr>
                <w:sz w:val="20"/>
                <w:szCs w:val="20"/>
                <w:color w:val="auto"/>
              </w:rPr>
            </w:pPr>
            <w:r>
              <w:rPr>
                <w:rFonts w:ascii="Arial" w:cs="Arial" w:eastAsia="Arial" w:hAnsi="Arial"/>
                <w:sz w:val="18"/>
                <w:szCs w:val="18"/>
                <w:color w:val="auto"/>
              </w:rPr>
              <w:t>12 month from date of purchase (365-366</w:t>
            </w:r>
          </w:p>
        </w:tc>
        <w:tc>
          <w:tcPr>
            <w:tcW w:w="156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79.99</w:t>
            </w:r>
          </w:p>
        </w:tc>
        <w:tc>
          <w:tcPr>
            <w:tcW w:w="10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17"/>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12-month</w:t>
            </w:r>
          </w:p>
        </w:tc>
        <w:tc>
          <w:tcPr>
            <w:tcW w:w="254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Upfront, subscription</w:t>
            </w:r>
          </w:p>
        </w:tc>
        <w:tc>
          <w:tcPr>
            <w:tcW w:w="37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days)</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(6.67/mo)</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(6.99/mo)</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Prices listed in the table are list prices only. Internationally, prices across all platforms are adjusted to match the US dollar price based on country exchange rates.</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6-month subscription plan is being deprecated starting from the fourth quarter of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For users who are unable or unwilling to pay a subscription fee, we provide free access to our product and generate advertising revenue from the sale of display and video advertising delivered through advertising impressions. We generally enter into arrangements with the major programmatic advertising networks to monetize our advertising inventory. Our advertising revenue is primarily a function of the number of our free users, hours of engagement of our free users, and our ability to provide innovative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advertising products that are relevant to our users and enhance returns for our advertising partners. Advertising revenue represented approximately 17% of our revenue in 2020.</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In-app purchases consist of learners purchasing one-time benefits within the app, such as “streak freezes” and “timer boosts.” In 2020, we generated approximately 1% of our revenue from in-app purchases.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monetizing the Duolingo language learning app, we generate revenue from the Duolingo English Test by charging test takers a one-time fee of $49. University program acceptance is a driver of Duolingo English Test revenue. As of June 2021, over 3,000 higher education programs around the world accept the Duolingo English Test results as proof of English proficiency for international student admissions, including 17 of the top 20 undergraduate programs in the United States according to US News and World Report. Fee revenue from the Duolingo English Test accounted for approximately 9% of our revenue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Invest in Our Business</w:t>
      </w:r>
    </w:p>
    <w:p>
      <w:pPr>
        <w:spacing w:after="0" w:line="20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We are a product-driven company and believe that by investing in engineering, product development, and design we will see measurable return on investment (ROI) as we improve existing products and launch new offerings that will serve our learners’ needs. Our continual investment in research and development drives learner engagement and efficacy on our platform. This, in turn, drives organic user growth, and our user growth leads to subscriber growth.</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Research and development expenses were 45% and 33% of our total revenue in 2019 and 2020, and 34% and 41% of our total revenue in the three months ended March 31, 2020 and 2021. We expect to continue to spend a significant portion of our revenue on research and development in the future. We anticipate funding this spending on research and development through improvements in our gross profit. For example, because we pay fees to app platforms (i.e., Google Play and Apple App Store) representing approximately 30% of revenue for sales in the first 12 months of a subscriber’s tenure and 15% of revenue for bookings thereafter, we believe we can improve our gross margin by retaining subscribers past 12 months.</w:t>
      </w:r>
    </w:p>
    <w:p>
      <w:pPr>
        <w:spacing w:after="0" w:line="1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Because of our focus on our organic growth, we have been able to spend efficiently on marketing. Our investments to date are focused on high-leverage brand advertising and, to a lesser extent, performance marketing. From our founding in 2011 to the end of 2020, we have grown to our current scale while having spent only $41.8 million in aggregate on external marketing, $27.4 million of which was in 2020. In total in 2020, we spent 22% of revenue on sales and marketing—including the costs of our sales and marketing personnel—and we expect these costs to grow at a slower pace than revenue over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See “Selected Consolidated Financial and Other Data—Key Operating Metrics and Non-GAAP Financial Measures” for additional information on the operating metrics and non-GAAP financial measures set forth below, including a reconciliation of the non-GAAP financial measures Adjusted EBITDA and free cash flow to the most directly comparable financial measure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6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dollar amounts 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0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Paid subscribers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50,466</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Total bookings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190,181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36,880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65,830</w:t>
            </w:r>
          </w:p>
        </w:tc>
      </w:tr>
      <w:tr>
        <w:trPr>
          <w:trHeight w:val="108"/>
        </w:trPr>
        <w:tc>
          <w:tcPr>
            <w:tcW w:w="4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3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r>
      <w:tr>
        <w:trPr>
          <w:trHeight w:val="23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w:t>
            </w:r>
          </w:p>
        </w:tc>
      </w:tr>
      <w:tr>
        <w:trPr>
          <w:trHeight w:val="364"/>
        </w:trPr>
        <w:tc>
          <w:tcPr>
            <w:tcW w:w="46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5"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Duolingo users who engage with our mobile language learning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For 2019 and 2020, we had approximately 27.3 million and 36.7 million MAUs, respectively, representing a year-over-year increase of 34% and a CAGR of 20% from 2016 to 2020. We grow MAUs by attracting new users, retaining existing users, and by tapping into the millions of former users who return to our language learning app because of our product initiatives and brand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Daily Active Users (DAUs). </w:t>
      </w:r>
      <w:r>
        <w:rPr>
          <w:rFonts w:ascii="Arial" w:cs="Arial" w:eastAsia="Arial" w:hAnsi="Arial"/>
          <w:sz w:val="17"/>
          <w:szCs w:val="17"/>
          <w:color w:val="auto"/>
        </w:rPr>
        <w:t>DAUs are defined as unique Duolingo users who engage with our mobile language learning application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67945</wp:posOffset>
            </wp:positionV>
            <wp:extent cx="5349240" cy="290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For 2019 and 2020, we had approximately 5.2 million and 8.2 million DAUs, respectively, representing a year-over-year increase of 58% and a CAGR of 31% from 2016 to 2020. From 2019 to 2020, the DAU / MAU ratio, which we believe is another indicator of user engagement, increased from 19% to 22%. We grow DAUs by making the product more fun and engaging, as well as through our marketing efforts.</w:t>
      </w:r>
    </w:p>
    <w:p>
      <w:pPr>
        <w:spacing w:after="0" w:line="122"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Duolingo Plus and had an active subscription as of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888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720"/>
        <w:spacing w:after="0" w:line="271" w:lineRule="auto"/>
        <w:rPr>
          <w:sz w:val="20"/>
          <w:szCs w:val="20"/>
          <w:color w:val="auto"/>
        </w:rPr>
      </w:pPr>
      <w:r>
        <w:rPr>
          <w:rFonts w:ascii="Arial" w:cs="Arial" w:eastAsia="Arial" w:hAnsi="Arial"/>
          <w:sz w:val="18"/>
          <w:szCs w:val="18"/>
          <w:color w:val="auto"/>
        </w:rPr>
        <w:t>As of December 31, 2019 and 2020, we had approximately 0.9 million and 1.6 million paid subscribers, respectively, representing an increase of 84% year-over-year and a CAGR of 195% from 2017 to 2020. We grow paid subscribers by growing our free user base, converting a greater number of users to paid subscribers, and retaining subscribers.</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a purchase of a subscription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Duolingo Plus. Total bookings represent the amounts we receive from a purchase of a subscription to Duolingo Plus, a registration for a Duolingo English Test, an in-app purchase for a virtual good and from advertising networks for advertisements served to our users. We believe bookings provide an indication of trends in our operating results, including cash flows, that are not necessarily reflected in our revenue because we recognize subscription revenue ratably over the lifetime of a subscription, which is generally from one to twelve months.</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years ended December 31, 2019 and 2020, we generated $ 88.0 million and $190.2 million total bookings, respectively, representing a year-over-year increase of 116%. For the years ended December 31, 2019 and 2020, we generated $72.1 million and $144.4 million of subscription bookings, respectively, representing a year-over-year increase of 100%. For the three months ended March 31, 2020 and 2021, we generated $36.9 million and $65.8 million total bookings, respectively, representing a year-over-year increase of 78%. For the three months ended March 31, 2020 and 2021, we generated $30.7 million and $ 50.5 million of subscription bookings, respectively, representing a period-over-period increase of 64%. We generate subscription bookings by selling first time and renewal subscriptions as well as subscriptions to subscribers who previously had a subscription and return. As we grow our user base, convert a greater proportion of users to first time subscribers, increase renewal rates, and increase the proportion of re-subscribers, we increase subscription bookings.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Earnings (loss) before interest, taxes, depreciation and amortization (EBITDA) is one of the metrics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evaluate the financial performance of our business. Adjusted EBITDA is defined as net loss excluding interest (income) expense, net, income tax provision, depreciation and amortization, IPO and public company readiness costs as we prepare to be a public company, stock-based compensation expense, tender offer-related costs, other expenses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Adjusted EBITDA increases as we grow revenue, improve gross margin, and reduce operating expenses as a percentage of revenue, or through a combination of those drivers. For the years ended December 31, 2019 and 2020, we generated $(8.0) million and $3.6 million of Adjusted EBITDA, respectively. The year-over-year increase in Adjusted EBITDA occurred because gross margin improved and revenue grew at a faster rate than the growth of our operating expenses. For the three months ended March 31, 2020 and 2021, we generated $(0.9) million and $0.9 million of Adjusted EBITDA, respectively. The period-over-period increase in Adjusted EBITDA occurred because gross profit improved and operating expenses in the three months ended March 31, 2021 grew less rapidly than revenue when adjusted for costs incurred related to IPO and public company readiness and other costs which did not occur in the prior year.</w:t>
      </w:r>
    </w:p>
    <w:p>
      <w:pPr>
        <w:spacing w:after="0" w:line="12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years ended December 31, 2019 and 2020, we generated $(3.1) million and $14.0 million of free cash flow, respectively. Subscribers prepay for subscriptions at the time of purchase, so the year-over-year increase in subscription bookings led to this increase in free cash flow. Growing bookings and reducing costs as a percentage of bookings generate improvements in free cash flow. For the three months ended March 31, 2020 and 2021, we generated $3.0 million and $3.8 million of free cash flow, respectively. Free cash flow was impacted by an increase in cash from operations related to increased bookings and improvements in working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Our results of operations and financial condition have been, and will continue to be, affected by a number of factors that present significant opportunities for us but also pose risks and challenges, including those discussed below and in the section of this prospectus titled “Risk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Users and Paid Subscribers</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business model is dependent upon our ability to grow and maintain a large user base, and it also requires that we grow and keep paid subscribers.</w:t>
      </w:r>
    </w:p>
    <w:p>
      <w:pPr>
        <w:spacing w:after="0" w:line="14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Since 2016, our free users, as measured by MAUs, have more than doubled. This increase in free user scale enables our learning and investment flywheels.</w:t>
      </w:r>
    </w:p>
    <w:p>
      <w:pPr>
        <w:spacing w:after="0" w:line="108" w:lineRule="exact"/>
        <w:rPr>
          <w:sz w:val="20"/>
          <w:szCs w:val="20"/>
          <w:color w:val="auto"/>
        </w:rPr>
      </w:pPr>
    </w:p>
    <w:p>
      <w:pPr>
        <w:ind w:left="660" w:right="30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 improve both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Investment flywheel</w:t>
      </w:r>
      <w:r>
        <w:rPr>
          <w:rFonts w:ascii="Arial" w:cs="Arial" w:eastAsia="Arial" w:hAnsi="Arial"/>
          <w:sz w:val="18"/>
          <w:szCs w:val="18"/>
          <w:color w:val="auto"/>
        </w:rPr>
        <w:t>: Our user scale and word-of-mouth growth allow us to focus our capital investments on product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data analytics, as opposed to brand or performance marketing. The more learners use Duolingo and convert into paid subscribers, the more we are able to invest in creating an even more delightful, engaging and effective learning experience.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color w:val="auto"/>
        </w:rPr>
        <w:t>turn, this increases our popularity and user scale, as well as the effectiveness of our data analytics, further widening our competitive moat.</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the growth in free users, we have consistently grown the percentage of MAUs that pay us a subscription. Learners on our platform typically begin by engaging with our free offering, which serves as a funnel to grow our user base as well as drive conversion to our paid subscription. We engage our free learners by providing them a highly engaging and fun user experience and a well-designed product. Over time, as they experience the product or want to access more features, a portion of our free user base purchases our subscription offering. Starting from less than 1% paid subscriber penetration in 2017, we have increased to approximately 4% paid subscriber penetration in 2020.</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While we believe we are in the early days of increasing the number of learners on our platform and increasing our paid subscriber penetration, at some point we may face challenges to increasing both of the metrics. These challenges may include increasing competition from alternative products and a lack of appealing new product features. We may also at some point find that growth in paid subscribers slows due to saturation of our paid subscribers as a percentage of our total learners.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3017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User and Subscriber Cohort Characteristics</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believe that our business has attractive cohort characteristics because of our user growth, the improving conversion of free users to paid subscribers, and the stickiness of subscribers. As a result of our freemium model, we are able to cost-effectively attract learners to the platform, and these learners often use our product for months or even years for free before becoming subscribers.</w:t>
      </w:r>
    </w:p>
    <w:p>
      <w:pPr>
        <w:spacing w:after="0" w:line="14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the chart below we illustrate the power of this dynamic. User cohorts convert into paid subscribers over time, not solely in the year they first use Duolingo. For example, in 2020, approximately 53% of our first time subscription bookings came from users who joined the platform that year (in green), and approximately 47% came from users who joined before 2020 (in gray). We believe this is a business justification for having a high quality, deeply engaging free user experience: it leads to users staying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4" w:right="35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platform over long-periods of time and provides us with repeated opportunities to convert them to paid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109220</wp:posOffset>
            </wp:positionV>
            <wp:extent cx="5349240" cy="3171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no guarantee that these trends in user growth or conversion improvement will continue in the future. If any of these trends degrades, it will diminish the attractiveness of our user and subscriber cohorts.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Lifetime Value of Subscribers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average lifetime value of our subscribers is driven by the length of their subscription plans and by the mix of plans purchased.</w:t>
      </w:r>
    </w:p>
    <w:p>
      <w:pPr>
        <w:spacing w:after="0" w:line="18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Subscribers on our annual subscription plan tend to stay on our platform longer and are stickier than subscribers on our monthly plan. As of March 31, 2021, for subscribers who purchased annual plans in 2018, 2019, and 2020, the percentage who renewed their subscription after 12 months was approximately 40% for each period. For monthly subscribers over that same period, the percentage of subscribers who renewed their subscription after 12 months was approximately 9% for each period. As a result, even though the annual plan has a lower average revenue per user, the lifetime value of subscribers on our annual plan is approximately twice as high as the lifetime value of subscribers on our monthly plan. Given the limited history of our subscription product, which we launched in late 2017, we calculate lifetime value of our subscribers based on three-year historical cohort behavior and extrapolate this data for recent cohorts that have less than three years of data. At some point, the stickiness of our subscribers and their lifetime value may decrease if we do not continue to improve our subscriber experience or product features, or if competition increases in our industry.</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been successful in shifting our mix of paid subscribers to favor annual subscriptions over time. For example, annual subscribers made up approximately 47% of our paid subscribers as of the end of 2018, increasing to 71% of paid subscribers as of the end of 2020. This shift toward annual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44" w:right="35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has had a positive impact on subscriber lifetime value. We plan to continue to shift our subscriber mix toward annual subscribers, but we may face increased challenges in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330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Efficient User Acquisition and Strong Unit Economics</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investment in developing free, fun, engaging, and effective products creates an efficient user acquisition model, which drives strong unit economics.</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gross margins are over 70% of revenue, with payment-processing and platform fees we pay the app platforms (i.e., Google Play and Apple App Store) making up a majority of our Cost of Revenue. This gross margin, coupled with our primarily word-of-mouth driven, unpaid organic user acquisition model, leads to strong unit economics. For our paid user acquisition, we take a balanced and disciplined approach to marketing with no dependency on one channel. Our strategy includes brand marketing campaigns and our owned media marketing.</w:t>
      </w:r>
    </w:p>
    <w:p>
      <w:pPr>
        <w:spacing w:after="0" w:line="1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expect to continue to invest in product and marketing, while balancing growth with strong unit economics. Our marketing investments could increase, particularly as we expand internationally, if we need to spend more to acquire new users.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Geographic Markets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Consistent with our mission, we are focused on providing global access to learning and we are working to grow our platform reach around the world. Because we believe that language learning is even more valuable to users in certain international markets than it is in the United States, we are focused on entering new markets while investing in under-penetrated markets. Specifically, we see a significant opportunity to expand our learner base in many regions in Asia and Latin America. Expanding our learner base and increasing our paid subscribers in new geographies will require increased costs related to marketing and localization of product features. Potential risks to our expansion into new geographies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include competition and compliance with foreign laws and regulations, as well as risks that our pricing and subscription plans are received differently or adopted at different rates across geographies.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Adoption of the Duolingo English Test</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Duolingo English Test has grown significantly from 2019 to 2020, driven in part by an expansion of accepting programs and by increased demand due to the COVID-19 pandemic. As of June 2021, over 3,000 higher education programs around the world accept the Duolingo English Test as proof of English proficiency for international student admissions. Going forward, we may face challenges in increasing the number of schools that accept the Duolingo English Test as the pandemic recedes, and we may see a decrease in demand as competition intensifies.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Growth While Driving Long-Term Profitability</w:t>
      </w:r>
    </w:p>
    <w:p>
      <w:pPr>
        <w:spacing w:after="0" w:line="207"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We have demonstrated our ability to balance investment in product, technology and marketing while managing cash flow and achieving positive Adjusted EBITDA. Our language product has offered us a proven playbook for how to efficiently acquire users and drive monetization. We believe we can leverage this playbook across new areas of growth, like our recent entry into the literacy market with the release of Duolingo ABC.</w:t>
      </w:r>
    </w:p>
    <w:p>
      <w:pPr>
        <w:spacing w:after="0" w:line="152"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We expect to continue to invest in technology, product innovation, and marketing, while balancing growth with a focus on increasing our long-term margins. Key investment areas for our platform include: machine learning capabilities, including continually improving our personalized learning technology; features that prioritize security and privacy; and new premium offerings that add incremental value to paid subscribers.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the Offerings on Our Platform</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are continually evaluating new product offerings that are aligned with our mission, core competencies, and learner demand. For example, in early 2020, partly in response to the needs created by the COVD-19 pandemic, we released Duolingo ABC to teach early childhood literacy. We will continue to invest in and launch products where we see opportunities to grow our platform.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and Retaining Talent</w:t>
      </w:r>
    </w:p>
    <w:p>
      <w:pPr>
        <w:spacing w:after="0" w:line="20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Our business relies on our ability to attract and retain our talent, including engineers, data scientists, product designers and product developers. As of June 30, 2021, we had over 400 employees. Of these employees, approximately 70% work in engineering, product development, and design. We believe that people want to work at a company that is values-driven like Duolingo, and therefore our ability to recruit talent is aided by our mission and brand reputation. We compete for talent within the technology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We believe that COVID-19 increased our bookings for a period of time in 2020 due, in part, to stay at home and other social distancing measures, most notably in the second quarter. Our revenue was $28.1, $40.0, $45.3, and $48.3 million in the first, second, third, and fourth quarter of 2020, respectively. Our total bookings were $36.9, $49.6, $46.7, and $57.1 million in the first, second, third, and fourth quarter of 2020, respectively. The pandemic also increased adoption of the Duolingo English Test. To this end, in 2019, the Duolingo English Test generated approximately $1 million of revenue and in 2020 it generated approximately $15 million in revenue. Because this increase was driven in part by increased acceptance of the test, and because we believe universities are unlikely to stop accepting the test when the pandemic ends, we do not expect the Duolingo English Test to revert to pre-pandemic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of the virus. Any such developments may have adverse impacts 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outbreak or other similar outbreaks.”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color w:val="auto"/>
        </w:rPr>
        <w:t>We generate revenue primarily from the sale of subscriptions. The term-length of our subscription agreements are primarily monthly or annual. We have historically had a six-month subscription plan but during the fourth quarter of 2020, we began to phase it out. We also generate revenue from advertising, the in-app sale of virtual goods, and our English assessment test, the Duolingo English Test.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Cost of revenue predominantly consists of third-party payment processing fees charged by various distribution channel and hosting fees. To a much lesser extent, cost of revenue includes wages and share-based compensation for certain employees in the capacity of customer support, amortization of revenue generating capitalized software, and depreciation of certain property and equipment.</w:t>
      </w:r>
    </w:p>
    <w:p>
      <w:pPr>
        <w:spacing w:after="0" w:line="14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profit may fluctuate from period to period as our revenue fluctuates, and also as a result of the timing and amount of investments we make in items related to cost of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in order to drive user engagement and customer satisfaction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which we believe helps to drive organic growth in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Such expenses include compensation of engineers, designers, product managers, including share-based compensation, materials, travel and direct costs associated with the design and required testing of our platform. We expect engineers, designers, and product managers to represent a significant portion of our employees for the foreseeable future. Many of our new products and improvements to our platform require large investments and involve substantial time and risks to develop and launch. Some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products may not be well received or may take a long time for users to adopt. As a result, the benefits of our research and development investments may be difficult to forecast. We expect to continue to spend a significant portion of our revenue on research and development in the future.</w:t>
      </w:r>
    </w:p>
    <w:p>
      <w:pPr>
        <w:spacing w:after="0" w:line="12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We expect our sales and marketing expenses will decline as a percentage of revenue as our revenue grows over the long-term.</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 related compensation (including share-based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Listing Rules of the Nasdaq Global Select Market,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decrease as a percentage of our revenue as our revenue grows over the long-term.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Other income, net consists primarily of income earned on our money market funds included in cash and cash equivalents and on our marketable securities, offset by interest expense. Other income, net also includes a minimal amount of foreign currency exchange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320" w:top="144" w:right="41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our consolidated statements of operations data, including percentage of revenue, and year-over-year change,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13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129 %</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28,112</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jc w:val="right"/>
              <w:ind w:right="304"/>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55,360</w:t>
            </w: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revenues(1)(2)</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8,214</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6"/>
              <w:spacing w:after="0"/>
              <w:rPr>
                <w:sz w:val="20"/>
                <w:szCs w:val="20"/>
                <w:color w:val="auto"/>
              </w:rPr>
            </w:pPr>
            <w:r>
              <w:rPr>
                <w:rFonts w:ascii="Arial" w:cs="Arial" w:eastAsia="Arial" w:hAnsi="Arial"/>
                <w:sz w:val="18"/>
                <w:szCs w:val="18"/>
                <w:color w:val="auto"/>
              </w:rPr>
              <w:t>131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19,898</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40,341</w:t>
            </w:r>
          </w:p>
        </w:tc>
        <w:tc>
          <w:tcPr>
            <w:tcW w:w="140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development(1)</w:t>
            </w: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6"/>
              <w:spacing w:after="0"/>
              <w:rPr>
                <w:sz w:val="20"/>
                <w:szCs w:val="20"/>
                <w:color w:val="auto"/>
              </w:rPr>
            </w:pPr>
            <w:r>
              <w:rPr>
                <w:rFonts w:ascii="Arial" w:cs="Arial" w:eastAsia="Arial" w:hAnsi="Arial"/>
                <w:sz w:val="18"/>
                <w:szCs w:val="18"/>
                <w:color w:val="auto"/>
              </w:rPr>
              <w:t>68</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9,576</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22,529</w:t>
            </w:r>
          </w:p>
        </w:tc>
        <w:tc>
          <w:tcPr>
            <w:tcW w:w="140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Sales and marketing(1)(2)</w:t>
            </w: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Arial" w:cs="Arial" w:eastAsia="Arial" w:hAnsi="Arial"/>
                <w:sz w:val="18"/>
                <w:szCs w:val="18"/>
                <w:color w:val="auto"/>
              </w:rPr>
              <w:t>5,511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19,773</w:t>
            </w:r>
          </w:p>
        </w:tc>
        <w:tc>
          <w:tcPr>
            <w:tcW w:w="1400" w:type="dxa"/>
            <w:vAlign w:val="bottom"/>
            <w:gridSpan w:val="3"/>
          </w:tcPr>
          <w:p>
            <w:pPr>
              <w:jc w:val="right"/>
              <w:ind w:right="15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administrative(1)</w:t>
            </w: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43,713</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6"/>
              <w:spacing w:after="0"/>
              <w:rPr>
                <w:sz w:val="20"/>
                <w:szCs w:val="20"/>
                <w:color w:val="auto"/>
              </w:rPr>
            </w:pPr>
            <w:r>
              <w:rPr>
                <w:rFonts w:ascii="Arial" w:cs="Arial" w:eastAsia="Arial" w:hAnsi="Arial"/>
                <w:sz w:val="18"/>
                <w:szCs w:val="18"/>
                <w:color w:val="auto"/>
              </w:rPr>
              <w:t>167</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7,266</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11,453</w:t>
            </w:r>
          </w:p>
        </w:tc>
        <w:tc>
          <w:tcPr>
            <w:tcW w:w="140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Impairment of capitalized software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64,148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131,720</w:t>
            </w: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rPr>
              <w:t>105</w:t>
            </w: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22,353</w:t>
            </w:r>
          </w:p>
        </w:tc>
        <w:tc>
          <w:tcPr>
            <w:tcW w:w="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53,755</w:t>
            </w:r>
          </w:p>
        </w:tc>
        <w:tc>
          <w:tcPr>
            <w:tcW w:w="100" w:type="dxa"/>
            <w:vAlign w:val="bottom"/>
            <w:shd w:val="clear" w:color="auto" w:fill="DBDBDB"/>
          </w:tcPr>
          <w:p>
            <w:pPr>
              <w:spacing w:after="0"/>
              <w:rPr>
                <w:sz w:val="19"/>
                <w:szCs w:val="19"/>
                <w:color w:val="auto"/>
              </w:rPr>
            </w:pPr>
          </w:p>
        </w:tc>
        <w:tc>
          <w:tcPr>
            <w:tcW w:w="1300" w:type="dxa"/>
            <w:vAlign w:val="bottom"/>
            <w:tcBorders>
              <w:bottom w:val="single" w:sz="8" w:color="auto"/>
            </w:tcBorders>
            <w:gridSpan w:val="2"/>
            <w:shd w:val="clear" w:color="auto" w:fill="DBDBDB"/>
          </w:tcPr>
          <w:p>
            <w:pPr>
              <w:jc w:val="right"/>
              <w:ind w:right="1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(2,455)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(13,414)</w:t>
            </w:r>
          </w:p>
        </w:tc>
        <w:tc>
          <w:tcPr>
            <w:tcW w:w="1400" w:type="dxa"/>
            <w:vAlign w:val="bottom"/>
            <w:gridSpan w:val="3"/>
          </w:tcPr>
          <w:p>
            <w:pPr>
              <w:jc w:val="right"/>
              <w:ind w:right="15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16"/>
              <w:spacing w:after="0"/>
              <w:rPr>
                <w:sz w:val="20"/>
                <w:szCs w:val="20"/>
                <w:color w:val="auto"/>
              </w:rPr>
            </w:pPr>
            <w:r>
              <w:rPr>
                <w:rFonts w:ascii="Arial" w:cs="Arial" w:eastAsia="Arial" w:hAnsi="Arial"/>
                <w:sz w:val="18"/>
                <w:szCs w:val="18"/>
                <w:color w:val="auto"/>
              </w:rPr>
              <w:t>(47)</w:t>
            </w: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233</w:t>
            </w:r>
          </w:p>
        </w:tc>
        <w:tc>
          <w:tcPr>
            <w:tcW w:w="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DBDBDB"/>
          </w:tcPr>
          <w:p>
            <w:pPr>
              <w:spacing w:after="0"/>
              <w:rPr>
                <w:sz w:val="19"/>
                <w:szCs w:val="19"/>
                <w:color w:val="auto"/>
              </w:rPr>
            </w:pPr>
          </w:p>
        </w:tc>
        <w:tc>
          <w:tcPr>
            <w:tcW w:w="1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(13,455)</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11</w:t>
            </w:r>
          </w:p>
        </w:tc>
        <w:tc>
          <w:tcPr>
            <w:tcW w:w="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1300" w:type="dxa"/>
            <w:vAlign w:val="bottom"/>
            <w:tcBorders>
              <w:bottom w:val="single" w:sz="8" w:color="auto"/>
            </w:tcBorders>
            <w:gridSpan w:val="2"/>
            <w:shd w:val="clear" w:color="auto" w:fill="DBDBDB"/>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16 %</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(2,233)</w:t>
            </w:r>
          </w:p>
        </w:tc>
        <w:tc>
          <w:tcPr>
            <w:tcW w:w="80" w:type="dxa"/>
            <w:vAlign w:val="bottom"/>
          </w:tcPr>
          <w:p>
            <w:pPr>
              <w:spacing w:after="0"/>
              <w:rPr>
                <w:sz w:val="19"/>
                <w:szCs w:val="19"/>
                <w:color w:val="auto"/>
              </w:rPr>
            </w:pPr>
          </w:p>
        </w:tc>
        <w:tc>
          <w:tcPr>
            <w:tcW w:w="500" w:type="dxa"/>
            <w:vAlign w:val="bottom"/>
          </w:tcPr>
          <w:p>
            <w:pPr>
              <w:jc w:val="right"/>
              <w:ind w:right="304"/>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(13,472)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1"/>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40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680" w:type="dxa"/>
            <w:vAlign w:val="bottom"/>
            <w:gridSpan w:val="6"/>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6"/>
          </w:tcPr>
          <w:p>
            <w:pPr>
              <w:jc w:val="right"/>
              <w:ind w:right="396"/>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9"/>
          </w:tcPr>
          <w:p>
            <w:pPr>
              <w:ind w:left="64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06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260" w:type="dxa"/>
            <w:vAlign w:val="bottom"/>
            <w:tcBorders>
              <w:bottom w:val="single" w:sz="8" w:color="DBDBDB"/>
            </w:tcBorders>
          </w:tcPr>
          <w:p>
            <w:pPr>
              <w:spacing w:after="0"/>
              <w:rPr>
                <w:sz w:val="14"/>
                <w:szCs w:val="14"/>
                <w:color w:val="auto"/>
              </w:rPr>
            </w:pPr>
          </w:p>
        </w:tc>
        <w:tc>
          <w:tcPr>
            <w:tcW w:w="800" w:type="dxa"/>
            <w:vAlign w:val="bottom"/>
            <w:tcBorders>
              <w:bottom w:val="single" w:sz="8" w:color="DBDBDB"/>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DBDBDB"/>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96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DBDBDB"/>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jc w:val="right"/>
              <w:ind w:right="533"/>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260" w:type="dxa"/>
            <w:vAlign w:val="bottom"/>
            <w:shd w:val="clear" w:color="auto" w:fill="DBDBDB"/>
          </w:tcPr>
          <w:p>
            <w:pPr>
              <w:spacing w:after="0"/>
              <w:rPr>
                <w:sz w:val="16"/>
                <w:szCs w:val="16"/>
                <w:color w:val="auto"/>
              </w:rPr>
            </w:pPr>
          </w:p>
        </w:tc>
        <w:tc>
          <w:tcPr>
            <w:tcW w:w="92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6</w:t>
            </w:r>
          </w:p>
        </w:tc>
        <w:tc>
          <w:tcPr>
            <w:tcW w:w="26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040" w:type="dxa"/>
            <w:vAlign w:val="bottom"/>
            <w:gridSpan w:val="3"/>
            <w:shd w:val="clear" w:color="auto" w:fill="DBDBDB"/>
          </w:tcPr>
          <w:p>
            <w:pPr>
              <w:jc w:val="right"/>
              <w:ind w:right="70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700" w:type="dxa"/>
            <w:vAlign w:val="bottom"/>
            <w:gridSpan w:val="3"/>
            <w:shd w:val="clear" w:color="auto" w:fill="DBDBDB"/>
          </w:tcPr>
          <w:p>
            <w:pPr>
              <w:jc w:val="right"/>
              <w:ind w:right="37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1,552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2,773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341</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w w:val="94"/>
              </w:rPr>
              <w:t>348</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DBDBDB"/>
            </w:tcBorders>
          </w:tcPr>
          <w:p>
            <w:pPr>
              <w:spacing w:after="0"/>
              <w:rPr>
                <w:sz w:val="16"/>
                <w:szCs w:val="16"/>
                <w:color w:val="auto"/>
              </w:rPr>
            </w:pPr>
          </w:p>
        </w:tc>
        <w:tc>
          <w:tcPr>
            <w:tcW w:w="8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1,826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13,904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1,370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3,725</w:t>
            </w:r>
          </w:p>
        </w:tc>
        <w:tc>
          <w:tcPr>
            <w:tcW w:w="26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1040" w:type="dxa"/>
            <w:vAlign w:val="bottom"/>
            <w:gridSpan w:val="3"/>
            <w:shd w:val="clear" w:color="auto" w:fill="DBDBDB"/>
          </w:tcPr>
          <w:p>
            <w:pPr>
              <w:jc w:val="right"/>
              <w:ind w:right="70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1,154</w:t>
            </w:r>
          </w:p>
        </w:tc>
        <w:tc>
          <w:tcPr>
            <w:tcW w:w="700" w:type="dxa"/>
            <w:vAlign w:val="bottom"/>
            <w:gridSpan w:val="3"/>
            <w:shd w:val="clear" w:color="auto" w:fill="DBDBDB"/>
          </w:tcPr>
          <w:p>
            <w:pPr>
              <w:jc w:val="right"/>
              <w:ind w:right="37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2,551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00"/>
        <w:spacing w:after="0" w:line="260"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w:t>
      </w:r>
      <w:r>
        <w:rPr>
          <w:rFonts w:ascii="Arial" w:cs="Arial" w:eastAsia="Arial" w:hAnsi="Arial"/>
          <w:sz w:val="17"/>
          <w:szCs w:val="17"/>
          <w:color w:val="auto"/>
        </w:rPr>
        <w:t>.</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5"/>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2760" w:type="dxa"/>
            <w:vAlign w:val="bottom"/>
            <w:gridSpan w:val="4"/>
          </w:tcPr>
          <w:p>
            <w:pPr>
              <w:jc w:val="right"/>
              <w:ind w:right="550"/>
              <w:spacing w:after="0"/>
              <w:rPr>
                <w:sz w:val="20"/>
                <w:szCs w:val="20"/>
                <w:color w:val="auto"/>
              </w:rPr>
            </w:pPr>
            <w:r>
              <w:rPr>
                <w:rFonts w:ascii="Arial" w:cs="Arial" w:eastAsia="Arial" w:hAnsi="Arial"/>
                <w:sz w:val="13"/>
                <w:szCs w:val="13"/>
                <w:b w:val="1"/>
                <w:bCs w:val="1"/>
                <w:color w:val="auto"/>
              </w:rPr>
              <w:t>Three Months Ended March 31,</w:t>
            </w:r>
          </w:p>
        </w:tc>
      </w:tr>
      <w:tr>
        <w:trPr>
          <w:trHeight w:val="172"/>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2021</w:t>
            </w:r>
          </w:p>
        </w:tc>
      </w:tr>
      <w:tr>
        <w:trPr>
          <w:trHeight w:val="186"/>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ind w:right="12"/>
              <w:spacing w:after="0"/>
              <w:rPr>
                <w:sz w:val="20"/>
                <w:szCs w:val="20"/>
                <w:color w:val="auto"/>
              </w:rPr>
            </w:pPr>
            <w:r>
              <w:rPr>
                <w:rFonts w:ascii="Arial" w:cs="Arial" w:eastAsia="Arial" w:hAnsi="Arial"/>
                <w:sz w:val="14"/>
                <w:szCs w:val="14"/>
                <w:color w:val="auto"/>
              </w:rPr>
              <w:t>103</w:t>
            </w:r>
          </w:p>
        </w:tc>
        <w:tc>
          <w:tcPr>
            <w:tcW w:w="80" w:type="dxa"/>
            <w:vAlign w:val="bottom"/>
            <w:shd w:val="clear" w:color="auto" w:fill="DBDBDB"/>
          </w:tcPr>
          <w:p>
            <w:pPr>
              <w:spacing w:after="0"/>
              <w:rPr>
                <w:sz w:val="16"/>
                <w:szCs w:val="16"/>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20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660" w:right="760" w:hanging="328"/>
        <w:spacing w:after="0" w:line="258" w:lineRule="auto"/>
        <w:tabs>
          <w:tab w:leader="none" w:pos="6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42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5"/>
                <w:szCs w:val="15"/>
                <w:color w:val="auto"/>
              </w:rPr>
            </w:pPr>
          </w:p>
        </w:tc>
        <w:tc>
          <w:tcPr>
            <w:tcW w:w="16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23"/>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w:t>
            </w:r>
          </w:p>
        </w:tc>
      </w:tr>
      <w:tr>
        <w:trPr>
          <w:trHeight w:val="223"/>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71</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73</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34</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41</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36</w:t>
            </w:r>
          </w:p>
        </w:tc>
      </w:tr>
      <w:tr>
        <w:trPr>
          <w:trHeight w:val="229"/>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administrative(1)</w:t>
            </w: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26</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21</w:t>
            </w:r>
          </w:p>
        </w:tc>
      </w:tr>
      <w:tr>
        <w:trPr>
          <w:trHeight w:val="229"/>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Impairment of capitalized software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80</w:t>
            </w:r>
          </w:p>
        </w:tc>
        <w:tc>
          <w:tcPr>
            <w:tcW w:w="8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98</w:t>
            </w: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600" w:type="dxa"/>
            <w:vAlign w:val="bottom"/>
          </w:tcPr>
          <w:p>
            <w:pPr>
              <w:ind w:lef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(24)</w:t>
            </w:r>
          </w:p>
        </w:tc>
      </w:tr>
      <w:tr>
        <w:trPr>
          <w:trHeight w:val="229"/>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600" w:type="dxa"/>
            <w:vAlign w:val="bottom"/>
          </w:tcPr>
          <w:p>
            <w:pPr>
              <w:ind w:lef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(24)</w:t>
            </w:r>
          </w:p>
        </w:tc>
      </w:tr>
      <w:tr>
        <w:trPr>
          <w:trHeight w:val="229"/>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600" w:type="dxa"/>
            <w:vAlign w:val="bottom"/>
          </w:tcPr>
          <w:p>
            <w:pPr>
              <w:ind w:lef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9"/>
              </w:rPr>
              <w:t>(24)%</w:t>
            </w:r>
          </w:p>
        </w:tc>
      </w:tr>
      <w:tr>
        <w:trPr>
          <w:trHeight w:val="20"/>
        </w:trPr>
        <w:tc>
          <w:tcPr>
            <w:tcW w:w="4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a charge in 2020 of $10.2 million related to a secondary offering, which increased the percentage of revenue from 21% to 27%.</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$90.9 million, or 129%, to $161.7 million during the year ended December 31, 2020, from revenue of $70.8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year ended December 31, 2019. The main driver was an increase in subscription revenue of $62.7 million, primarily due to a 107% increase in the average number of paid subscribers during 2020 as compared to 2019, with the remainder of the increase driven by a change in mix of plans purchased and increased pricing. We also saw an increase in advertising revenues, primarily due to a 58% increase in DAUs during 2020 as compared to 2019, which resulted in increased advertisements served. Average revenue per DAU for our ads also increased year over year, accounting for the remainder of the increase in advertising revenues. Duolingo English Test revenue grew as well, which can at least partially be attributed to the COVID-19 pandemic with the closing of many in-person test centers, as well as the growth initiatives we have taken during 2020.</w:t>
      </w:r>
    </w:p>
    <w:p>
      <w:pPr>
        <w:spacing w:after="0" w:line="150"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Revenues increased $27.2 million, or 97%, to $55.4 million during the three months ended March 31, 2021, from revenue of $28.1 million during the three months ended March 31, 2020. The main driver was an increase in subscription revenue of $17.9 million, primarily due to a 78% increase in the average number of paid subscribers during the three months ended March 31, 2021 as compared to the three months ended March 31, 2020, in addition to a change in mix of plans purchased. In addition, advertising revenues increased $4.3 million. The increase was driven by the 39% increase in DAUs during the three months ended March 31, 2021 as compared to the three months ended March 31, 2020, which resulted in increased advertisements served. Average revenue per DAU for our ads also increased period over period. These drivers each contributed approximately half of the increase in advertising revenues. Duolingo English Test revenue also increased by $4.3 million during the three months ended March 31, 2021 compared to same period a year ago, which we believe highlights the durability of the growth that began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changes in revenue: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March</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DBDBDB"/>
            </w:tcBorders>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54,848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117,501</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62,653</w:t>
            </w:r>
          </w:p>
        </w:tc>
        <w:tc>
          <w:tcPr>
            <w:tcW w:w="10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114.2 %</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22,171</w:t>
            </w: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40,055</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17,884</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80.7 %</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14,118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12,925</w:t>
            </w:r>
          </w:p>
        </w:tc>
        <w:tc>
          <w:tcPr>
            <w:tcW w:w="10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4,267</w:t>
            </w:r>
          </w:p>
        </w:tc>
        <w:tc>
          <w:tcPr>
            <w:tcW w:w="8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89"/>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Duolingo English Test</w:t>
            </w:r>
          </w:p>
        </w:tc>
        <w:tc>
          <w:tcPr>
            <w:tcW w:w="120" w:type="dxa"/>
            <w:vAlign w:val="bottom"/>
            <w:shd w:val="clear" w:color="auto" w:fill="DBDBDB"/>
          </w:tcPr>
          <w:p>
            <w:pPr>
              <w:spacing w:after="0"/>
              <w:rPr>
                <w:sz w:val="16"/>
                <w:szCs w:val="16"/>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1,022</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15,155</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14,133</w:t>
            </w: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1382.9</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753</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5,035</w:t>
            </w: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4,282</w:t>
            </w:r>
          </w:p>
        </w:tc>
        <w:tc>
          <w:tcPr>
            <w:tcW w:w="8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568.7</w:t>
            </w:r>
          </w:p>
        </w:tc>
        <w:tc>
          <w:tcPr>
            <w:tcW w:w="0" w:type="dxa"/>
            <w:vAlign w:val="bottom"/>
          </w:tcPr>
          <w:p>
            <w:pPr>
              <w:spacing w:after="0"/>
              <w:rPr>
                <w:sz w:val="1"/>
                <w:szCs w:val="1"/>
                <w:color w:val="auto"/>
              </w:rPr>
            </w:pPr>
          </w:p>
        </w:tc>
      </w:tr>
      <w:tr>
        <w:trPr>
          <w:trHeight w:val="189"/>
        </w:trPr>
        <w:tc>
          <w:tcPr>
            <w:tcW w:w="2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DBDBDB"/>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158.7</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815</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452.8</w:t>
            </w:r>
          </w:p>
        </w:tc>
        <w:tc>
          <w:tcPr>
            <w:tcW w:w="0" w:type="dxa"/>
            <w:vAlign w:val="bottom"/>
          </w:tcPr>
          <w:p>
            <w:pPr>
              <w:spacing w:after="0"/>
              <w:rPr>
                <w:sz w:val="1"/>
                <w:szCs w:val="1"/>
                <w:color w:val="auto"/>
              </w:rPr>
            </w:pPr>
          </w:p>
        </w:tc>
      </w:tr>
      <w:tr>
        <w:trPr>
          <w:trHeight w:val="203"/>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70,760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161,696</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90,936</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128.5 %</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28,112</w:t>
            </w: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55,360</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27,248</w:t>
            </w: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96.9 %</w:t>
            </w:r>
          </w:p>
        </w:tc>
        <w:tc>
          <w:tcPr>
            <w:tcW w:w="0" w:type="dxa"/>
            <w:vAlign w:val="bottom"/>
          </w:tcPr>
          <w:p>
            <w:pPr>
              <w:spacing w:after="0"/>
              <w:rPr>
                <w:sz w:val="1"/>
                <w:szCs w:val="1"/>
                <w:color w:val="auto"/>
              </w:rPr>
            </w:pPr>
          </w:p>
        </w:tc>
      </w:tr>
      <w:tr>
        <w:trPr>
          <w:trHeight w:val="20"/>
        </w:trPr>
        <w:tc>
          <w:tcPr>
            <w:tcW w:w="23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Total gross margin increased during both the year ended December 31, 2020 and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as compared to same periods in the previous year. This increase is mainly due to cost efficiencies we implemented in the Duolingo English Test, in addition to increased advertisements served to free users which positively impacted advertising margins, and reduced payment processing fees due to improved stickiness and mix.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 along with related gross margins: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1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15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Costs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Gross Margin</w:t>
            </w:r>
          </w:p>
        </w:tc>
      </w:tr>
      <w:tr>
        <w:trPr>
          <w:trHeight w:val="203"/>
        </w:trPr>
        <w:tc>
          <w:tcPr>
            <w:tcW w:w="1740" w:type="dxa"/>
            <w:vAlign w:val="bottom"/>
            <w:gridSpan w:val="2"/>
            <w:shd w:val="clear" w:color="auto" w:fill="DBDBDB"/>
          </w:tcPr>
          <w:p>
            <w:pPr>
              <w:ind w:left="20"/>
              <w:spacing w:after="0" w:line="183" w:lineRule="exact"/>
              <w:rPr>
                <w:sz w:val="20"/>
                <w:szCs w:val="20"/>
                <w:color w:val="auto"/>
              </w:rPr>
            </w:pPr>
            <w:r>
              <w:rPr>
                <w:rFonts w:ascii="Arial" w:cs="Arial" w:eastAsia="Arial" w:hAnsi="Arial"/>
                <w:sz w:val="12"/>
                <w:szCs w:val="12"/>
                <w:color w:val="auto"/>
              </w:rPr>
              <w:t xml:space="preserve">Total cost of revenues  </w:t>
            </w:r>
            <w:r>
              <w:rPr>
                <w:rFonts w:ascii="Arial" w:cs="Arial" w:eastAsia="Arial" w:hAnsi="Arial"/>
                <w:sz w:val="21"/>
                <w:szCs w:val="21"/>
                <w:color w:val="auto"/>
                <w:vertAlign w:val="superscript"/>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20,737</w:t>
            </w:r>
          </w:p>
        </w:tc>
        <w:tc>
          <w:tcPr>
            <w:tcW w:w="1660" w:type="dxa"/>
            <w:vAlign w:val="bottom"/>
            <w:gridSpan w:val="5"/>
            <w:shd w:val="clear" w:color="auto" w:fill="DBDBDB"/>
          </w:tcPr>
          <w:p>
            <w:pPr>
              <w:jc w:val="right"/>
              <w:ind w:right="120"/>
              <w:spacing w:after="0" w:line="183" w:lineRule="exact"/>
              <w:rPr>
                <w:sz w:val="20"/>
                <w:szCs w:val="20"/>
                <w:color w:val="auto"/>
              </w:rPr>
            </w:pPr>
            <w:r>
              <w:rPr>
                <w:rFonts w:ascii="Arial" w:cs="Arial" w:eastAsia="Arial" w:hAnsi="Arial"/>
                <w:sz w:val="12"/>
                <w:szCs w:val="12"/>
                <w:color w:val="auto"/>
              </w:rPr>
              <w:t xml:space="preserve">70.7 %  </w:t>
            </w:r>
            <w:r>
              <w:rPr>
                <w:rFonts w:ascii="Arial" w:cs="Arial" w:eastAsia="Arial" w:hAnsi="Arial"/>
                <w:sz w:val="21"/>
                <w:szCs w:val="21"/>
                <w:color w:val="auto"/>
                <w:vertAlign w:val="superscript"/>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45,987</w:t>
            </w:r>
          </w:p>
        </w:tc>
        <w:tc>
          <w:tcPr>
            <w:tcW w:w="1660" w:type="dxa"/>
            <w:vAlign w:val="bottom"/>
            <w:gridSpan w:val="5"/>
            <w:shd w:val="clear" w:color="auto" w:fill="DBDBDB"/>
          </w:tcPr>
          <w:p>
            <w:pPr>
              <w:jc w:val="right"/>
              <w:ind w:right="120"/>
              <w:spacing w:after="0" w:line="183" w:lineRule="exact"/>
              <w:rPr>
                <w:sz w:val="20"/>
                <w:szCs w:val="20"/>
                <w:color w:val="auto"/>
              </w:rPr>
            </w:pPr>
            <w:r>
              <w:rPr>
                <w:rFonts w:ascii="Arial" w:cs="Arial" w:eastAsia="Arial" w:hAnsi="Arial"/>
                <w:sz w:val="12"/>
                <w:szCs w:val="12"/>
                <w:color w:val="auto"/>
              </w:rPr>
              <w:t xml:space="preserve">71.6 %  </w:t>
            </w:r>
            <w:r>
              <w:rPr>
                <w:rFonts w:ascii="Arial" w:cs="Arial" w:eastAsia="Arial" w:hAnsi="Arial"/>
                <w:sz w:val="21"/>
                <w:szCs w:val="21"/>
                <w:color w:val="auto"/>
                <w:vertAlign w:val="superscript"/>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8,214</w:t>
            </w:r>
          </w:p>
        </w:tc>
        <w:tc>
          <w:tcPr>
            <w:tcW w:w="1660" w:type="dxa"/>
            <w:vAlign w:val="bottom"/>
            <w:gridSpan w:val="5"/>
            <w:shd w:val="clear" w:color="auto" w:fill="DBDBDB"/>
          </w:tcPr>
          <w:p>
            <w:pPr>
              <w:jc w:val="right"/>
              <w:ind w:right="120"/>
              <w:spacing w:after="0" w:line="183" w:lineRule="exact"/>
              <w:rPr>
                <w:sz w:val="20"/>
                <w:szCs w:val="20"/>
                <w:color w:val="auto"/>
              </w:rPr>
            </w:pPr>
            <w:r>
              <w:rPr>
                <w:rFonts w:ascii="Arial" w:cs="Arial" w:eastAsia="Arial" w:hAnsi="Arial"/>
                <w:sz w:val="12"/>
                <w:szCs w:val="12"/>
                <w:color w:val="auto"/>
              </w:rPr>
              <w:t xml:space="preserve">70.8 %  </w:t>
            </w:r>
            <w:r>
              <w:rPr>
                <w:rFonts w:ascii="Arial" w:cs="Arial" w:eastAsia="Arial" w:hAnsi="Arial"/>
                <w:sz w:val="21"/>
                <w:szCs w:val="21"/>
                <w:color w:val="auto"/>
                <w:vertAlign w:val="superscript"/>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15,019</w:t>
            </w:r>
          </w:p>
        </w:tc>
        <w:tc>
          <w:tcPr>
            <w:tcW w:w="13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72.9 %</w:t>
            </w:r>
          </w:p>
        </w:tc>
      </w:tr>
      <w:tr>
        <w:trPr>
          <w:trHeight w:val="20"/>
        </w:trPr>
        <w:tc>
          <w:tcPr>
            <w:tcW w:w="15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increased $21.5 million, or 68%, to $53.0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$31.6 million during the year ended December 31, 2019. Research and development also increased $13.0 million, or 135%, to $22.5 million during the three months ended March 31, 2021 from $9.6 million during the three months ended March 31, 2020. The increase in both periods is mainly attributable to an increase in employee growth and contractor costs incurred to help sustain the revenue growth.</w:t>
      </w:r>
    </w:p>
    <w:p>
      <w:pPr>
        <w:spacing w:after="0" w:line="2"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Additionally, during the three months ended March 31, 2021, we incurred costs of $3.3 million related to the tender offer we initiated in February 2021. Research and development continues to be our highest operating expense as we invest heavily in it in order to drive user engagement and customer satisfaction on our platform, which we believe helps to drive organic growth in new MAUs and DAUs, which in turn drives additional growth in, and better stickiness of, paid subscribers, as well as increased advertising opportunities from free users.</w:t>
      </w:r>
    </w:p>
    <w:p>
      <w:pPr>
        <w:spacing w:after="0" w:line="130" w:lineRule="exact"/>
        <w:rPr>
          <w:sz w:val="20"/>
          <w:szCs w:val="20"/>
          <w:color w:val="auto"/>
        </w:rPr>
      </w:pPr>
    </w:p>
    <w:p>
      <w:pPr>
        <w:jc w:val="both"/>
        <w:ind w:right="340"/>
        <w:spacing w:after="0" w:line="284"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increased $20.0 million, or 133%, to $35.0 million during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$15.0 million during the year ended December 31, 2019. While we incurred $2.0 million of additional expenses related to employee costs, the majority of the increase is due to increased spending on media and brand to support our revenue growth.</w:t>
      </w:r>
    </w:p>
    <w:p>
      <w:pPr>
        <w:spacing w:after="0" w:line="13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Sales and marketing increased $14.3 million, or 259%, to $19.8 million during the three months ended March 31, 2021 from $5.5 million during the three months ended March 31, 2020. While we incurred $5.1 million of costs related to one-time cash awards we granted to Duolingo contributors under our non-employee volunteer program, which we refer to as contributor awards, and $1.0 million of additional expenses related to employee costs, of which $0.2 million was related to the tender offer, the majority of the increase is from spending on media and brand advertising. See Note 14 to our audited consolidated financial statements and Note 2 to our unaudited interim consolidated financial statements included elsewhere in this prospectus for additional information regarding the contributor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increased $27.3 million, or 167%, to $43.7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$16.4 million during the year ended December 31, 2019. The main driver of this increase is related to increased employee related costs of $10.7 million, including costs incurred as we begin to prepare to operate as a public company. A Secondary Transaction took place in November 2020, resulting in additional stock compensation expense of $10.2 million. Additionally, we recorded $2.3 million during the year ended December 31, 2020 for estimated taxes we expect to pay related to Sales and Value Added Taxes (VAT). A further $2.9 million is related to increased facility and office related costs and $0.9 million for accounting and legal fees. While we did have a reduction of $1.5 million in meals and travel related costs due to COVID-19, the remaining increase is due to increased costs incurred to expand to our facilities footprint.</w:t>
      </w:r>
    </w:p>
    <w:p>
      <w:pPr>
        <w:spacing w:after="0" w:line="1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General and administrative increased $4.2 million, or 58%, to $11.5 million during the three months ended March 31, 2021 from $7.3 million during the three months ended March 31, 2020. The main driver of this increase was related to increased employee related costs of $2.9 million, of which $1.8 million was related to the tender offer. We also incurred an additional $0.9 million of professional fees, of which $0.4 million was related to IPO and public readiness costs and $0.3 million was related to the tender offer. The expansion of the Pittsburgh office footprint resulted in another $0.3 million of expense. These increases were partially offset by a $0.4 million reduction in travel related costs due to COVID-19.</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income, net decreased $0.3 million, or 47%, to $0.3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as compared to $0.6 million during the year ended December 31, 2019. Other (expense) income, net decreased $0.3 million, or (118)%, to $41 thousand during the three months ended March 31, 2021 as compared to income of $0.2 million during the three months ended March 31, 2020. In both periods, the decrease was driven by a change in our investment policy as we moved excess cash to more conservative funds with lower interest rates beginning in early 2020. The remaining decrease is due to losses arising from translation of foreign currency transactions, whereas in the prior year period, we saw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Quarterly Results of Operations Data</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reflects, in the opinion of management, all adjustments of a normal, recurring nature that are necessary for a fair statement of the financial information presented.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44" w:right="35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140" w:type="dxa"/>
            <w:vAlign w:val="bottom"/>
          </w:tcPr>
          <w:p>
            <w:pPr>
              <w:spacing w:after="0"/>
              <w:rPr>
                <w:sz w:val="8"/>
                <w:szCs w:val="8"/>
                <w:color w:val="auto"/>
              </w:rPr>
            </w:pPr>
          </w:p>
        </w:tc>
        <w:tc>
          <w:tcPr>
            <w:tcW w:w="86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7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8"/>
                <w:szCs w:val="8"/>
                <w:color w:val="auto"/>
              </w:rPr>
            </w:pPr>
          </w:p>
        </w:tc>
        <w:tc>
          <w:tcPr>
            <w:tcW w:w="112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8"/>
                <w:szCs w:val="8"/>
                <w:color w:val="auto"/>
              </w:rPr>
            </w:pPr>
          </w:p>
        </w:tc>
        <w:tc>
          <w:tcPr>
            <w:tcW w:w="102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8"/>
                <w:szCs w:val="8"/>
                <w:color w:val="auto"/>
              </w:rPr>
            </w:pPr>
          </w:p>
        </w:tc>
        <w:tc>
          <w:tcPr>
            <w:tcW w:w="90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7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8"/>
                <w:szCs w:val="8"/>
                <w:color w:val="auto"/>
              </w:rPr>
            </w:pPr>
          </w:p>
        </w:tc>
        <w:tc>
          <w:tcPr>
            <w:tcW w:w="112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8"/>
                <w:szCs w:val="8"/>
                <w:color w:val="auto"/>
              </w:rPr>
            </w:pPr>
          </w:p>
        </w:tc>
        <w:tc>
          <w:tcPr>
            <w:tcW w:w="102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8"/>
                <w:szCs w:val="8"/>
                <w:color w:val="auto"/>
              </w:rPr>
            </w:pPr>
          </w:p>
        </w:tc>
        <w:tc>
          <w:tcPr>
            <w:tcW w:w="780" w:type="dxa"/>
            <w:vAlign w:val="bottom"/>
          </w:tcPr>
          <w:p>
            <w:pPr>
              <w:jc w:val="right"/>
              <w:ind w:right="158"/>
              <w:spacing w:after="0" w:line="102" w:lineRule="exact"/>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5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1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1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3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7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3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1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9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1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12,489</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15,646</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19,420</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23,205</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28,112</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DBDBDB"/>
          </w:tcPr>
          <w:p>
            <w:pPr>
              <w:jc w:val="right"/>
              <w:ind w:right="18"/>
              <w:spacing w:after="0"/>
              <w:rPr>
                <w:sz w:val="20"/>
                <w:szCs w:val="20"/>
                <w:color w:val="auto"/>
              </w:rPr>
            </w:pPr>
            <w:r>
              <w:rPr>
                <w:rFonts w:ascii="Arial" w:cs="Arial" w:eastAsia="Arial" w:hAnsi="Arial"/>
                <w:sz w:val="13"/>
                <w:szCs w:val="13"/>
                <w:color w:val="auto"/>
              </w:rPr>
              <w:t>40,011</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45,305</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48,268</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55,360</w:t>
            </w:r>
          </w:p>
        </w:tc>
        <w:tc>
          <w:tcPr>
            <w:tcW w:w="0" w:type="dxa"/>
            <w:vAlign w:val="bottom"/>
          </w:tcPr>
          <w:p>
            <w:pPr>
              <w:spacing w:after="0"/>
              <w:rPr>
                <w:sz w:val="1"/>
                <w:szCs w:val="1"/>
                <w:color w:val="auto"/>
              </w:rPr>
            </w:pPr>
          </w:p>
        </w:tc>
      </w:tr>
      <w:tr>
        <w:trPr>
          <w:trHeight w:val="169"/>
        </w:trPr>
        <w:tc>
          <w:tcPr>
            <w:tcW w:w="15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cost of revenues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3,747</w:t>
            </w:r>
          </w:p>
        </w:tc>
        <w:tc>
          <w:tcPr>
            <w:tcW w:w="10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4,604</w:t>
            </w:r>
          </w:p>
        </w:tc>
        <w:tc>
          <w:tcPr>
            <w:tcW w:w="1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5,657</w:t>
            </w:r>
          </w:p>
        </w:tc>
        <w:tc>
          <w:tcPr>
            <w:tcW w:w="8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6,729</w:t>
            </w:r>
          </w:p>
        </w:tc>
        <w:tc>
          <w:tcPr>
            <w:tcW w:w="10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8,214</w:t>
            </w:r>
          </w:p>
        </w:tc>
        <w:tc>
          <w:tcPr>
            <w:tcW w:w="10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11,809</w:t>
            </w:r>
          </w:p>
        </w:tc>
        <w:tc>
          <w:tcPr>
            <w:tcW w:w="8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13,101</w:t>
            </w:r>
          </w:p>
        </w:tc>
        <w:tc>
          <w:tcPr>
            <w:tcW w:w="8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12,863</w:t>
            </w:r>
          </w:p>
        </w:tc>
        <w:tc>
          <w:tcPr>
            <w:tcW w:w="1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15,019</w:t>
            </w:r>
          </w:p>
        </w:tc>
        <w:tc>
          <w:tcPr>
            <w:tcW w:w="0" w:type="dxa"/>
            <w:vAlign w:val="bottom"/>
          </w:tcPr>
          <w:p>
            <w:pPr>
              <w:spacing w:after="0"/>
              <w:rPr>
                <w:sz w:val="1"/>
                <w:szCs w:val="1"/>
                <w:color w:val="auto"/>
              </w:rPr>
            </w:pPr>
          </w:p>
        </w:tc>
      </w:tr>
      <w:tr>
        <w:trPr>
          <w:trHeight w:val="176"/>
        </w:trPr>
        <w:tc>
          <w:tcPr>
            <w:tcW w:w="1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8,742</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11,042</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13,763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16,476</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19,898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jc w:val="right"/>
              <w:ind w:right="18"/>
              <w:spacing w:after="0"/>
              <w:rPr>
                <w:sz w:val="20"/>
                <w:szCs w:val="20"/>
                <w:color w:val="auto"/>
              </w:rPr>
            </w:pPr>
            <w:r>
              <w:rPr>
                <w:rFonts w:ascii="Arial" w:cs="Arial" w:eastAsia="Arial" w:hAnsi="Arial"/>
                <w:sz w:val="13"/>
                <w:szCs w:val="13"/>
                <w:color w:val="auto"/>
              </w:rPr>
              <w:t>28,202</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32,204</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35,405</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40,341</w:t>
            </w: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Research and</w:t>
            </w:r>
          </w:p>
        </w:tc>
        <w:tc>
          <w:tcPr>
            <w:tcW w:w="140" w:type="dxa"/>
            <w:vAlign w:val="bottom"/>
            <w:shd w:val="clear" w:color="auto" w:fill="DBDBDB"/>
          </w:tcPr>
          <w:p>
            <w:pPr>
              <w:spacing w:after="0"/>
              <w:rPr>
                <w:sz w:val="11"/>
                <w:szCs w:val="11"/>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6,274</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7,422</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8,598</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9,266</w:t>
            </w: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9,576</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ind w:right="18"/>
              <w:spacing w:after="0"/>
              <w:rPr>
                <w:sz w:val="20"/>
                <w:szCs w:val="20"/>
                <w:color w:val="auto"/>
              </w:rPr>
            </w:pPr>
            <w:r>
              <w:rPr>
                <w:rFonts w:ascii="Arial" w:cs="Arial" w:eastAsia="Arial" w:hAnsi="Arial"/>
                <w:sz w:val="13"/>
                <w:szCs w:val="13"/>
                <w:color w:val="auto"/>
              </w:rPr>
              <w:t>12,111</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15,894</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15,444</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22,529</w:t>
            </w:r>
          </w:p>
        </w:tc>
        <w:tc>
          <w:tcPr>
            <w:tcW w:w="0" w:type="dxa"/>
            <w:vAlign w:val="bottom"/>
          </w:tcPr>
          <w:p>
            <w:pPr>
              <w:spacing w:after="0"/>
              <w:rPr>
                <w:sz w:val="1"/>
                <w:szCs w:val="1"/>
                <w:color w:val="auto"/>
              </w:rPr>
            </w:pPr>
          </w:p>
        </w:tc>
      </w:tr>
      <w:tr>
        <w:trPr>
          <w:trHeight w:val="168"/>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development</w:t>
            </w:r>
          </w:p>
        </w:tc>
        <w:tc>
          <w:tcPr>
            <w:tcW w:w="140" w:type="dxa"/>
            <w:vAlign w:val="bottom"/>
            <w:shd w:val="clear" w:color="auto" w:fill="DBDBDB"/>
          </w:tcPr>
          <w:p>
            <w:pPr>
              <w:spacing w:after="0"/>
              <w:rPr>
                <w:sz w:val="14"/>
                <w:szCs w:val="14"/>
                <w:color w:val="auto"/>
              </w:rPr>
            </w:pPr>
          </w:p>
        </w:tc>
        <w:tc>
          <w:tcPr>
            <w:tcW w:w="7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8,625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11,142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19,773</w:t>
            </w: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General and</w:t>
            </w:r>
          </w:p>
        </w:tc>
        <w:tc>
          <w:tcPr>
            <w:tcW w:w="140" w:type="dxa"/>
            <w:vAlign w:val="bottom"/>
            <w:shd w:val="clear" w:color="auto" w:fill="DBDBDB"/>
          </w:tcPr>
          <w:p>
            <w:pPr>
              <w:spacing w:after="0"/>
              <w:rPr>
                <w:sz w:val="11"/>
                <w:szCs w:val="11"/>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3,361</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3,805</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3,992</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5,213</w:t>
            </w: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7,266</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ind w:right="18"/>
              <w:spacing w:after="0"/>
              <w:rPr>
                <w:sz w:val="20"/>
                <w:szCs w:val="20"/>
                <w:color w:val="auto"/>
              </w:rPr>
            </w:pPr>
            <w:r>
              <w:rPr>
                <w:rFonts w:ascii="Arial" w:cs="Arial" w:eastAsia="Arial" w:hAnsi="Arial"/>
                <w:sz w:val="13"/>
                <w:szCs w:val="13"/>
                <w:color w:val="auto"/>
              </w:rPr>
              <w:t>7,385</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8,235</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20,827</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11,453</w:t>
            </w:r>
          </w:p>
        </w:tc>
        <w:tc>
          <w:tcPr>
            <w:tcW w:w="0" w:type="dxa"/>
            <w:vAlign w:val="bottom"/>
          </w:tcPr>
          <w:p>
            <w:pPr>
              <w:spacing w:after="0"/>
              <w:rPr>
                <w:sz w:val="1"/>
                <w:szCs w:val="1"/>
                <w:color w:val="auto"/>
              </w:rPr>
            </w:pPr>
          </w:p>
        </w:tc>
      </w:tr>
      <w:tr>
        <w:trPr>
          <w:trHeight w:val="168"/>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administrative</w:t>
            </w:r>
          </w:p>
        </w:tc>
        <w:tc>
          <w:tcPr>
            <w:tcW w:w="140" w:type="dxa"/>
            <w:vAlign w:val="bottom"/>
            <w:shd w:val="clear" w:color="auto" w:fill="DBDBDB"/>
          </w:tcPr>
          <w:p>
            <w:pPr>
              <w:spacing w:after="0"/>
              <w:rPr>
                <w:sz w:val="14"/>
                <w:szCs w:val="14"/>
                <w:color w:val="auto"/>
              </w:rPr>
            </w:pPr>
          </w:p>
        </w:tc>
        <w:tc>
          <w:tcPr>
            <w:tcW w:w="7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Impairment of</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580" w:type="dxa"/>
            <w:vAlign w:val="bottom"/>
          </w:tcPr>
          <w:p>
            <w:pPr>
              <w:ind w:left="360"/>
              <w:spacing w:after="0"/>
              <w:rPr>
                <w:sz w:val="20"/>
                <w:szCs w:val="20"/>
                <w:color w:val="auto"/>
              </w:rPr>
            </w:pPr>
            <w:r>
              <w:rPr>
                <w:rFonts w:ascii="Arial" w:cs="Arial" w:eastAsia="Arial" w:hAnsi="Arial"/>
                <w:sz w:val="13"/>
                <w:szCs w:val="13"/>
                <w:color w:val="auto"/>
              </w:rPr>
              <w:t>capitalized software</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top w:val="single" w:sz="8" w:color="auto"/>
            </w:tcBorders>
            <w:shd w:val="clear" w:color="auto" w:fill="DBDBDB"/>
          </w:tcPr>
          <w:p>
            <w:pPr>
              <w:spacing w:after="0"/>
              <w:rPr>
                <w:sz w:val="15"/>
                <w:szCs w:val="15"/>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12,243</w:t>
            </w:r>
          </w:p>
        </w:tc>
        <w:tc>
          <w:tcPr>
            <w:tcW w:w="10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13,965</w:t>
            </w:r>
          </w:p>
        </w:tc>
        <w:tc>
          <w:tcPr>
            <w:tcW w:w="10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16,938</w:t>
            </w:r>
          </w:p>
        </w:tc>
        <w:tc>
          <w:tcPr>
            <w:tcW w:w="8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21,002</w:t>
            </w:r>
          </w:p>
        </w:tc>
        <w:tc>
          <w:tcPr>
            <w:tcW w:w="100" w:type="dxa"/>
            <w:vAlign w:val="bottom"/>
            <w:tcBorders>
              <w:top w:val="single" w:sz="8" w:color="DBDBDB"/>
            </w:tcBorders>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spacing w:after="0"/>
              <w:rPr>
                <w:sz w:val="15"/>
                <w:szCs w:val="15"/>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22,353</w:t>
            </w:r>
          </w:p>
        </w:tc>
        <w:tc>
          <w:tcPr>
            <w:tcW w:w="10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700" w:type="dxa"/>
            <w:vAlign w:val="bottom"/>
            <w:tcBorders>
              <w:top w:val="single" w:sz="8" w:color="auto"/>
            </w:tcBorders>
            <w:shd w:val="clear" w:color="auto" w:fill="DBDBDB"/>
          </w:tcPr>
          <w:p>
            <w:pPr>
              <w:jc w:val="right"/>
              <w:ind w:right="18"/>
              <w:spacing w:after="0"/>
              <w:rPr>
                <w:sz w:val="20"/>
                <w:szCs w:val="20"/>
                <w:color w:val="auto"/>
              </w:rPr>
            </w:pPr>
            <w:r>
              <w:rPr>
                <w:rFonts w:ascii="Arial" w:cs="Arial" w:eastAsia="Arial" w:hAnsi="Arial"/>
                <w:sz w:val="13"/>
                <w:szCs w:val="13"/>
                <w:color w:val="auto"/>
              </w:rPr>
              <w:t>28,120</w:t>
            </w:r>
          </w:p>
        </w:tc>
        <w:tc>
          <w:tcPr>
            <w:tcW w:w="8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35,271</w:t>
            </w:r>
          </w:p>
        </w:tc>
        <w:tc>
          <w:tcPr>
            <w:tcW w:w="8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45,976</w:t>
            </w:r>
          </w:p>
        </w:tc>
        <w:tc>
          <w:tcPr>
            <w:tcW w:w="10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53,755</w:t>
            </w: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(10,571)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(13,414)</w:t>
            </w:r>
          </w:p>
        </w:tc>
        <w:tc>
          <w:tcPr>
            <w:tcW w:w="0" w:type="dxa"/>
            <w:vAlign w:val="bottom"/>
          </w:tcPr>
          <w:p>
            <w:pPr>
              <w:spacing w:after="0"/>
              <w:rPr>
                <w:sz w:val="1"/>
                <w:szCs w:val="1"/>
                <w:color w:val="auto"/>
              </w:rPr>
            </w:pPr>
          </w:p>
        </w:tc>
      </w:tr>
      <w:tr>
        <w:trPr>
          <w:trHeight w:val="183"/>
        </w:trPr>
        <w:tc>
          <w:tcPr>
            <w:tcW w:w="1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 income, net</w:t>
            </w:r>
          </w:p>
        </w:tc>
        <w:tc>
          <w:tcPr>
            <w:tcW w:w="14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w w:val="96"/>
              </w:rPr>
              <w:t>Loss before provision for</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(3,351)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(2,753)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(3,039)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(4,411)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(3,153)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(10,384)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(13,455)</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income taxes</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Provision for income</w:t>
            </w:r>
          </w:p>
        </w:tc>
        <w:tc>
          <w:tcPr>
            <w:tcW w:w="140" w:type="dxa"/>
            <w:vAlign w:val="bottom"/>
            <w:shd w:val="clear" w:color="auto" w:fill="DBDBDB"/>
          </w:tcPr>
          <w:p>
            <w:pPr>
              <w:spacing w:after="0"/>
              <w:rPr>
                <w:sz w:val="11"/>
                <w:szCs w:val="11"/>
                <w:color w:val="auto"/>
              </w:rPr>
            </w:pPr>
          </w:p>
        </w:tc>
        <w:tc>
          <w:tcPr>
            <w:tcW w:w="8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10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ind w:right="18"/>
              <w:spacing w:after="0"/>
              <w:rPr>
                <w:sz w:val="20"/>
                <w:szCs w:val="20"/>
                <w:color w:val="auto"/>
              </w:rPr>
            </w:pPr>
            <w:r>
              <w:rPr>
                <w:rFonts w:ascii="Arial" w:cs="Arial" w:eastAsia="Arial" w:hAnsi="Arial"/>
                <w:sz w:val="13"/>
                <w:szCs w:val="13"/>
                <w:color w:val="auto"/>
              </w:rPr>
              <w:t>11</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1"/>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taxes</w:t>
            </w:r>
          </w:p>
        </w:tc>
        <w:tc>
          <w:tcPr>
            <w:tcW w:w="140" w:type="dxa"/>
            <w:vAlign w:val="bottom"/>
            <w:shd w:val="clear" w:color="auto" w:fill="DBDBDB"/>
          </w:tcPr>
          <w:p>
            <w:pPr>
              <w:spacing w:after="0"/>
              <w:rPr>
                <w:sz w:val="14"/>
                <w:szCs w:val="14"/>
                <w:color w:val="auto"/>
              </w:rPr>
            </w:pPr>
          </w:p>
        </w:tc>
        <w:tc>
          <w:tcPr>
            <w:tcW w:w="86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20" w:type="dxa"/>
            <w:vAlign w:val="bottom"/>
            <w:gridSpan w:val="2"/>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(3,351)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(3,039)</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(13,472)</w:t>
            </w:r>
          </w:p>
        </w:tc>
        <w:tc>
          <w:tcPr>
            <w:tcW w:w="0" w:type="dxa"/>
            <w:vAlign w:val="bottom"/>
          </w:tcPr>
          <w:p>
            <w:pPr>
              <w:spacing w:after="0"/>
              <w:rPr>
                <w:sz w:val="1"/>
                <w:szCs w:val="1"/>
                <w:color w:val="auto"/>
              </w:rPr>
            </w:pPr>
          </w:p>
        </w:tc>
      </w:tr>
      <w:tr>
        <w:trPr>
          <w:trHeight w:val="20"/>
        </w:trPr>
        <w:tc>
          <w:tcPr>
            <w:tcW w:w="1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expense, net</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5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Income tax provision</w:t>
            </w:r>
          </w:p>
        </w:tc>
        <w:tc>
          <w:tcPr>
            <w:tcW w:w="140" w:type="dxa"/>
            <w:vAlign w:val="bottom"/>
            <w:shd w:val="clear" w:color="auto" w:fill="DBDBDB"/>
          </w:tcPr>
          <w:p>
            <w:pPr>
              <w:spacing w:after="0"/>
              <w:rPr>
                <w:sz w:val="15"/>
                <w:szCs w:val="15"/>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jc w:val="right"/>
              <w:ind w:right="18"/>
              <w:spacing w:after="0"/>
              <w:rPr>
                <w:sz w:val="20"/>
                <w:szCs w:val="20"/>
                <w:color w:val="auto"/>
              </w:rPr>
            </w:pPr>
            <w:r>
              <w:rPr>
                <w:rFonts w:ascii="Arial" w:cs="Arial" w:eastAsia="Arial" w:hAnsi="Arial"/>
                <w:sz w:val="13"/>
                <w:szCs w:val="13"/>
                <w:color w:val="auto"/>
              </w:rPr>
              <w:t>11</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Depreciation and</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623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627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amortization</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w w:val="97"/>
              </w:rPr>
              <w:t>IPO and public company</w:t>
            </w:r>
          </w:p>
        </w:tc>
        <w:tc>
          <w:tcPr>
            <w:tcW w:w="140" w:type="dxa"/>
            <w:vAlign w:val="bottom"/>
            <w:shd w:val="clear" w:color="auto" w:fill="DBDBDB"/>
          </w:tcPr>
          <w:p>
            <w:pPr>
              <w:spacing w:after="0"/>
              <w:rPr>
                <w:sz w:val="11"/>
                <w:szCs w:val="11"/>
                <w:color w:val="auto"/>
              </w:rPr>
            </w:pPr>
          </w:p>
        </w:tc>
        <w:tc>
          <w:tcPr>
            <w:tcW w:w="8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10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1"/>
                <w:szCs w:val="11"/>
                <w:color w:val="auto"/>
              </w:rPr>
            </w:pPr>
          </w:p>
        </w:tc>
        <w:tc>
          <w:tcPr>
            <w:tcW w:w="9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8"/>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readiness costs</w:t>
            </w:r>
          </w:p>
        </w:tc>
        <w:tc>
          <w:tcPr>
            <w:tcW w:w="140" w:type="dxa"/>
            <w:vAlign w:val="bottom"/>
            <w:shd w:val="clear" w:color="auto" w:fill="DBDBDB"/>
          </w:tcPr>
          <w:p>
            <w:pPr>
              <w:spacing w:after="0"/>
              <w:rPr>
                <w:sz w:val="14"/>
                <w:szCs w:val="14"/>
                <w:color w:val="auto"/>
              </w:rPr>
            </w:pPr>
          </w:p>
        </w:tc>
        <w:tc>
          <w:tcPr>
            <w:tcW w:w="86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20" w:type="dxa"/>
            <w:vAlign w:val="bottom"/>
            <w:gridSpan w:val="2"/>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0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rPr>
                <w:sz w:val="20"/>
                <w:szCs w:val="20"/>
                <w:color w:val="auto"/>
              </w:rPr>
            </w:pPr>
            <w:r>
              <w:rPr>
                <w:rFonts w:ascii="Arial" w:cs="Arial" w:eastAsia="Arial" w:hAnsi="Arial"/>
                <w:sz w:val="13"/>
                <w:szCs w:val="13"/>
                <w:color w:val="auto"/>
              </w:rPr>
              <w:t>Tender related costs</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5,599</w:t>
            </w:r>
          </w:p>
        </w:tc>
        <w:tc>
          <w:tcPr>
            <w:tcW w:w="0" w:type="dxa"/>
            <w:vAlign w:val="bottom"/>
          </w:tcPr>
          <w:p>
            <w:pPr>
              <w:spacing w:after="0"/>
              <w:rPr>
                <w:sz w:val="1"/>
                <w:szCs w:val="1"/>
                <w:color w:val="auto"/>
              </w:rPr>
            </w:pPr>
          </w:p>
        </w:tc>
      </w:tr>
      <w:tr>
        <w:trPr>
          <w:trHeight w:val="183"/>
        </w:trPr>
        <w:tc>
          <w:tcPr>
            <w:tcW w:w="15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DBDBDB"/>
          </w:tcPr>
          <w:p>
            <w:pPr>
              <w:spacing w:after="0"/>
              <w:rPr>
                <w:sz w:val="15"/>
                <w:szCs w:val="15"/>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5,098</w:t>
            </w: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Stock-based</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829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878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1,154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1,682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1,682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12,513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compensation</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Impairment of</w:t>
            </w:r>
          </w:p>
        </w:tc>
        <w:tc>
          <w:tcPr>
            <w:tcW w:w="140" w:type="dxa"/>
            <w:vAlign w:val="bottom"/>
            <w:shd w:val="clear" w:color="auto" w:fill="DBDBDB"/>
          </w:tcPr>
          <w:p>
            <w:pPr>
              <w:spacing w:after="0"/>
              <w:rPr>
                <w:sz w:val="11"/>
                <w:szCs w:val="11"/>
                <w:color w:val="auto"/>
              </w:rPr>
            </w:pPr>
          </w:p>
        </w:tc>
        <w:tc>
          <w:tcPr>
            <w:tcW w:w="8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1,228</w:t>
            </w: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10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capitalized software</w:t>
            </w:r>
          </w:p>
        </w:tc>
        <w:tc>
          <w:tcPr>
            <w:tcW w:w="140" w:type="dxa"/>
            <w:vAlign w:val="bottom"/>
            <w:shd w:val="clear" w:color="auto" w:fill="DBDBDB"/>
          </w:tcPr>
          <w:p>
            <w:pPr>
              <w:spacing w:after="0"/>
              <w:rPr>
                <w:sz w:val="14"/>
                <w:szCs w:val="14"/>
                <w:color w:val="auto"/>
              </w:rPr>
            </w:pPr>
          </w:p>
        </w:tc>
        <w:tc>
          <w:tcPr>
            <w:tcW w:w="86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0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2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2,331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table sets forth our results of operations for the last eight quarterly periods presented as a percentage of our total revenues for those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Quarter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98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March 31,</w:t>
            </w:r>
          </w:p>
        </w:tc>
        <w:tc>
          <w:tcPr>
            <w:tcW w:w="880" w:type="dxa"/>
            <w:vAlign w:val="bottom"/>
            <w:gridSpan w:val="2"/>
          </w:tcPr>
          <w:p>
            <w:pPr>
              <w:ind w:left="180"/>
              <w:spacing w:after="0" w:line="102" w:lineRule="exact"/>
              <w:rPr>
                <w:sz w:val="20"/>
                <w:szCs w:val="20"/>
                <w:color w:val="auto"/>
              </w:rPr>
            </w:pPr>
            <w:r>
              <w:rPr>
                <w:rFonts w:ascii="Arial" w:cs="Arial" w:eastAsia="Arial" w:hAnsi="Arial"/>
                <w:sz w:val="11"/>
                <w:szCs w:val="11"/>
                <w:b w:val="1"/>
                <w:bCs w:val="1"/>
                <w:color w:val="auto"/>
              </w:rPr>
              <w:t>June 30,</w:t>
            </w:r>
          </w:p>
        </w:tc>
        <w:tc>
          <w:tcPr>
            <w:tcW w:w="1300" w:type="dxa"/>
            <w:vAlign w:val="bottom"/>
            <w:gridSpan w:val="2"/>
          </w:tcPr>
          <w:p>
            <w:pPr>
              <w:ind w:left="240"/>
              <w:spacing w:after="0" w:line="102" w:lineRule="exact"/>
              <w:rPr>
                <w:sz w:val="20"/>
                <w:szCs w:val="20"/>
                <w:color w:val="auto"/>
              </w:rPr>
            </w:pPr>
            <w:r>
              <w:rPr>
                <w:rFonts w:ascii="Arial" w:cs="Arial" w:eastAsia="Arial" w:hAnsi="Arial"/>
                <w:sz w:val="11"/>
                <w:szCs w:val="11"/>
                <w:b w:val="1"/>
                <w:bCs w:val="1"/>
                <w:color w:val="auto"/>
              </w:rPr>
              <w:t>September 30,</w:t>
            </w:r>
          </w:p>
        </w:tc>
        <w:tc>
          <w:tcPr>
            <w:tcW w:w="120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December 31,</w:t>
            </w:r>
          </w:p>
        </w:tc>
        <w:tc>
          <w:tcPr>
            <w:tcW w:w="980" w:type="dxa"/>
            <w:vAlign w:val="bottom"/>
            <w:gridSpan w:val="2"/>
          </w:tcPr>
          <w:p>
            <w:pPr>
              <w:ind w:left="180"/>
              <w:spacing w:after="0" w:line="102" w:lineRule="exact"/>
              <w:rPr>
                <w:sz w:val="20"/>
                <w:szCs w:val="20"/>
                <w:color w:val="auto"/>
              </w:rPr>
            </w:pPr>
            <w:r>
              <w:rPr>
                <w:rFonts w:ascii="Arial" w:cs="Arial" w:eastAsia="Arial" w:hAnsi="Arial"/>
                <w:sz w:val="11"/>
                <w:szCs w:val="11"/>
                <w:b w:val="1"/>
                <w:bCs w:val="1"/>
                <w:color w:val="auto"/>
              </w:rPr>
              <w:t>March 31,</w:t>
            </w:r>
          </w:p>
        </w:tc>
        <w:tc>
          <w:tcPr>
            <w:tcW w:w="94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June 30,</w:t>
            </w:r>
          </w:p>
        </w:tc>
        <w:tc>
          <w:tcPr>
            <w:tcW w:w="1320" w:type="dxa"/>
            <w:vAlign w:val="bottom"/>
            <w:gridSpan w:val="2"/>
          </w:tcPr>
          <w:p>
            <w:pPr>
              <w:ind w:left="240"/>
              <w:spacing w:after="0" w:line="102" w:lineRule="exact"/>
              <w:rPr>
                <w:sz w:val="20"/>
                <w:szCs w:val="20"/>
                <w:color w:val="auto"/>
              </w:rPr>
            </w:pPr>
            <w:r>
              <w:rPr>
                <w:rFonts w:ascii="Arial" w:cs="Arial" w:eastAsia="Arial" w:hAnsi="Arial"/>
                <w:sz w:val="11"/>
                <w:szCs w:val="11"/>
                <w:b w:val="1"/>
                <w:bCs w:val="1"/>
                <w:color w:val="auto"/>
              </w:rPr>
              <w:t>September 30,</w:t>
            </w:r>
          </w:p>
        </w:tc>
        <w:tc>
          <w:tcPr>
            <w:tcW w:w="120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December 31,</w:t>
            </w:r>
          </w:p>
        </w:tc>
        <w:tc>
          <w:tcPr>
            <w:tcW w:w="940" w:type="dxa"/>
            <w:vAlign w:val="bottom"/>
          </w:tcPr>
          <w:p>
            <w:pPr>
              <w:jc w:val="right"/>
              <w:ind w:right="158"/>
              <w:spacing w:after="0" w:line="102" w:lineRule="exact"/>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880" w:type="dxa"/>
            <w:vAlign w:val="bottom"/>
          </w:tcPr>
          <w:p>
            <w:pPr>
              <w:jc w:val="right"/>
              <w:ind w:right="25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800" w:type="dxa"/>
            <w:vAlign w:val="bottom"/>
          </w:tcPr>
          <w:p>
            <w:pPr>
              <w:jc w:val="right"/>
              <w:ind w:right="21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220" w:type="dxa"/>
            <w:vAlign w:val="bottom"/>
          </w:tcPr>
          <w:p>
            <w:pPr>
              <w:jc w:val="right"/>
              <w:ind w:right="41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100" w:type="dxa"/>
            <w:vAlign w:val="bottom"/>
          </w:tcPr>
          <w:p>
            <w:pPr>
              <w:jc w:val="right"/>
              <w:ind w:right="35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880" w:type="dxa"/>
            <w:vAlign w:val="bottom"/>
          </w:tcPr>
          <w:p>
            <w:pPr>
              <w:jc w:val="right"/>
              <w:ind w:right="25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40" w:type="dxa"/>
            <w:vAlign w:val="bottom"/>
          </w:tcPr>
          <w:p>
            <w:pPr>
              <w:jc w:val="right"/>
              <w:ind w:right="2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220" w:type="dxa"/>
            <w:vAlign w:val="bottom"/>
          </w:tcPr>
          <w:p>
            <w:pPr>
              <w:jc w:val="right"/>
              <w:ind w:right="41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100" w:type="dxa"/>
            <w:vAlign w:val="bottom"/>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940" w:type="dxa"/>
            <w:vAlign w:val="bottom"/>
          </w:tcPr>
          <w:p>
            <w:pPr>
              <w:jc w:val="right"/>
              <w:ind w:right="29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15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revenues</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Total cost of revenues</w:t>
            </w:r>
          </w:p>
        </w:tc>
        <w:tc>
          <w:tcPr>
            <w:tcW w:w="88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183"/>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73 %</w:t>
            </w: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Research and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50 %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47 %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44 %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40 %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34 %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30 %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35 %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41 %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development</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880" w:type="dxa"/>
            <w:vAlign w:val="bottom"/>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General and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27 %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24 %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22 %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26 %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administrative</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Impairment of</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5 %</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w w:val="98"/>
              </w:rPr>
              <w:t>capitalized software</w:t>
            </w:r>
          </w:p>
        </w:tc>
        <w:tc>
          <w:tcPr>
            <w:tcW w:w="9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w w:val="99"/>
              </w:rPr>
              <w:t>Total operating expenses</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98 %</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89 %</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87 %</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91 %</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78 %</w:t>
            </w: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95 %</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8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3"/>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 income, net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Loss before provision</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rPr>
              <w:t>for income taxes</w:t>
            </w: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Provision for income</w:t>
            </w:r>
          </w:p>
        </w:tc>
        <w:tc>
          <w:tcPr>
            <w:tcW w:w="9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taxes</w:t>
            </w:r>
          </w:p>
        </w:tc>
        <w:tc>
          <w:tcPr>
            <w:tcW w:w="980" w:type="dxa"/>
            <w:vAlign w:val="bottom"/>
            <w:gridSpan w:val="2"/>
            <w:vMerge w:val="continue"/>
            <w:shd w:val="clear" w:color="auto" w:fill="DBDBDB"/>
          </w:tcPr>
          <w:p>
            <w:pPr>
              <w:spacing w:after="0"/>
              <w:rPr>
                <w:sz w:val="14"/>
                <w:szCs w:val="14"/>
                <w:color w:val="auto"/>
              </w:rPr>
            </w:pPr>
          </w:p>
        </w:tc>
        <w:tc>
          <w:tcPr>
            <w:tcW w:w="880" w:type="dxa"/>
            <w:vAlign w:val="bottom"/>
            <w:gridSpan w:val="2"/>
            <w:vMerge w:val="continue"/>
            <w:shd w:val="clear" w:color="auto" w:fill="DBDBDB"/>
          </w:tcPr>
          <w:p>
            <w:pPr>
              <w:spacing w:after="0"/>
              <w:rPr>
                <w:sz w:val="14"/>
                <w:szCs w:val="14"/>
                <w:color w:val="auto"/>
              </w:rPr>
            </w:pPr>
          </w:p>
        </w:tc>
        <w:tc>
          <w:tcPr>
            <w:tcW w:w="1300" w:type="dxa"/>
            <w:vAlign w:val="bottom"/>
            <w:gridSpan w:val="2"/>
            <w:vMerge w:val="continue"/>
            <w:shd w:val="clear" w:color="auto" w:fill="DBDBDB"/>
          </w:tcPr>
          <w:p>
            <w:pPr>
              <w:spacing w:after="0"/>
              <w:rPr>
                <w:sz w:val="14"/>
                <w:szCs w:val="14"/>
                <w:color w:val="auto"/>
              </w:rPr>
            </w:pPr>
          </w:p>
        </w:tc>
        <w:tc>
          <w:tcPr>
            <w:tcW w:w="1200" w:type="dxa"/>
            <w:vAlign w:val="bottom"/>
            <w:gridSpan w:val="2"/>
            <w:vMerge w:val="continue"/>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940" w:type="dxa"/>
            <w:vAlign w:val="bottom"/>
            <w:gridSpan w:val="2"/>
            <w:vMerge w:val="continue"/>
            <w:shd w:val="clear" w:color="auto" w:fill="DBDBDB"/>
          </w:tcPr>
          <w:p>
            <w:pPr>
              <w:spacing w:after="0"/>
              <w:rPr>
                <w:sz w:val="14"/>
                <w:szCs w:val="14"/>
                <w:color w:val="auto"/>
              </w:rPr>
            </w:pPr>
          </w:p>
        </w:tc>
        <w:tc>
          <w:tcPr>
            <w:tcW w:w="1320" w:type="dxa"/>
            <w:vAlign w:val="bottom"/>
            <w:gridSpan w:val="2"/>
            <w:vMerge w:val="continue"/>
            <w:shd w:val="clear" w:color="auto" w:fill="DBDBDB"/>
          </w:tcPr>
          <w:p>
            <w:pPr>
              <w:spacing w:after="0"/>
              <w:rPr>
                <w:sz w:val="14"/>
                <w:szCs w:val="14"/>
                <w:color w:val="auto"/>
              </w:rPr>
            </w:pPr>
          </w:p>
        </w:tc>
        <w:tc>
          <w:tcPr>
            <w:tcW w:w="1200" w:type="dxa"/>
            <w:vAlign w:val="bottom"/>
            <w:gridSpan w:val="2"/>
            <w:vMerge w:val="continue"/>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Interest (income)</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DBDBDB"/>
          </w:tcPr>
          <w:p>
            <w:pPr>
              <w:spacing w:after="0"/>
              <w:rPr>
                <w:sz w:val="11"/>
                <w:szCs w:val="11"/>
                <w:color w:val="auto"/>
              </w:rPr>
            </w:pPr>
          </w:p>
        </w:tc>
        <w:tc>
          <w:tcPr>
            <w:tcW w:w="9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expense, net</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gridSpan w:val="2"/>
            <w:vMerge w:val="continue"/>
            <w:shd w:val="clear" w:color="auto" w:fill="DBDBDB"/>
          </w:tcPr>
          <w:p>
            <w:pPr>
              <w:spacing w:after="0"/>
              <w:rPr>
                <w:sz w:val="14"/>
                <w:szCs w:val="14"/>
                <w:color w:val="auto"/>
              </w:rPr>
            </w:pPr>
          </w:p>
        </w:tc>
        <w:tc>
          <w:tcPr>
            <w:tcW w:w="1320" w:type="dxa"/>
            <w:vAlign w:val="bottom"/>
            <w:gridSpan w:val="2"/>
            <w:vMerge w:val="continue"/>
            <w:shd w:val="clear" w:color="auto" w:fill="DBDBDB"/>
          </w:tcPr>
          <w:p>
            <w:pPr>
              <w:spacing w:after="0"/>
              <w:rPr>
                <w:sz w:val="14"/>
                <w:szCs w:val="14"/>
                <w:color w:val="auto"/>
              </w:rPr>
            </w:pPr>
          </w:p>
        </w:tc>
        <w:tc>
          <w:tcPr>
            <w:tcW w:w="1200" w:type="dxa"/>
            <w:vAlign w:val="bottom"/>
            <w:gridSpan w:val="2"/>
            <w:vMerge w:val="continue"/>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180"/>
              <w:spacing w:after="0"/>
              <w:rPr>
                <w:sz w:val="20"/>
                <w:szCs w:val="20"/>
                <w:color w:val="auto"/>
              </w:rPr>
            </w:pPr>
            <w:r>
              <w:rPr>
                <w:rFonts w:ascii="Arial" w:cs="Arial" w:eastAsia="Arial" w:hAnsi="Arial"/>
                <w:sz w:val="13"/>
                <w:szCs w:val="13"/>
                <w:color w:val="auto"/>
              </w:rPr>
              <w:t>Income tax provision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Depreciation and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amortization</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IPO and public</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360"/>
              <w:spacing w:after="0" w:line="122" w:lineRule="exact"/>
              <w:rPr>
                <w:sz w:val="20"/>
                <w:szCs w:val="20"/>
                <w:color w:val="auto"/>
              </w:rPr>
            </w:pPr>
            <w:r>
              <w:rPr>
                <w:rFonts w:ascii="Arial" w:cs="Arial" w:eastAsia="Arial" w:hAnsi="Arial"/>
                <w:sz w:val="13"/>
                <w:szCs w:val="13"/>
                <w:color w:val="auto"/>
                <w:w w:val="99"/>
              </w:rPr>
              <w:t>company readiness</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rPr>
              <w:t>costs</w:t>
            </w:r>
          </w:p>
        </w:tc>
        <w:tc>
          <w:tcPr>
            <w:tcW w:w="9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DBDBDB"/>
          </w:tcPr>
          <w:p>
            <w:pPr>
              <w:ind w:left="180"/>
              <w:spacing w:after="0"/>
              <w:rPr>
                <w:sz w:val="20"/>
                <w:szCs w:val="20"/>
                <w:color w:val="auto"/>
              </w:rPr>
            </w:pPr>
            <w:r>
              <w:rPr>
                <w:rFonts w:ascii="Arial" w:cs="Arial" w:eastAsia="Arial" w:hAnsi="Arial"/>
                <w:sz w:val="13"/>
                <w:szCs w:val="13"/>
                <w:color w:val="auto"/>
              </w:rPr>
              <w:t>Tender related costs</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67"/>
        </w:trPr>
        <w:tc>
          <w:tcPr>
            <w:tcW w:w="1500" w:type="dxa"/>
            <w:vAlign w:val="bottom"/>
          </w:tcPr>
          <w:p>
            <w:pPr>
              <w:ind w:left="180"/>
              <w:spacing w:after="0"/>
              <w:rPr>
                <w:sz w:val="20"/>
                <w:szCs w:val="20"/>
                <w:color w:val="auto"/>
              </w:rPr>
            </w:pPr>
            <w:r>
              <w:rPr>
                <w:rFonts w:ascii="Arial" w:cs="Arial" w:eastAsia="Arial" w:hAnsi="Arial"/>
                <w:sz w:val="13"/>
                <w:szCs w:val="13"/>
                <w:color w:val="auto"/>
              </w:rPr>
              <w:t>Other</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Stock-based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26 %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compensation</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Impairment of</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5 %</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w w:val="98"/>
              </w:rPr>
              <w:t>capitalized software</w:t>
            </w:r>
          </w:p>
        </w:tc>
        <w:tc>
          <w:tcPr>
            <w:tcW w:w="9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Since inception, we have financed operations primarily through revenues from our operations and the net proceeds we have received from the issuance of equity and debt securities. We have raised a total of $183.3 million in capital financing, less issuance costs of $0.7 million.</w:t>
      </w:r>
    </w:p>
    <w:p>
      <w:pPr>
        <w:spacing w:after="0" w:line="14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As of March 31, 2021 we had $117.5 million in cash and cash equivalents. Our cash and cash equivalents primarily consist of bank deposits and money market funds. Our marketable securities consist of commercial debt, certificates of deposit, US government treasury and agency securities, and commercial paper.</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existing cash and cash equivalents, and cash flow from operations will be sufficient to support working capital and capital expenditure requirements for at least the next 12 months.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capital requirements will depend on many factors, including our subscription growth rate and renewal activity, the timing of cash received from our payment-processing platforms, the expansion of our sales and marketing activities, the introduction of new products, and the improvements to existing products. We may be required to seek additional capital.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substantial source of our cash from operations is from amounts paid by our subscription users, which is included in the liabilities section of our condensed consolidated balance sheet. Deferred revenue consists of the unearned portion of customer billings, which is recognized as revenue in accordance with our revenue recognition policy. As of March 31, 2021, we had deferred revenue of $65.3 million, which is recorded as a current liability and expected to be recognized as revenue in the next 12 months, provided all other revenue recognition criteria have been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4"/>
              <w:spacing w:after="0"/>
              <w:rPr>
                <w:sz w:val="20"/>
                <w:szCs w:val="20"/>
                <w:color w:val="auto"/>
              </w:rPr>
            </w:pPr>
            <w:r>
              <w:rPr>
                <w:rFonts w:ascii="Arial" w:cs="Arial" w:eastAsia="Arial" w:hAnsi="Arial"/>
                <w:sz w:val="18"/>
                <w:szCs w:val="18"/>
                <w:color w:val="auto"/>
                <w:w w:val="97"/>
              </w:rPr>
              <w:t>5,123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494"/>
              <w:spacing w:after="0"/>
              <w:rPr>
                <w:sz w:val="20"/>
                <w:szCs w:val="20"/>
                <w:color w:val="auto"/>
              </w:rPr>
            </w:pPr>
            <w:r>
              <w:rPr>
                <w:rFonts w:ascii="Arial" w:cs="Arial" w:eastAsia="Arial" w:hAnsi="Arial"/>
                <w:sz w:val="18"/>
                <w:szCs w:val="18"/>
                <w:color w:val="auto"/>
              </w:rPr>
              <w:t>(1,778)</w:t>
            </w: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30,970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46,953</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center"/>
              <w:ind w:left="494"/>
              <w:spacing w:after="0"/>
              <w:rPr>
                <w:sz w:val="20"/>
                <w:szCs w:val="20"/>
                <w:color w:val="auto"/>
              </w:rPr>
            </w:pPr>
            <w:r>
              <w:rPr>
                <w:rFonts w:ascii="Arial" w:cs="Arial" w:eastAsia="Arial" w:hAnsi="Arial"/>
                <w:sz w:val="18"/>
                <w:szCs w:val="18"/>
                <w:color w:val="auto"/>
              </w:rPr>
              <w:t>(6,376)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rPr>
              <w:t>(3,031)</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provided by operating activities for the year ended December 31, 2020 increased by $15.6 million, or 723%, from $2.2 million for the year ended December 31, 2019 to $17.7 million for the year ended December 31, 2020. This increase is due mainly to: an increase in cash received from users for subscriptions, resulting in an increase to deferred revenue; an increase in the non-cash charges from stock compensation expense, depreciation and amortization; an increase in accrued expenses; and a reduction in the non-current assets and liabilities. These increases were partially offset by an increase in accounts receivable and other current assets and liabilities; an increase in deferred costs of revenues; and a decrease in accounts payable.</w:t>
      </w:r>
    </w:p>
    <w:p>
      <w:pPr>
        <w:spacing w:after="0" w:line="152"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Cash provided by operating activities for the three months ended March 31, 2021 increased by $0.4 million, or 9%, from $4.7 million for the three months ended March 31, 2020 to $5.1 million for the three months ended March 31, 2021. The main drivers of the increase were accrued expenses and other current liabilities, accounts payable, prepaid expenses and other current assets, deferred revenue and stock-based compensation expense. These increases were partially offset by an increase in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Cash provided by (used in) investing activities was $4.0 million for the year ended December 31, 2020, as compared to $2.4 million in cash provided from investing activities for the year ended December 31, 2019. During the prior year, the maturity of an investment resulted in a source of cash of $7.7 million. The capitalization of software development costs and capital expenditures to purchase property and equipment to support office space and site operations decreased by $1.2 million from period to period.</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Cash used in investing activities was $1.8 million for the three months ended March 31, 2021, as compared to a use of $1.7 million for the three months ended March 31, 2020. The slight increase is due to increased capitalized software, partially offset by a reduction in spending on property and equipment.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Cash provided by financing activities for the year ended December 31, 2020 was $47.0 million, and primarily relates to the net proceeds from the issuance of convertible preferred stock of $44.9 million, in addition to proceeds from exercises of stock options of $2.0 million. Cash provided by financing activities for the year ended December 31, 2019 was $31.0 million and was mostly the result of net proceeds from the issuance of convertible preferred stock.</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Cash used by financing activities for the three months ended March 31, 2021 was $6.4 million, and was driven by payments made as a result of the tender offer of $8.2 million. These payments were partially offset by proceeds from the exercise of stock options of $2.0 million. Cash provided by financing activities for the three months ended March 31, 2020 was $0.3 million and was almost entirely from proceeds from exercises of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March 31, 2021, of our $117.5 million of cash and cash equivalents, $104.1 million was invested in money market funds. Our cash and cash equivalents are held for working capital purposes in addition to future investments in our products. We do not enter into investments for trading or speculative purposes. Our investments are exposed to market risk due to a fluctuation in interest rates, which may affect our interest income and the fair market value of our investments. As of March 31, 2021, a hypothetical 10% relative change in interest rates would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enter into long-term obligations in the normal course of business related to our non-cancelable operating leases for our offices.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contractual cash obligations over the next several periods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4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 years</w:t>
            </w:r>
          </w:p>
        </w:tc>
        <w:tc>
          <w:tcPr>
            <w:tcW w:w="20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to 5 years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commitments</w:t>
            </w: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5,876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i w:val="1"/>
          <w:iCs w:val="1"/>
          <w:color w:val="auto"/>
        </w:rPr>
        <w:t>The preparation of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Consolidated Financial Statements are prepared. Actual results may differ from these estimates under different assumptions and conditions.</w:t>
      </w:r>
    </w:p>
    <w:p>
      <w:pPr>
        <w:spacing w:after="0" w:line="13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i w:val="1"/>
          <w:iCs w:val="1"/>
          <w:color w:val="auto"/>
        </w:rPr>
        <w:t>Management evaluated the development and selection of its critical accounting policies and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Revenue</w:t>
      </w:r>
    </w:p>
    <w:p>
      <w:pPr>
        <w:spacing w:after="0" w:line="18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 xml:space="preserve">We account for revenue contracts with customers by applying the five step model in Accounting Standards Codification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Our predominant sources of revenue are time-based subscriptions, in-app advertising placement by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the Duolingo English Test. Revenue is recognized upon transfer of control of promised goods or services to customers in an amount that reflects the consideration expected to be received in exchange for those goods or services. Revenue is recognized net of any taxes collected from customers, which are subsequently remitted to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we consider the service to be a single performance obligation for the online and offline content.</w:t>
      </w:r>
    </w:p>
    <w:p>
      <w:pPr>
        <w:spacing w:after="0" w:line="1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enter into arrangements with advertising networks to monetize the in-app advertising inventory. Revenue from in-app advertising placement is recognized at a point in time when the advertisement is placed and is based upon the amount received.</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We defer revenue from all tests that have not been proctored nor expired.</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users have the option to purchase consumable in-app virtual goods. We recognize revenue over the period in which the user consumes the virtual good, which is generally within a month.</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We make our application available to be downloaded through third -party digital distribution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Users who purchase subscriptions also pay through the respective app stores. We evaluate the purchases via third-party payment processors to determine whether its revenues should be reported gross or net of fees retained by the payment processor. We are the principal in the transaction with the end user as a result of controlling, hosting, and integrating the delivery of the virtual items to the end user. We record revenue gross as a principal and record fees paid to third-party payment processors as Cost of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 Around Revenue Arrangements with Multiple Deliverables</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Our time-based subscriptions allow users the ability to download limited content offline. Significant judgment is required to determine whether this offline content should be considered distinct and accounted for separately, or not distinct and accounted for together with the online functionality provided and recognized over time. As there is a significant level of integration and interdependency with the online functionality, which is not the case with the offline functionality, we believe we have a single performance obligation for the online functionality and offline content.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follow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to account for our equity 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ASC 718 requires all stock-based payments to employees, including grants of employee stock options, to be recognized in the income statement based on their fair values. We generally grant our option awards in a combination of service-based and performance-based. We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different amounts of equity based compensation expense. Furthermore, if different assumptions are used in future periods, our equity based compensation expense could be materially impacted in the future.</w:t>
      </w:r>
    </w:p>
    <w:p>
      <w:pPr>
        <w:spacing w:after="0" w:line="14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Prior to the completion of this offering,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 Subsequent to the completion of this offering, we will transition to utilize the closing price of our publicly-traded stock to determine our volatility. We determined the expected life of our options using the simplified method described in the SEC Staff Accounting Bulletin Topic 14, Share-Based Payment, which defines the expected life as the average of the contractual term and the vesting period. The risk-free interest rate is based on the yield curve of a zero-coupon US Treasury bond on the date the option award was granted with a maturity equal to the expected term of the option award. We have not and do not expect to pay dividends on our common shares. See Note 9, “Stock Based Compensation,” to our consolidated financial statements appearing elsewhere in this prospectus, for further information on equity based 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0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began to grant RSUs in November 2020. The fair value of RSUs is estimated based on the fair value of our common stock on the date of grant. Each RSU award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We measure and recognize compensation expense for all stock-based awards based on the estimated fair value of the award. As of December 31, 2020, no stock-based compensation expense had been recognized for RSUs because the liquidity-based vesting condition had not been probable of being satisfied. In the period in which our liquidity-based vesting condition becomes probable, we will begin recording stock-based compensation expense for these RSUs with a liquidity-based vesting condition using the accelerated attribution method, net of forfeitures, based on the grant-date fair value of the RSUs.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Determining the fair value of our common stock requires complex and subjective judgment and estimates. There is inherent uncertainty in making these judgments and estimates. The absence of an active market for our common stock required our board of directors to estimate the fair value of the common stock for purpose of setting the exercise price of the options and estimating the fair value of the common stock at the time options were granted based on factors such as valuations of comparable companies, the status of our development and sales efforts, revenue growth, and additional objective and subjective factors relating to our business. We performed its analysis in accordance with applicable elements of the practice aid issued by the American Institute of Certified Public Accountants’ (AICPA) Practice Guide, Valuation of Privately Held Company Equity Securities Issued as Compensation; with this guidance, our board of directors exercised reasonable judgment and considered numerous and subjective factors to determine the best estimate of fair value of our common stock, including the following: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Specific Factors</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and forecasted operating and financial performance based on management’s estimate;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development and maintenance of client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Client and industry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hiring and retention of key personnel;</w:t>
      </w:r>
    </w:p>
    <w:p>
      <w:pPr>
        <w:spacing w:after="0" w:line="171" w:lineRule="exact"/>
        <w:rPr>
          <w:rFonts w:ascii="Arial" w:cs="Arial" w:eastAsia="Arial" w:hAnsi="Arial"/>
          <w:sz w:val="18"/>
          <w:szCs w:val="18"/>
          <w:color w:val="auto"/>
        </w:rPr>
      </w:pPr>
    </w:p>
    <w:p>
      <w:pPr>
        <w:ind w:right="5840" w:firstLine="332"/>
        <w:spacing w:after="0" w:line="446" w:lineRule="auto"/>
        <w:tabs>
          <w:tab w:leader="none" w:pos="6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historical lack of a public market for our common stock; </w:t>
      </w:r>
      <w:r>
        <w:rPr>
          <w:rFonts w:ascii="Arial" w:cs="Arial" w:eastAsia="Arial" w:hAnsi="Arial"/>
          <w:sz w:val="18"/>
          <w:szCs w:val="18"/>
          <w:u w:val="single" w:color="auto"/>
          <w:color w:val="auto"/>
        </w:rPr>
        <w:t>General Economic Factors</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 trends and competitive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Trends in client and the at-large public spending, including client and public confidence;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economic indicators;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general economic outlook; and</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common stock valuations have historically leveraged the historical appraisals we have received to value our common stock, utilizing an income approach.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Deferred tax assets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 As of December 31, 2020, we maintained a valuation allowance of approximately $26.2 million against certain deferred tax assets related to both domestic and foreign net operating loss carryforwards, and state R&amp;D credit carryovers as its future utilization remained uncertain.</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our consolidated financial statements included elsewhere in this prospectus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 w:right="339" w:bottom="1440"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Our team of over 400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started with a focus on teaching languages because of the profound impact learning a new language can have on people’s lives, as well as the large market opportunity. According to HolonIQ, 1.8 billion people across the world are learning a new language, and in 2019, consumer spend on both online and offline language learning represented a $61 billion market. Driving much of the demand for language learning is the reality that English can unlock tremendous economic opportunity. According to the World Economic Forum, job seekers around the world with exceptional English skills can expect to earn 30-50% higher salaries than their peers with average English ability.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144" w:right="35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Duolingo offers courses in 40 languages to approximately 40 million monthly active users. To put our scale in context, there are more people in the United States learning languages on Duolingo than there are foreign language learners in all US high schools combined, and there are more people learning certain languages on Duolingo, like Irish and Hawaiian, than there are native speakers of those languages worldwide.</w:t>
      </w:r>
    </w:p>
    <w:p>
      <w:pPr>
        <w:spacing w:after="0" w:line="14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March 31, 2021, approximately 5% of our monthly active users were paid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5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108" w:lineRule="exact"/>
        <w:rPr>
          <w:sz w:val="20"/>
          <w:szCs w:val="20"/>
          <w:color w:val="auto"/>
        </w:rPr>
      </w:pPr>
    </w:p>
    <w:p>
      <w:pPr>
        <w:ind w:left="660" w:right="280" w:hanging="328"/>
        <w:spacing w:after="0" w:line="268"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 improve both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Investment flywheel: </w:t>
      </w:r>
      <w:r>
        <w:rPr>
          <w:rFonts w:ascii="Arial" w:cs="Arial" w:eastAsia="Arial" w:hAnsi="Arial"/>
          <w:sz w:val="17"/>
          <w:szCs w:val="17"/>
          <w:color w:val="auto"/>
        </w:rPr>
        <w:t>Our learner scale and word-of-mouth growth allow us to focus our capital investments on product innovation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 analytics, as opposed to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further widening our competitive moat.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 w:right="35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1077595</wp:posOffset>
            </wp:positionV>
            <wp:extent cx="5349240" cy="258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2016, we launched our second product,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June 2021, over 3,000 higher education programs around the world accept Duolingo English Test results as proof of English proficiency for international student admissions. These include 17 of the top 20 undergraduate programs in the United States according to US News and World Report—for example, Yale, Stanford, MIT, Duke and Columbia. In 2020, roughly 344,000 individual Duolingo English Tests were purchased, mostly by prospective international students.</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We believe that the investments we have made in our technology platform and our core competencies in data analytics, product design, gamification, and assessment position us well to extend into new subject areas. In 2020, for example, we launched Duolingo ABC, an app designed to teach early literacy skills to children ages three to six.</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Our business has experienced rapid growth since our founding in 2011. For the years ended December 31, 2019 and 2020, we had 27 million and 37 million monthly active users, respectively, representing year-over-year growth of 34%, and we grew our paying subscribers from 0.9 million as of December 31, 2019 to 1.6 million as of December 31, 2020, respectively, or 84% year over year. For the quarter ended March 31, 2021, we had 40 million monthly active users, and as of March 31, 2021, we had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144" w:right="35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paying subscribers. Our revenue was $70.8 million in 2019 and $161.7 million in 2020, representing 129% year-over-year growth. Our revenue was $28.1 million in the three months ended March 31, 2020 and $55.4 million in the three months ended March 31, 2021, representing 97% period-over-period growth. In 2020 and the three months ended March 31, 2021, approximately 73% and 72%, respectively, of our revenue came from subscriptions to Duolingo Plus, approximately 17% came from advertising in both periods, and approximately 10% and 11%, respectively, came from the Duolingo English Test and other revenue. Given the momentum in our business and the size of our market opportunity, we continue to invest in product innovation and data analytics. In the three months ended March 31, 2020 and 2021, we had net losses of $2.2 million and $13.5 million, respectively. Our Adjusted EBITDA improved from $(8.0) million in 2019 to $3.6 million in 2020, and was $(0.9) million and $0.9 million in the three months ended March 31, 2020 and 2021, respectively. Our total bookings were $88.0 million in 2019 compared to $190.2 million in 2020, representing 116% year-over-year growth, and $36.9 million in the three months ended March 31, 2020 compared to $65.8 million in the three months ended March 31, 2021, representing 78% period-over-period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89535</wp:posOffset>
            </wp:positionV>
            <wp:extent cx="5349240" cy="2837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144" w:right="459" w:bottom="1440"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p>
    <w:p>
      <w:pPr>
        <w:spacing w:after="0" w:line="16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Mobile-first behaviors are reshaping industries</w:t>
      </w:r>
      <w:r>
        <w:rPr>
          <w:rFonts w:ascii="Arial" w:cs="Arial" w:eastAsia="Arial" w:hAnsi="Arial"/>
          <w:sz w:val="18"/>
          <w:szCs w:val="18"/>
          <w:color w:val="auto"/>
        </w:rPr>
        <w:t>. In categories ranging from retail to music to dating, consumers are increasingly</w:t>
      </w:r>
      <w:r>
        <w:rPr>
          <w:rFonts w:ascii="Arial" w:cs="Arial" w:eastAsia="Arial" w:hAnsi="Arial"/>
          <w:sz w:val="18"/>
          <w:szCs w:val="18"/>
          <w:b w:val="1"/>
          <w:bCs w:val="1"/>
          <w:color w:val="auto"/>
        </w:rPr>
        <w:t xml:space="preserve"> </w:t>
      </w:r>
      <w:r>
        <w:rPr>
          <w:rFonts w:ascii="Arial" w:cs="Arial" w:eastAsia="Arial" w:hAnsi="Arial"/>
          <w:sz w:val="18"/>
          <w:szCs w:val="18"/>
          <w:color w:val="auto"/>
        </w:rPr>
        <w:t>gravitating to mobile, app-based experiences. A study by Comscore showed that in 2020 mobile usage represented at least 75% of digital minutes in every region of the world, with the share continuing to rise. And mobile app usage makes up the significant majority of time spent on mobile devices: for example, almost 90% of mobile minutes in the United States are spent within apps, according to a 2020 study by eMarketer. We believe that consumer behavior will continue to be shaped by a preference for the convenient, on-demand nature of mobile experiences.</w:t>
      </w:r>
    </w:p>
    <w:p>
      <w:pPr>
        <w:spacing w:after="0" w:line="12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The shift towards online learning is accelerating. </w:t>
      </w:r>
      <w:r>
        <w:rPr>
          <w:rFonts w:ascii="Arial" w:cs="Arial" w:eastAsia="Arial" w:hAnsi="Arial"/>
          <w:sz w:val="18"/>
          <w:szCs w:val="18"/>
          <w:color w:val="auto"/>
        </w:rPr>
        <w:t>Historically, education has lagged behind other industries in the shift from offline to</w:t>
      </w:r>
      <w:r>
        <w:rPr>
          <w:rFonts w:ascii="Arial" w:cs="Arial" w:eastAsia="Arial" w:hAnsi="Arial"/>
          <w:sz w:val="18"/>
          <w:szCs w:val="18"/>
          <w:b w:val="1"/>
          <w:bCs w:val="1"/>
          <w:color w:val="auto"/>
        </w:rPr>
        <w:t xml:space="preserve"> </w:t>
      </w:r>
      <w:r>
        <w:rPr>
          <w:rFonts w:ascii="Arial" w:cs="Arial" w:eastAsia="Arial" w:hAnsi="Arial"/>
          <w:sz w:val="18"/>
          <w:szCs w:val="18"/>
          <w:color w:val="auto"/>
        </w:rPr>
        <w:t>online. According to GSV Ventures, the 2019 digital learning market represented $160 billion in spend—already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CAGR from 2019 to 2026.</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Online learners seek engaging, mobile-first experiences. </w:t>
      </w:r>
      <w:r>
        <w:rPr>
          <w:rFonts w:ascii="Arial" w:cs="Arial" w:eastAsia="Arial" w:hAnsi="Arial"/>
          <w:sz w:val="18"/>
          <w:szCs w:val="18"/>
          <w:color w:val="auto"/>
        </w:rPr>
        <w:t>Consumers are increasingly accustomed to the highly engaging design of social</w:t>
      </w:r>
      <w:r>
        <w:rPr>
          <w:rFonts w:ascii="Arial" w:cs="Arial" w:eastAsia="Arial" w:hAnsi="Arial"/>
          <w:sz w:val="18"/>
          <w:szCs w:val="18"/>
          <w:b w:val="1"/>
          <w:bCs w:val="1"/>
          <w:color w:val="auto"/>
        </w:rPr>
        <w:t xml:space="preserve"> </w:t>
      </w:r>
      <w:r>
        <w:rPr>
          <w:rFonts w:ascii="Arial" w:cs="Arial" w:eastAsia="Arial" w:hAnsi="Arial"/>
          <w:sz w:val="18"/>
          <w:szCs w:val="18"/>
          <w:color w:val="auto"/>
        </w:rPr>
        <w:t>media apps and mobile games. According to the Global Web Index, 95% of the global online population uses social websites or apps, and the typical user spends two hours and 25 minutes on social media every day. On the gaming front, App Annie Intelligence reports that games accounted for 36% of mobile downloads in 2020, and that users across the globe spent 296 billion hours playing mobile games that year. We believe that consumers turning to online learning will not only prefer the convenience and control that mobile apps provide, but also expect experiences to be highly engaging.</w:t>
      </w:r>
    </w:p>
    <w:p>
      <w:pPr>
        <w:spacing w:after="0" w:line="126"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b w:val="1"/>
          <w:bCs w:val="1"/>
          <w:color w:val="auto"/>
        </w:rPr>
        <w:t xml:space="preserve">Adoption of subscription models is growing globally. </w:t>
      </w:r>
      <w:r>
        <w:rPr>
          <w:rFonts w:ascii="Arial" w:cs="Arial" w:eastAsia="Arial" w:hAnsi="Arial"/>
          <w:sz w:val="17"/>
          <w:szCs w:val="17"/>
          <w:color w:val="auto"/>
        </w:rPr>
        <w:t>Rising adoption of subscription models across the globe is further enabling the shift</w:t>
      </w:r>
      <w:r>
        <w:rPr>
          <w:rFonts w:ascii="Arial" w:cs="Arial" w:eastAsia="Arial" w:hAnsi="Arial"/>
          <w:sz w:val="17"/>
          <w:szCs w:val="17"/>
          <w:b w:val="1"/>
          <w:bCs w:val="1"/>
          <w:color w:val="auto"/>
        </w:rPr>
        <w:t xml:space="preserve"> </w:t>
      </w:r>
      <w:r>
        <w:rPr>
          <w:rFonts w:ascii="Arial" w:cs="Arial" w:eastAsia="Arial" w:hAnsi="Arial"/>
          <w:sz w:val="17"/>
          <w:szCs w:val="17"/>
          <w:color w:val="auto"/>
        </w:rPr>
        <w:t>towards mobile experiences. According to a Zuora survey conducted by the Harris Poll, 78% of consumers globally paid for subscriptions in 2020, up from 71% in 2018. Even in Japan, the market with the lowest rate among surveyed countries, more than half of consumers pay for subscriptions, growing from 53% in 2018 to 59% in 2020. In the United States, the figure is 82%, and according to a 2020 survey by Adjust, the average US consumer spends $53 per month on digital subscriptions, including an average of four app subscriptions. We believe that as subscriptions increase in popularity across categories, consumers will also gravitate towards subscription models in online learning.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0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global market for direct-to-consumer language learning is large, growing, and shifting online. According to HolonIQ, total consumer spend on both online and offline language learning represented $61 billion in 2019, and will grow to $115 billion in 2025, implying a CAGR of 11% over this period. Online language learning is the fastest-growing market segment, projected to grow from $12 billion in 2019 to $47 billion in 2025, representing a CAGR of approximately 26% over this period, and to comprise 41% of total consumer spend on language learning in 2025. We believe that growth in digital spend will be driven in part by a shift away from offline offerings, as consumers seek more affordable, convenient, and higher quality online solutions. Today, the offline market is highly fragmented, and dominated by local players offering high-priced solutions: for example, an English course at a private language institute often costs over $1,000, even in developing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also believe that growth in online language learning spend will be driven by consumers who would not have paid for offline offerings, but now choose to purchase online products. For example, according to a survey we conducted in 2021, almost 80% of Duolingo users in the US were not already learning a language when they began using Duolingo. Globally, GSMA reports that the number of mobile internet users is projected to grow from 3.8 billion at the end of 2019 to 5.0 billion by 2025. Growth in smartphone adoption can open up new access to the convenience and affordability of mobile-first learning to hundreds of millions of people.</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Duolingo Learning Experience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Duolingo learning experience sits at the rare intersection of fun and self-improvement. Learners love Duolingo because:</w:t>
      </w:r>
    </w:p>
    <w:p>
      <w:pPr>
        <w:spacing w:after="0" w:line="149" w:lineRule="exact"/>
        <w:rPr>
          <w:sz w:val="20"/>
          <w:szCs w:val="20"/>
          <w:color w:val="auto"/>
        </w:rPr>
      </w:pPr>
    </w:p>
    <w:p>
      <w:pPr>
        <w:ind w:left="660" w:right="68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motivate learners to come back each day to continue learning.</w:t>
      </w:r>
    </w:p>
    <w:p>
      <w:pPr>
        <w:spacing w:after="0" w:line="98" w:lineRule="exact"/>
        <w:rPr>
          <w:rFonts w:ascii="Arial" w:cs="Arial" w:eastAsia="Arial" w:hAnsi="Arial"/>
          <w:sz w:val="18"/>
          <w:szCs w:val="18"/>
          <w:color w:val="auto"/>
        </w:rPr>
      </w:pPr>
    </w:p>
    <w:p>
      <w:pPr>
        <w:jc w:val="both"/>
        <w:ind w:left="660" w:right="50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 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expert-designed courses help learners build robust speaking, reading, listening, and writing skills, and our data analytics power personalization and superior learning outcomes.</w:t>
      </w:r>
    </w:p>
    <w:p>
      <w:pPr>
        <w:spacing w:after="0" w:line="116"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language course on Duolingo is free to access. Learners can spend as much time learning as they want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any and every course without paying. This lowers barriers to start learning and to keep learning.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Features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June 2021, Duolingo offered 40 language courses. Each course is made up of a number of elements:</w:t>
      </w:r>
    </w:p>
    <w:p>
      <w:pPr>
        <w:spacing w:after="0" w:line="149" w:lineRule="exact"/>
        <w:rPr>
          <w:sz w:val="20"/>
          <w:szCs w:val="20"/>
          <w:color w:val="auto"/>
        </w:rPr>
      </w:pPr>
    </w:p>
    <w:p>
      <w:pPr>
        <w:ind w:left="660" w:right="180" w:hanging="328"/>
        <w:spacing w:after="0" w:line="268"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Skills. </w:t>
      </w:r>
      <w:r>
        <w:rPr>
          <w:rFonts w:ascii="Arial" w:cs="Arial" w:eastAsia="Arial" w:hAnsi="Arial"/>
          <w:sz w:val="18"/>
          <w:szCs w:val="18"/>
          <w:color w:val="auto"/>
        </w:rPr>
        <w:t>Skills appear as colorful circles in the Duolingo home screen. Each Skill introduces new vocabulary, grammar concepts,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linguistic constructs. As learners progress, more advanced Skills unlock. Skills are grouped into sections called “Units,” with each Unit followed by a brief quiz that helps evaluate the efficacy of that Unit’s curriculum.</w:t>
      </w:r>
    </w:p>
    <w:p>
      <w:pPr>
        <w:spacing w:after="0" w:line="116"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Levels. </w:t>
      </w:r>
      <w:r>
        <w:rPr>
          <w:rFonts w:ascii="Arial" w:cs="Arial" w:eastAsia="Arial" w:hAnsi="Arial"/>
          <w:sz w:val="18"/>
          <w:szCs w:val="18"/>
          <w:color w:val="auto"/>
        </w:rPr>
        <w:t>Each Skill is divided into five Levels, and each Level provides learners practice on the same content, but with progressively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challenging exercises. The color of a Skill changes when a learner levels up, ultimately turning gold when reaching Level 5. Learners have to complete Level 1 of a Skill in order to unlock the next row of Skills.</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Lessons. </w:t>
      </w:r>
      <w:r>
        <w:rPr>
          <w:rFonts w:ascii="Arial" w:cs="Arial" w:eastAsia="Arial" w:hAnsi="Arial"/>
          <w:sz w:val="18"/>
          <w:szCs w:val="18"/>
          <w:color w:val="auto"/>
        </w:rPr>
        <w:t>Each Level consists of a number of engaging, bite-sized Lessons that implicitly teach the vocabulary and linguistic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concepts associated with that Skill. Lessons include a variety of types of exercises that help learners practice different aspects of language. For example,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300"/>
        <w:spacing w:after="0" w:line="256" w:lineRule="auto"/>
        <w:rPr>
          <w:sz w:val="20"/>
          <w:szCs w:val="20"/>
          <w:color w:val="auto"/>
        </w:rPr>
      </w:pPr>
      <w:r>
        <w:rPr>
          <w:rFonts w:ascii="Arial" w:cs="Arial" w:eastAsia="Arial" w:hAnsi="Arial"/>
          <w:sz w:val="18"/>
          <w:szCs w:val="18"/>
          <w:color w:val="auto"/>
        </w:rPr>
        <w:t>speech recognition for pronunciation practice, images for vocabulary practice, and synthesized voice for listening comprehension practice. Exercises for each Lesson are selected and sequenced in real time using AI-based algorithms that personalize each Lesson to each individual learner.</w:t>
      </w:r>
    </w:p>
    <w:p>
      <w:pPr>
        <w:spacing w:after="0" w:line="126" w:lineRule="exact"/>
        <w:rPr>
          <w:sz w:val="20"/>
          <w:szCs w:val="20"/>
          <w:color w:val="auto"/>
        </w:rPr>
      </w:pPr>
    </w:p>
    <w:p>
      <w:pPr>
        <w:ind w:left="660" w:right="2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Tips. </w:t>
      </w:r>
      <w:r>
        <w:rPr>
          <w:rFonts w:ascii="Arial" w:cs="Arial" w:eastAsia="Arial" w:hAnsi="Arial"/>
          <w:sz w:val="18"/>
          <w:szCs w:val="18"/>
          <w:color w:val="auto"/>
        </w:rPr>
        <w:t>Tips are short text explanations designed to explicitly teach the concepts that might be hard to grasp when introduced implicitly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Lessons. Tips illuminate concepts in grammar, phonetics, and orthography, and may include descriptions of language rules, example sentences, and audio-enhanced pronunciation guides.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217170</wp:posOffset>
            </wp:positionV>
            <wp:extent cx="5349240" cy="2451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Courses are supplemented by additional in-app features that help learners practice reading and listening comprehension. These include:</w:t>
      </w:r>
    </w:p>
    <w:p>
      <w:pPr>
        <w:spacing w:after="0" w:line="149" w:lineRule="exact"/>
        <w:rPr>
          <w:sz w:val="20"/>
          <w:szCs w:val="20"/>
          <w:color w:val="auto"/>
        </w:rPr>
      </w:pPr>
    </w:p>
    <w:p>
      <w:pPr>
        <w:ind w:left="660" w:hanging="328"/>
        <w:spacing w:after="0" w:line="26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Stories. </w:t>
      </w:r>
      <w:r>
        <w:rPr>
          <w:rFonts w:ascii="Arial" w:cs="Arial" w:eastAsia="Arial" w:hAnsi="Arial"/>
          <w:sz w:val="18"/>
          <w:szCs w:val="18"/>
          <w:color w:val="auto"/>
        </w:rPr>
        <w:t>Stories are short, engaging dialogues presented with both text and audio that expose learners to conversational language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support practice of both reading and listening comprehension. Stories usually depict entertaining situations featuring our iconic cast of characters, and are unlocked as learners progress through the course, ensuring that learners only access Stories appropriate for their proficiency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144" w:right="37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820420</wp:posOffset>
            </wp:positionV>
            <wp:extent cx="5349240" cy="2451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right="260" w:hanging="328"/>
        <w:spacing w:after="0" w:line="318"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Audio lessons. </w:t>
      </w:r>
      <w:r>
        <w:rPr>
          <w:rFonts w:ascii="Arial" w:cs="Arial" w:eastAsia="Arial" w:hAnsi="Arial"/>
          <w:sz w:val="17"/>
          <w:szCs w:val="17"/>
          <w:color w:val="auto"/>
        </w:rPr>
        <w:t>Audio-only lessons allow learners to spend focused time developing listening comprehension skills and practicing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speaking. Audio lessons are centered around practical, real-world situations like ordering at a restaurant or asking for directions.</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courses and learning features are integrated with our gamification mechanics, which keep learners engaged and motivate them to spend more time learning. These gamification mechanics include:</w:t>
      </w:r>
    </w:p>
    <w:p>
      <w:pPr>
        <w:spacing w:after="0" w:line="108" w:lineRule="exact"/>
        <w:rPr>
          <w:sz w:val="20"/>
          <w:szCs w:val="20"/>
          <w:color w:val="auto"/>
        </w:rPr>
      </w:pPr>
    </w:p>
    <w:p>
      <w:pPr>
        <w:jc w:val="both"/>
        <w:ind w:left="660" w:right="50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XP. </w:t>
      </w:r>
      <w:r>
        <w:rPr>
          <w:rFonts w:ascii="Arial" w:cs="Arial" w:eastAsia="Arial" w:hAnsi="Arial"/>
          <w:sz w:val="18"/>
          <w:szCs w:val="18"/>
          <w:color w:val="auto"/>
        </w:rPr>
        <w:t>Learners earn Experience Points, or “XP,” for completing learning activities in Duolingo. The longer or more challenging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the more XP they gain. For example, a single Lesson usually earns learners 10 XP, whereas the completion of a Story usually earns 20 XP.</w:t>
      </w:r>
    </w:p>
    <w:p>
      <w:pPr>
        <w:spacing w:after="0" w:line="116" w:lineRule="exact"/>
        <w:rPr>
          <w:rFonts w:ascii="Arial" w:cs="Arial" w:eastAsia="Arial" w:hAnsi="Arial"/>
          <w:sz w:val="18"/>
          <w:szCs w:val="18"/>
          <w:color w:val="auto"/>
        </w:rPr>
      </w:pPr>
    </w:p>
    <w:p>
      <w:pPr>
        <w:jc w:val="both"/>
        <w:ind w:left="660" w:right="10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Streaks. </w:t>
      </w:r>
      <w:r>
        <w:rPr>
          <w:rFonts w:ascii="Arial" w:cs="Arial" w:eastAsia="Arial" w:hAnsi="Arial"/>
          <w:sz w:val="18"/>
          <w:szCs w:val="18"/>
          <w:color w:val="auto"/>
        </w:rPr>
        <w:t>A streak represents the number of days in a row that a learner has used Duolingo, and appears as a flame icon in the app.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day a learner gains XP, their streak gets one day longer. Streaks are a powerful motivator to keep learners coming back every day.</w:t>
      </w:r>
    </w:p>
    <w:p>
      <w:pPr>
        <w:spacing w:after="0" w:line="116"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Crowns. </w:t>
      </w:r>
      <w:r>
        <w:rPr>
          <w:rFonts w:ascii="Arial" w:cs="Arial" w:eastAsia="Arial" w:hAnsi="Arial"/>
          <w:sz w:val="18"/>
          <w:szCs w:val="18"/>
          <w:color w:val="auto"/>
        </w:rPr>
        <w:t>Learners collect crowns upon completion of a Level of a Skill. Accumulating a certain number of crowns unlocks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features, such as Stories.</w:t>
      </w:r>
    </w:p>
    <w:p>
      <w:pPr>
        <w:spacing w:after="0" w:line="98"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Gems. </w:t>
      </w:r>
      <w:r>
        <w:rPr>
          <w:rFonts w:ascii="Arial" w:cs="Arial" w:eastAsia="Arial" w:hAnsi="Arial"/>
          <w:sz w:val="18"/>
          <w:szCs w:val="18"/>
          <w:color w:val="auto"/>
        </w:rPr>
        <w:t>Gems are the Duolingo virtual currency, which rewards learners for accomplishments like leveling up a Skill. This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learners to buy virtual items from our “Shop,” including a “Streak Freeze,” which maintains a learner’s streak even if they miss a day of practice.</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Leaderboards. </w:t>
      </w:r>
      <w:r>
        <w:rPr>
          <w:rFonts w:ascii="Arial" w:cs="Arial" w:eastAsia="Arial" w:hAnsi="Arial"/>
          <w:sz w:val="18"/>
          <w:szCs w:val="18"/>
          <w:color w:val="auto"/>
        </w:rPr>
        <w:t>Leaderboards are weekly cohorts of 30 learners who compete to earn the most XP. Leaderboards are organized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Leagues based on the volume of XP earned, starting with the Bronze league, and ending with the Diamond league for the highest XP earners. Each week, the top 10 learners in each Leaderboard advance to the next League. Learners can track their Leaderboard progress daily and are motivated to accumulate XP to earn a place in the top 10.</w:t>
      </w:r>
    </w:p>
    <w:p>
      <w:pPr>
        <w:spacing w:after="0" w:line="122" w:lineRule="exact"/>
        <w:rPr>
          <w:rFonts w:ascii="Arial" w:cs="Arial" w:eastAsia="Arial" w:hAnsi="Arial"/>
          <w:sz w:val="18"/>
          <w:szCs w:val="18"/>
          <w:color w:val="auto"/>
        </w:rPr>
      </w:pPr>
    </w:p>
    <w:p>
      <w:pPr>
        <w:ind w:left="660" w:right="360" w:hanging="328"/>
        <w:spacing w:after="0" w:line="26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Hearts. </w:t>
      </w:r>
      <w:r>
        <w:rPr>
          <w:rFonts w:ascii="Arial" w:cs="Arial" w:eastAsia="Arial" w:hAnsi="Arial"/>
          <w:sz w:val="18"/>
          <w:szCs w:val="18"/>
          <w:color w:val="auto"/>
        </w:rPr>
        <w:t>Hearts ensure that learners are mastering content as they progress through a course. Learners start each day with five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Hearts, and then lose a heart for each exercise completed incorrectly. If a learner runs out of Hearts, they can earn them back by completing practice Lessons that review previously studied material. And if they run out of Hearts mid-Lesson, they can also use their hard-earned stockpile of Gems to replenish their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Learners who use Duolingo for free see an ad at the end of each Lesson, whereas those who subscribe to Duolingo Plus enjoy an ad-free experience and access to additional features, such as unlimited Hearts and personalized practice sessions covering recent mistakes.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211455</wp:posOffset>
            </wp:positionV>
            <wp:extent cx="5271770" cy="5186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71770" cy="518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Philosophy</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Each of our learning and gamification features is carefully crafted to contribute to a learner experience that is defined by several key principles: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Low friction</w:t>
      </w:r>
      <w:r>
        <w:rPr>
          <w:rFonts w:ascii="Arial" w:cs="Arial" w:eastAsia="Arial" w:hAnsi="Arial"/>
          <w:sz w:val="18"/>
          <w:szCs w:val="18"/>
          <w:color w:val="auto"/>
        </w:rPr>
        <w:t>. Beginning the learning journey on Duolingo is easy. Learners select the language they want to learn and are asked to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daily learning goal, which can be as little as five or ten minutes a day. They can then choose to start learning a language from the basics or test their existing proficiency to skip ahead in the course. We ensure that our onboarding journey is as intuitive as possible by continually</w:t>
      </w:r>
    </w:p>
    <w:p>
      <w:pPr>
        <w:sectPr>
          <w:pgSz w:w="11900" w:h="16838" w:orient="portrait"/>
          <w:cols w:equalWidth="0" w:num="1">
            <w:col w:w="11180"/>
          </w:cols>
          <w:pgMar w:left="320" w:top="14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180"/>
          </w:cols>
          <w:pgMar w:left="320" w:top="144" w:right="399" w:bottom="1440" w:gutter="0" w:footer="0" w:header="0"/>
          <w:type w:val="continuous"/>
        </w:sectPr>
      </w:pPr>
    </w:p>
    <w:bookmarkStart w:id="132" w:name="page133"/>
    <w:bookmarkEnd w:id="13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reviewing the actions of new learners as they navigate our app for the first time. Duolingo is recognized as a gold standard for user experience design, with our onboarding flows used as examples of industry best practices. We also run hundreds of A/B tests to remove friction and make it easier for learners to subscribe to Duolingo Plus.</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Motivating game mechanics</w:t>
      </w:r>
      <w:r>
        <w:rPr>
          <w:rFonts w:ascii="Arial" w:cs="Arial" w:eastAsia="Arial" w:hAnsi="Arial"/>
          <w:sz w:val="18"/>
          <w:szCs w:val="18"/>
          <w:color w:val="auto"/>
        </w:rPr>
        <w:t>. Because we believe that staying motivated is the hardest part of learning something new, we focus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relentlessly on keeping learners engaged. Features like Streaks and Leaderboards motivate learners to come back to Duolingo every day, and to spend more time learning each time they do. Over 50% of our daily active users have a Streak longer than seven days. And approximately one million learners have an active Streak longer than 365 days, meaning they have used Duolingo daily for at least one year. Launching Leaderboards, which encourage both social connectivity and competition, increased the overall average time spent learning on Duolingo by almost 20%. Ultimately, the high engagement driven by gamification leads to consistent learning and demonstrable efficacy.</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Beautiful design and engaging storytelling. </w:t>
      </w:r>
      <w:r>
        <w:rPr>
          <w:rFonts w:ascii="Arial" w:cs="Arial" w:eastAsia="Arial" w:hAnsi="Arial"/>
          <w:sz w:val="18"/>
          <w:szCs w:val="18"/>
          <w:color w:val="auto"/>
        </w:rPr>
        <w:t>We focus obsessively on every detail of design. From the precise shape and color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button, to the mood of the celebratory animations that congratulate learners upon finishing each Lesson, our app is calibrated to maximize learners’ delight. Over the years, our owl mascot, Duo, has become a popular brand icon and a marketing asset for our company. In 2019, we introduced an additional cast of characters to the app, each with their own personality and backstory. Our iconic characters now feature prominently in our Lessons and Stories, cheering learners on as they progress. Already, our characters are regularly the subject of “fan art” created by Duolingo learners and shared on social media. We believe that recognizable characters and character-driven storytelling increase learner engagement and stickiness. As our product offering grows to include additional types of learning, our characters will become a common asset unifying the different learning experiences, such as Duolingo ABC.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320" w:top="144" w:right="379" w:bottom="1440"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 xml:space="preserve">Diverse learning experiences informed by robust pedagogy. </w:t>
      </w:r>
      <w:r>
        <w:rPr>
          <w:rFonts w:ascii="Arial" w:cs="Arial" w:eastAsia="Arial" w:hAnsi="Arial"/>
          <w:sz w:val="18"/>
          <w:szCs w:val="18"/>
          <w:color w:val="auto"/>
        </w:rPr>
        <w:t>Our learning experiences are designed by an in-house team of experts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learning science and second language acquisition. Content in our largest courses is aligned to the Common European Framework of Reference (CEFR), an international standard for language proficiency, and the pedagogical structure of each course is unique. For example, Spanish-speakers learning English will encounter a different curriculum than Chinese-speakers learning English. Within each course, each Skill covers the vocabulary and grammar required to achieve a particular learning goal. We teach primarily implicitly: for example, instead of requiring learners to memorize verb conjugation tables, we teach grammar through illustrative examples. Implicit learning is ideal for developing a strong foundational knowledge of a language and its rules. For concepts that may be more challenging to grasp purely through implicit learning, we also provide explicit instruction in the Tips that accompany each Skill.</w:t>
      </w:r>
    </w:p>
    <w:p>
      <w:pPr>
        <w:spacing w:after="0" w:line="15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also leverage our large scale of learner data to inform continuous improvement of our learning content. For example, each time a learner finishes a Unit, they complete a brief assessment before unlocking Skills in the next Unit. This “Checkpoint Quiz” provides us with a way to assess the efficacy of each course, and enables targeted improvements if we discover that learners are not achieving mastery over a specific concept or grammatical structure.</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offer a diverse set of experiences to build language proficiency outside of the app, such as our podcasts, which provide a scaffolded listening comprehension experience for more advanced learners. The Duolingo Spanish podcast is consistently among the top five education podcasts in the US on the Apple Podcast platform.</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Application of data analytics and artificial intelligence to optimize learning. </w:t>
      </w:r>
      <w:r>
        <w:rPr>
          <w:rFonts w:ascii="Arial" w:cs="Arial" w:eastAsia="Arial" w:hAnsi="Arial"/>
          <w:sz w:val="18"/>
          <w:szCs w:val="18"/>
          <w:color w:val="auto"/>
        </w:rPr>
        <w:t>We use data from over half a billion exercises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to train sophisticated machine learning algorithms that we deploy to improve learning efficacy. One example of this is our personalization algorithm, called BirdBrain, which predicts the probability that a given learner will get an exercise right or wrong. We use BirdBrain to craft lessons that cater to a learner’s specific proficiency level by providing exercises of the appropriate difficulty. For instance, if a learner only has a 30% chance of getting an exercise right, this exercise is too difficult and would cause frustration. Conversely, if a learner has a 100% chance of getting an exercise right, then the exercise is not interesting to the learner and has little learning value. In our dynamic, real-time creation of a lesson for this particular learner, we would not include either these “too hard” or “too easy” exercises. Rather, we target exercises that are “just right” in difficulty, making lessons more engaging, while specifically targeting material that learners have not yet mastered. This personalization increases learner motivation and improves learning outcomes.</w:t>
      </w:r>
    </w:p>
    <w:p>
      <w:pPr>
        <w:spacing w:after="0" w:line="13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Measurable learning outcomes. </w:t>
      </w:r>
      <w:r>
        <w:rPr>
          <w:rFonts w:ascii="Arial" w:cs="Arial" w:eastAsia="Arial" w:hAnsi="Arial"/>
          <w:sz w:val="18"/>
          <w:szCs w:val="18"/>
          <w:color w:val="auto"/>
        </w:rPr>
        <w:t>All this adds up to a learning experience that helps learners achieve their goals. In 2020, we conducted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formal study to evaluate Duolingo’s effectiveness versus traditional university language courses. We measured Duolingo learners’ results on French and Spanish listening and reading proficiency tests from the American Council on the Teaching of Foreign Languages (ACTFL) against those of US university students who had completed four semesters of French or Spanish. To ensure a fair comparison, we included only US-based Duolingo learners who: (1) had no prior knowledge of Spanish or French before starting Duolingo, (2) had only completed the first five Units of their chosen Duolingo course, and (3) were not using any other materials to learn besides Duolingo. We found that the Duolingo learners earned proficiency scores comparable to those of the US university students at the end of their fourth semester of French or Spanish. Moreover, the Duolingo learners were able to attain this level of proficiency in about half the time as the university students.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 w:right="35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785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Technology is at the core of everything we do. We utilize the latest in machine learning and data analytics, along with a relentless focus on A/B testing, to fuel our differentiated learning experience.</w:t>
      </w:r>
    </w:p>
    <w:p>
      <w:pPr>
        <w:spacing w:after="0" w:line="143"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We are proud to consider ourselves a technology and product-driven company—70% of our employees work directly on improving our products. We have an industry-leading team of approximately 280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directions.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technology platform include: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Large data moat. </w:t>
      </w:r>
      <w:r>
        <w:rPr>
          <w:rFonts w:ascii="Arial" w:cs="Arial" w:eastAsia="Arial" w:hAnsi="Arial"/>
          <w:sz w:val="18"/>
          <w:szCs w:val="18"/>
          <w:color w:val="auto"/>
        </w:rPr>
        <w:t>With over half a billion exercises completed every day on our platform, we believe we have built the world's largest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of language-learning data. We leverage this data by developing novel AI models at the intersection of machine learning, natural language processing, and cognitive science, which enable personalized instruction and power new product features that drive both engagement and efficacy. The majority of the data we collect for analytics purposes is in the form of tracking events, which are pieces of data associated with a specific learner action, such as opening the app or completing a Lesson. A tracking event tells us when a learner performed an action, as well as related details, such as the device they were using. The Duolingo app is instrumented on all platforms with code that generates tracking event data for all events of interest. We generate approximately 2.3 billion tracking events per day, broken down into about 1,500 unique event types.</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Robust testing framework. </w:t>
      </w:r>
      <w:r>
        <w:rPr>
          <w:rFonts w:ascii="Arial" w:cs="Arial" w:eastAsia="Arial" w:hAnsi="Arial"/>
          <w:sz w:val="18"/>
          <w:szCs w:val="18"/>
          <w:color w:val="auto"/>
        </w:rPr>
        <w:t>The foundation of our product strategy is our relentless focus on improving learner engagement through A/B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we run hundreds of A/B tests on new product features each quarter. Experiments can be as simple as changing the text or color of a button, or as complex as adding a major new feature like Leaderboards. The velocity of our A/B testing capabilities is a core competency that allows us to optimize the Duolingo learning experience at a rapid pace. Through A/B testing, we have increased the fraction of learners who came back one day after starting Duolingo from 12% when we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144" w:right="359"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launched in 2012, to over 40% today. A/B tests also provide us with the data to make decisions that positively impact paid subscriber conversion.</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 xml:space="preserve">Advanced data analytics and machine learning capabilities. </w:t>
      </w:r>
      <w:r>
        <w:rPr>
          <w:rFonts w:ascii="Arial" w:cs="Arial" w:eastAsia="Arial" w:hAnsi="Arial"/>
          <w:sz w:val="18"/>
          <w:szCs w:val="18"/>
          <w:color w:val="auto"/>
        </w:rPr>
        <w:t>Our machine learning capabilities allow us to leverage our data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learning 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 Another example is our “Smart Tips” system, which uses an AI model to classify common learner mistakes and then briefly interrupts lessons with a relevant “just in time” grammar explanation when needed. Instead of asking learners to repeatedly read through conjugation tables, we accurately classify their mistakes and surface a grammar rule when it is most useful and engaging—right after they make a mistake.</w:t>
      </w:r>
    </w:p>
    <w:p>
      <w:pPr>
        <w:spacing w:after="0" w:line="126"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i w:val="1"/>
          <w:iCs w:val="1"/>
          <w:color w:val="auto"/>
        </w:rPr>
        <w:t xml:space="preserve">Shared infrastructure. </w:t>
      </w:r>
      <w:r>
        <w:rPr>
          <w:rFonts w:ascii="Arial" w:cs="Arial" w:eastAsia="Arial" w:hAnsi="Arial"/>
          <w:sz w:val="18"/>
          <w:szCs w:val="18"/>
          <w:color w:val="auto"/>
        </w:rPr>
        <w:t>Products across our platform, like our flagship Duolingo language learning app, Duolingo ABC, and the Duolingo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English Test, share a singular technology infrastructure, which allows us to leverage operational efficiencies in implementing new features for each. With our shared infrastructure, we are able to innovate at a higher velocity.</w:t>
      </w:r>
    </w:p>
    <w:p>
      <w:pPr>
        <w:spacing w:after="0" w:line="11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i w:val="1"/>
          <w:iCs w:val="1"/>
          <w:color w:val="auto"/>
        </w:rPr>
        <w:t xml:space="preserve">Strict data protection and privacy standards. </w:t>
      </w:r>
      <w:r>
        <w:rPr>
          <w:rFonts w:ascii="Arial" w:cs="Arial" w:eastAsia="Arial" w:hAnsi="Arial"/>
          <w:sz w:val="18"/>
          <w:szCs w:val="18"/>
          <w:color w:val="auto"/>
        </w:rPr>
        <w:t>We are committed to abiding by the strictest privacy standards and do not sell personal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outside parties.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will drive our continued success in the global language learning market and beyond:</w:t>
      </w:r>
    </w:p>
    <w:p>
      <w:pPr>
        <w:spacing w:after="0" w:line="16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 xml:space="preserve">Product-obsessed culture focused on creating a fun, engaging experience. </w:t>
      </w:r>
      <w:r>
        <w:rPr>
          <w:rFonts w:ascii="Arial" w:cs="Arial" w:eastAsia="Arial" w:hAnsi="Arial"/>
          <w:sz w:val="18"/>
          <w:szCs w:val="18"/>
          <w:color w:val="auto"/>
        </w:rPr>
        <w:t>We use sophisticated gamification and beautiful design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our products fun and engaging, inspiring learners to come back day after day to learn on our platform. Through animation, storytelling, and motivating features such as Streaks and Leaderboards, we provide our learners with an experience that both delights and drives quantifiable learning progression. We believe our high quality user experience and track record of product innovation are a testament to our product leadership and capabilities for future growth.</w:t>
      </w:r>
    </w:p>
    <w:p>
      <w:pPr>
        <w:spacing w:after="0" w:line="12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 xml:space="preserve">Leading consumer brand. </w:t>
      </w:r>
      <w:r>
        <w:rPr>
          <w:rFonts w:ascii="Arial" w:cs="Arial" w:eastAsia="Arial" w:hAnsi="Arial"/>
          <w:sz w:val="18"/>
          <w:szCs w:val="18"/>
          <w:color w:val="auto"/>
        </w:rPr>
        <w:t>Our free, fun, and effective learning experience has made us a category-leading brand in consumer education,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in turn drives organic traffic to our platform and minimizes our reliance on paid marketing. In 2020, approximately 90% of our growth came from organic sources such as word-of-mouth. Our iconic mascot, Duo the owl, is loved by our learning community, and our app has become a part of popular culture. We believe our brand provides us a significant competitive advantage, which we further cultivate via continuous investment in our delightful learner experience.</w:t>
      </w:r>
    </w:p>
    <w:p>
      <w:pPr>
        <w:spacing w:after="0" w:line="124"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 xml:space="preserve">Deep data analytics capabilities. </w:t>
      </w:r>
      <w:r>
        <w:rPr>
          <w:rFonts w:ascii="Arial" w:cs="Arial" w:eastAsia="Arial" w:hAnsi="Arial"/>
          <w:sz w:val="18"/>
          <w:szCs w:val="18"/>
          <w:color w:val="auto"/>
        </w:rPr>
        <w:t>Data from over 2.3 billion tracking events generated every day by our learners informs the more than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 tests we run per quarter. These A/B tests enable us to rapidly launch product optimizations and new features that materially improve engagement, learning outcomes, and paid subscriber conversion.</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 xml:space="preserve">Superior learning outcomes through personalized learning. </w:t>
      </w:r>
      <w:r>
        <w:rPr>
          <w:rFonts w:ascii="Arial" w:cs="Arial" w:eastAsia="Arial" w:hAnsi="Arial"/>
          <w:sz w:val="18"/>
          <w:szCs w:val="18"/>
          <w:color w:val="auto"/>
        </w:rPr>
        <w:t>We also leverage our massive collection of language-learning data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novel artificial intelligence models at the intersection of machine learning, natural language processing, and cognitive science. These in turn power our personalized instruction model, BirdBrain. Our A/B testing has demonstrated that BirdBrain-powered experiences drive superior learner engagement and stronger learner outcomes. And research validates the efficacy of our product: Duolingo learners who complete five Units of Duolingo French and Spanish courses earn reading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 w:right="339"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listening proficiency scores comparable to those of US university students at the end of their fourth semester of language courses, and in about half the time.</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i w:val="1"/>
          <w:iCs w:val="1"/>
          <w:color w:val="auto"/>
        </w:rPr>
        <w:t xml:space="preserve">Powerful flywheel effects powered by a strong business model. </w:t>
      </w:r>
      <w:r>
        <w:rPr>
          <w:rFonts w:ascii="Arial" w:cs="Arial" w:eastAsia="Arial" w:hAnsi="Arial"/>
          <w:sz w:val="18"/>
          <w:szCs w:val="18"/>
          <w:color w:val="auto"/>
        </w:rPr>
        <w:t>Our mutually reinforcing Learning and Investment flywheels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growth on our platform while widening our competitive moat. Our freemium business model allows free learners on Duolingo to develop a regular habit of using our product, ultimately leading to high quality paid conversion. It also enables the large audience and data scale that powers our data analytics and machine learning algorithms, resulting in high user engagement and strong learning outcomes. Demonstrated efficacy in turn strengthens our brand, enabling us to reach a broader audience via word-of-mouth. This gives us the ability to focus our capital investments on long-term product improvements rather than short-term direct-response marketing.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 xml:space="preserve">Highly scalable platform. </w:t>
      </w:r>
      <w:r>
        <w:rPr>
          <w:rFonts w:ascii="Arial" w:cs="Arial" w:eastAsia="Arial" w:hAnsi="Arial"/>
          <w:sz w:val="18"/>
          <w:szCs w:val="18"/>
          <w:color w:val="auto"/>
        </w:rPr>
        <w:t>We are a technology-driven company and have invested deeply in developing our scalable, mobile-first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in-house authoring tools enable efficient creation of standards-aligned learning content, and our assessment capabilities enable continuous improvement of each course. Our proprietary data and analytics infrastructure generates the insights that increase learner engagement and deliver superior learning outcomes. Our technology infrastructure and freemium subscription model are built to scale effectively as we continue to grow our learner base, and our platform is an asset that we believe can be applied to new learning categories.</w:t>
      </w:r>
    </w:p>
    <w:p>
      <w:pPr>
        <w:spacing w:after="0" w:line="12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 xml:space="preserve">Strong profitability and cash flow dynamics drive long-term value. </w:t>
      </w:r>
      <w:r>
        <w:rPr>
          <w:rFonts w:ascii="Arial" w:cs="Arial" w:eastAsia="Arial" w:hAnsi="Arial"/>
          <w:sz w:val="18"/>
          <w:szCs w:val="18"/>
          <w:color w:val="auto"/>
        </w:rPr>
        <w:t>Our business model, which is focused on organic growth and “free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pacing w:after="0" w:line="12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 xml:space="preserve">Mission-driven, founder-led management team. </w:t>
      </w:r>
      <w:r>
        <w:rPr>
          <w:rFonts w:ascii="Arial" w:cs="Arial" w:eastAsia="Arial" w:hAnsi="Arial"/>
          <w:sz w:val="18"/>
          <w:szCs w:val="18"/>
          <w:color w:val="auto"/>
        </w:rPr>
        <w:t>Duolingo is led by passionate co-founders and a leadership team of seasoned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proven track record of scaling consumer technology businesses. Our mission is integral to every decision we make, from the product features we launch, to new product extensions. We are aligned, inspired, and energized by the opportunity to continue building a next-generation consumer technology brand and preeminent global learning platform.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Opportunities</w:t>
      </w:r>
    </w:p>
    <w:p>
      <w:pPr>
        <w:spacing w:after="0" w:line="20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2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 xml:space="preserve">Continue expansion of learners on our platform. </w:t>
      </w:r>
      <w:r>
        <w:rPr>
          <w:rFonts w:ascii="Arial" w:cs="Arial" w:eastAsia="Arial" w:hAnsi="Arial"/>
          <w:sz w:val="18"/>
          <w:szCs w:val="18"/>
          <w:color w:val="auto"/>
        </w:rPr>
        <w:t>According to HolonIQ, there are approximately 1.8 billion people learning a language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world, representing a $61 billion consumer market in 2019. The majority of spend today is still offline, but the market is rapidly shifting online, with online spend projected to reach $47 billion in 2025. As a category leader in digital language learning, we believe we are well positioned to continue to grow the number of learners who use our platform. Our audience is globally distributed. For example, as of March 2021, 54% of our MAUs were learning English, and 37% were learning other languages using our English UI; 9% were neither learning English nor using our English UI. We are in the early stages of penetrating key international markets, including Europe, Asia, and Latin America. In 2020, we established teams focused on international markets. These teams have driven growth by investing in product optimizations, localization improvements, and local marketing. In Asia, for example, our investments contributed to 136% growth in DAUs from 2019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 w:right="33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b w:val="1"/>
          <w:bCs w:val="1"/>
          <w:i w:val="1"/>
          <w:iCs w:val="1"/>
          <w:color w:val="auto"/>
        </w:rPr>
        <w:t xml:space="preserve">Drive higher conversion to paid subscriptions. </w:t>
      </w:r>
      <w:r>
        <w:rPr>
          <w:rFonts w:ascii="Arial" w:cs="Arial" w:eastAsia="Arial" w:hAnsi="Arial"/>
          <w:sz w:val="17"/>
          <w:szCs w:val="17"/>
          <w:color w:val="auto"/>
        </w:rPr>
        <w:t>We have steadily increased Duolingo’s paying subscriber conversion since launching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in 2017. As of December 31, 2020, approximately 4% of our 37 million monthly active users pay for a subscription, up from less than 1% in 2017. We believe our ongoing investment in product improvements, as well as rollout of new 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1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 xml:space="preserve">Increase the lifetime value of our subscribers. </w:t>
      </w:r>
      <w:r>
        <w:rPr>
          <w:rFonts w:ascii="Arial" w:cs="Arial" w:eastAsia="Arial" w:hAnsi="Arial"/>
          <w:sz w:val="18"/>
          <w:szCs w:val="18"/>
          <w:color w:val="auto"/>
        </w:rPr>
        <w:t>As we continue to expand Duolingo’s subscriber base, we are also focused on subscriber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which drives the lifetime value of our subscribers. The primary way we improve subscriber stickiness is through product improvements that increase engagement, like Leaderboards and Streaks. Increasing the proportion of our subscriber base that is on an annual plan also increases lifetime value. We have experimented with our pricing and packaging to encourage more subscribers to buy the annual plan, resulting in a 14 percentage point increase in annual subscribers, from approximately 57% of total paying subscribers as of December 31, 2019 to approximately 71% of total paying subscribers as of December 31, 2020. This shift also improved paying subscriber lifetime value overall.</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i w:val="1"/>
          <w:iCs w:val="1"/>
          <w:color w:val="auto"/>
        </w:rPr>
        <w:t xml:space="preserve">Expand adoption of the Duolingo English Test. </w:t>
      </w:r>
      <w:r>
        <w:rPr>
          <w:rFonts w:ascii="Arial" w:cs="Arial" w:eastAsia="Arial" w:hAnsi="Arial"/>
          <w:sz w:val="18"/>
          <w:szCs w:val="18"/>
          <w:color w:val="auto"/>
        </w:rPr>
        <w:t>The Duolingo English Test experienced a transformational year in 2020, with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individual tests purchased increasing from approximately 17,000 in 2019 to approximately 344,000 in 2020. Physical testing centers for other English proficiency exams closed during COVID-19 lockdowns, which led more universities to accept the results of the Duolingo English Test as proof of English proficiency for international student admissions. Before COVID-19, approximately 600 higher education programs accepted the results of our assessment, and as of May 2021, the figure was over 3,000. We believe this represents a shift in our market position that will endure beyond the COVID-19 pandemic.</w:t>
      </w:r>
    </w:p>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Millions of English proficiency tests are taken each year across the globe. We believe there is a significant opportunity to continue expanding adoption of the Duolingo English Test via three primary avenues: (1) continuing to expand acceptance by higher education programs for international student admissions; (2) 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 Longer term, we plan to introduce a “Duolingo Proficiency Score” across more languages, which we hope will become a widely accepted indicator of language proficiency level and make Duolingo a global proficiency standard.</w:t>
      </w:r>
    </w:p>
    <w:p>
      <w:pPr>
        <w:spacing w:after="0" w:line="129"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i w:val="1"/>
          <w:iCs w:val="1"/>
          <w:color w:val="auto"/>
        </w:rPr>
        <w:t xml:space="preserve">Extend our platform and brand beyond language learning. </w:t>
      </w:r>
      <w:r>
        <w:rPr>
          <w:rFonts w:ascii="Arial" w:cs="Arial" w:eastAsia="Arial" w:hAnsi="Arial"/>
          <w:sz w:val="18"/>
          <w:szCs w:val="18"/>
          <w:color w:val="auto"/>
        </w:rPr>
        <w:t>We believe that there is an opportunity to diversify the scope of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language learning to a variety of subjects, using the same product-focused, mobile-first, gamified approach to education. For example, in 2020 we launched Duolingo ABC, an app for young children that teaches early literacy skills, which won the 2020 Time Magazine “Best New Product” award. New products such as Duolingo ABC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320" w:top="144" w:right="399" w:bottom="1440" w:gutter="0" w:footer="0" w:header="0"/>
        </w:sectPr>
      </w:pPr>
    </w:p>
    <w:bookmarkStart w:id="139" w:name="page140"/>
    <w:bookmarkEnd w:id="13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Duolingo Language Learning App</w:t>
      </w:r>
    </w:p>
    <w:p>
      <w:pPr>
        <w:spacing w:after="0" w:line="20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The Duolingo language learning app is the world’s most popular way to learn languages. Accessible for free, as of June 2021 it offers courses in 40 languages to approximately 40 million monthly active users. It is also the top-grossing app globally in the Education category on both Google Play and the Apple App Store. Duolingo can also be accessed by desktop computers via a web browser at https://duolingo.com.</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Designed by language experts, Duolingo courses are made up of Skills, each of which are divided into five Levels, with each Level made up of a series of Lessons. Each Lesson consists of short, bite-sized exercises that help learners practice reading, writing, speaking and listening skills. Courses are supplemented by additional in-app learning features such as Stories and Audio Lessons, which provide additional reading and listening comprehension practice. Duolingo’s gamification features, including XP, Streaks, Crowns, Gems, Leaderboards and Hearts, provide learners an engaging and fun learning experience, and keep them motivated to continue learning.</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As of June 2021 we offer language courses in English, Spanish, French, German, Japanese, Italian, Korean, Chinese, Portuguese, Russian, Dutch, Arabic, Swedish, Turkish, Hindi, Norwegian (Bokmål), Greek, Polish, Welsh, Irish, Latin, Danish, Hebrew, Finnish, Scottish Gaelic, Yiddish, Vietnamese, Indonesian, Czech, Esperanto, Catalan, Romanian, Hungarian, Swahili, Hawaiian, Ukrainian, Guarani, Navajo, and even Klingon and High Valyrian.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Plus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While all course content on Duolingo can be accessed for free, our subscription offering, Duolingo Plus, offers learners additional features to enhance their learning experience. We launched Duolingo Plus in 2017 and as of December 31, 2020, we have approximately 1.6 million paying subscribers. This revenue stream makes up approximately 73% of our total revenue. As of June 2021, Duolingo Plus offers the following features:</w:t>
      </w:r>
    </w:p>
    <w:p>
      <w:pPr>
        <w:spacing w:after="0" w:line="117" w:lineRule="exact"/>
        <w:rPr>
          <w:sz w:val="20"/>
          <w:szCs w:val="20"/>
          <w:color w:val="auto"/>
        </w:rPr>
      </w:pPr>
    </w:p>
    <w:p>
      <w:pPr>
        <w:ind w:left="660" w:right="8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ads. </w:t>
      </w:r>
      <w:r>
        <w:rPr>
          <w:rFonts w:ascii="Arial" w:cs="Arial" w:eastAsia="Arial" w:hAnsi="Arial"/>
          <w:sz w:val="18"/>
          <w:szCs w:val="18"/>
          <w:color w:val="auto"/>
        </w:rPr>
        <w:t>Duolingo Plus eliminates the ads that non-subscriber users see at the end of each Lesson, giving subscribers the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uninterrupted learning.</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Unlimited Hearts. </w:t>
      </w:r>
      <w:r>
        <w:rPr>
          <w:rFonts w:ascii="Arial" w:cs="Arial" w:eastAsia="Arial" w:hAnsi="Arial"/>
          <w:sz w:val="18"/>
          <w:szCs w:val="18"/>
          <w:color w:val="auto"/>
        </w:rPr>
        <w:t>With no limits to the number of mistakes they can make, subscribers can choose to move through content 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pace.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Mistakes practice. </w:t>
      </w:r>
      <w:r>
        <w:rPr>
          <w:rFonts w:ascii="Arial" w:cs="Arial" w:eastAsia="Arial" w:hAnsi="Arial"/>
          <w:sz w:val="17"/>
          <w:szCs w:val="17"/>
          <w:color w:val="auto"/>
        </w:rPr>
        <w:t>Subscribers can sharpen their language skills with personalized practice Lessons featuring their recent mistakes.</w:t>
      </w:r>
    </w:p>
    <w:p>
      <w:pPr>
        <w:spacing w:after="0" w:line="182" w:lineRule="exact"/>
        <w:rPr>
          <w:rFonts w:ascii="Arial" w:cs="Arial" w:eastAsia="Arial" w:hAnsi="Arial"/>
          <w:sz w:val="17"/>
          <w:szCs w:val="17"/>
          <w:color w:val="auto"/>
        </w:rPr>
      </w:pPr>
    </w:p>
    <w:p>
      <w:pPr>
        <w:ind w:left="660" w:right="8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Unlimited test out. </w:t>
      </w:r>
      <w:r>
        <w:rPr>
          <w:rFonts w:ascii="Arial" w:cs="Arial" w:eastAsia="Arial" w:hAnsi="Arial"/>
          <w:sz w:val="18"/>
          <w:szCs w:val="18"/>
          <w:color w:val="auto"/>
        </w:rPr>
        <w:t>Subscribers can skip multiple Levels of a Skill to get to new material faster by completing skill tests and jumping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next Level.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Progress tracker. </w:t>
      </w:r>
      <w:r>
        <w:rPr>
          <w:rFonts w:ascii="Arial" w:cs="Arial" w:eastAsia="Arial" w:hAnsi="Arial"/>
          <w:sz w:val="18"/>
          <w:szCs w:val="18"/>
          <w:color w:val="auto"/>
        </w:rPr>
        <w:t>Subscribers can take Mastery Quizzes to measure how much they have learned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144" w:right="359" w:bottom="1440" w:gutter="0" w:footer="0" w:header="0"/>
        </w:sectPr>
      </w:pPr>
    </w:p>
    <w:bookmarkStart w:id="140" w:name="page141"/>
    <w:bookmarkEnd w:id="14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6574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English Test: AI-Driven Language Assessment</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Launched in 2016, the Duolingo English Test is a pioneering online, on-demand, high-stakes English proficiency assessment. Anyone with a computer, webcam, and reliable internet connection can take the test from anywhere, at any time. The test is “computer adaptive,” meaning it gets harder or easier depending on the performance of the test taker, and can be completed in less than an hour. As of June 2021, it costs $49 per test.</w:t>
      </w:r>
    </w:p>
    <w:p>
      <w:pPr>
        <w:spacing w:after="0" w:line="15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saw an opportunity to develop the Duolingo English Test in part because language testing has lacked innovation—the most popular English proficiency tests were developed decades ago. These tests must be taken in physical testing centers and usually cost hundreds of dollars per test, which is inconvenient for test-takers everywhere, and prohibitive for many, particularly in emerging economies.</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Duolingo English Test uses AI and machine learning for question generation, adaptive administration, and automated grading, as well as AI assistance for proctoring and security. For example, each exam dynamically administers questions from a database of tens of thousands of items based on the demonstrated proficiency of the test-taker, minimizing the exposure of test questions and ensuring that no two test takers receive the same exam. Our pioneering research allows us to offer the Duolingo English Test affordably and on-demand, while ensuring it is valid, reliable, and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44" w:right="359" w:bottom="1440" w:gutter="0" w:footer="0" w:header="0"/>
        </w:sectPr>
      </w:pPr>
    </w:p>
    <w:bookmarkStart w:id="141" w:name="page142"/>
    <w:bookmarkEnd w:id="14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5854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585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Events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virtual Duolingo Events are online gatherings that bring together language learners from around the world for fun, casual conversation practice. Our volunteer Event hosts are passionate and enthusiastic Duolingo learners who are willing to share their language skills and connect with language learners around the world. Accessible via our website, Events are free to attend for our learners and provide them an opportunity to practice language skills with fellow learners.</w:t>
      </w:r>
    </w:p>
    <w:p>
      <w:pPr>
        <w:sectPr>
          <w:pgSz w:w="11900" w:h="16838" w:orient="portrait"/>
          <w:cols w:equalWidth="0" w:num="1">
            <w:col w:w="11140"/>
          </w:cols>
          <w:pgMar w:left="320" w:top="14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140"/>
          </w:cols>
          <w:pgMar w:left="320" w:top="144" w:right="439" w:bottom="1440" w:gutter="0" w:footer="0" w:header="0"/>
          <w:type w:val="continuous"/>
        </w:sectPr>
      </w:pPr>
    </w:p>
    <w:bookmarkStart w:id="142" w:name="page143"/>
    <w:bookmarkEnd w:id="14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Podcast</w:t>
      </w: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Duolingo podcasts help develop listening comprehension skills by leading learners through fascinating, true-life stories from around the world. Available on Spotify, Apple Podcasts, YouTube, Google Podcasts, and on our website, our podcasts are targeted at intermediate language learners, with slowed-down storytelling and scaffolding in the learner’s native language. Learners can also read along with transcripts online. We presently provide Spanish and French podcasts for English-speakers, and an English podcast for Spanish-speakers. The Duolingo Spanish podcast is consistently among the top five education podcasts in the United States on the Apple Podcast platform.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For Schools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Duolingo for Schools is a free web-based tool that makes it easier for teachers to use our platform in a structured learning environment. With Duolingo for Schools, teachers can create a dashboard for a class, assign specific Duolingo content to students in the class, and track students’ progress through the content. Based on a 2020 survey, we believe that almost 40% of foreign language teachers in US K-12 schools use Duolingo in their classrooms in some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ABC</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Introduced in 2020, Duolingo ABC is a free app that teaches children ages three to six early literacy skills. Developed by learning experts, the app includes over 300 fun, bite-sized lessons that guide children on a step-by-step path to reading. Duolingo ABC is aligned with the Common Core State Standards, and is designed based on recommendations by the National Reading Panel. In creating Duolingo ABC, we have taken our expertise in gamified learning and applied it to teaching the fundamentals of literacy. Lessons feel like games, while at the same time teaching young children fundamental skills including phonics, phonemic awareness, fluency, and comprehension. The app’s design is intuitive and children can use it either with an adult or on their own, without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217170</wp:posOffset>
            </wp:positionV>
            <wp:extent cx="5349240" cy="267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44" w:right="359" w:bottom="1440" w:gutter="0" w:footer="0" w:header="0"/>
        </w:sectPr>
      </w:pPr>
    </w:p>
    <w:bookmarkStart w:id="143" w:name="page144"/>
    <w:bookmarkEnd w:id="14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Culture</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Attracting and retaining amazing talent is key to our success. As of June 30, 2021, we had over 400 employees. Most of our employees are located at our headquarters in Pittsburgh, Pennsylvania, and we also have offices in New York, Seattle, and Beijing. We believe that being located outside of Silicon Valley has helped us cultivate a unique company culture.</w:t>
      </w:r>
    </w:p>
    <w:p>
      <w:pPr>
        <w:spacing w:after="0" w:line="14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When Luis von Ahn and Severin Hacker started Duolingo, they thought deeply about the kind of culture and work environment that they wanted. Knowing that we spend most of our lives working, they wanted to create a workplace where everyone looked forward to coming to work every day. They also wanted a workplace with a diverse group of people who are smart, hard-working, and inspiring—but who also don’t take themselves too seriously.</w:t>
      </w:r>
    </w:p>
    <w:p>
      <w:pPr>
        <w:spacing w:after="0" w:line="152"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Fundamental to Duolingo's culture is our mission orientation. Our mission tends to attract a certain kind of person. Our employees have a very strong sense of social responsibility and are interested in solving hard problems for the benefit of humanity. Over time, we have also developed nine “operating principles” that articulate our values as a company and help guide how we make decisions.</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our mission, our culture, and the challenges we work on every day, we believe we have had great success in attracting the best talent. We have a very selective recruitment process: we hire one out of every 353 applicants. We recruit interns and new graduates from the top computer science, design, and business programs in the country. We also recruit experienced professionals from top technology companies—and many of them relocate from Silicon Valley to Pittsburgh. We have an offer-to-accept ratio of 85% for industry hires, which we believe is a direct reflection of the power of our mission.</w:t>
      </w:r>
    </w:p>
    <w:p>
      <w:pPr>
        <w:spacing w:after="0" w:line="15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Employees also stay at Duolingo for a long time. In 2020, our employee attrition was a record low: four employees, or under 2% of our workforce. In 2019, our yearly attrition was approximately 6%. We believe that the longevity of our employees provides us with a key advantage.</w:t>
      </w:r>
    </w:p>
    <w:p>
      <w:pPr>
        <w:spacing w:after="0" w:line="14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Diversity, Equity, Inclusion, and Belonging (DEIB) is also core to who we are. We are proud to say that Duolingo was founded by two immigrants and that our employees come from over 30 countries. More than half of our employees are women-identifying or people of color. A third of our C-suite executives are women-identifying, including our Senior Vice President of Engineering. Today, our engineering organization is almost 30% women-identifying. Our board of directors includes four women-identifying directors, including the chair of our audit, risk and compliance committee, one director who identifies as LGBTQ, and one Black director. While we are proud of the diversity we have achieved so far, we also know that we still have more we need to do.</w:t>
      </w:r>
    </w:p>
    <w:p>
      <w:pPr>
        <w:spacing w:after="0" w:line="152"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To further advance our mission, we intend to use up to 1% of our equity to fund other organizations who are committed to helping people around the world access better educational opportunities. We have reserved 323,500 shares of our Class A common stock for potential future sale or donation to fund and support these social impact initiatives. We also donate money and discount access to our platform for non-profit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 w:right="359" w:bottom="1440"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346075</wp:posOffset>
            </wp:positionV>
            <wp:extent cx="7012305" cy="906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012305"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20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114" w:lineRule="exact"/>
        <w:rPr>
          <w:sz w:val="20"/>
          <w:szCs w:val="20"/>
          <w:color w:val="auto"/>
        </w:rPr>
      </w:pPr>
    </w:p>
    <w:p>
      <w:pPr>
        <w:ind w:left="660" w:right="10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Brand campaigns. </w:t>
      </w:r>
      <w:r>
        <w:rPr>
          <w:rFonts w:ascii="Arial" w:cs="Arial" w:eastAsia="Arial" w:hAnsi="Arial"/>
          <w:sz w:val="18"/>
          <w:szCs w:val="18"/>
          <w:color w:val="auto"/>
        </w:rPr>
        <w:t>Our brand marketing increases awareness of Duolingo through online and offline campaigns that drive press,</w:t>
      </w:r>
      <w:r>
        <w:rPr>
          <w:rFonts w:ascii="Arial" w:cs="Arial" w:eastAsia="Arial" w:hAnsi="Arial"/>
          <w:sz w:val="18"/>
          <w:szCs w:val="18"/>
          <w:b w:val="1"/>
          <w:bCs w:val="1"/>
          <w:color w:val="auto"/>
        </w:rPr>
        <w:t xml:space="preserve"> </w:t>
      </w:r>
      <w:r>
        <w:rPr>
          <w:rFonts w:ascii="Arial" w:cs="Arial" w:eastAsia="Arial" w:hAnsi="Arial"/>
          <w:sz w:val="18"/>
          <w:szCs w:val="18"/>
          <w:color w:val="auto"/>
        </w:rPr>
        <w:t>social sharing, and more word-of-mouth virality. For example, in December 2020, we launched our New Year’s 2021 campaign, our largest ad campaign to date, delivering a unified brand message across multiple international markets that resulted in an increase in aided brand awareness of 6% in the United States, 3% in the United Kingdom, and 3% in Mexico. Investments in our brand enable us to drive long-term growth by attracting new learners to our platform and keeping existing learners engaged.</w:t>
      </w:r>
    </w:p>
    <w:p>
      <w:pPr>
        <w:spacing w:after="0" w:line="125"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Owned media marketing. </w:t>
      </w:r>
      <w:r>
        <w:rPr>
          <w:rFonts w:ascii="Arial" w:cs="Arial" w:eastAsia="Arial" w:hAnsi="Arial"/>
          <w:sz w:val="18"/>
          <w:szCs w:val="18"/>
          <w:color w:val="auto"/>
        </w:rPr>
        <w:t>Our owned media marketing engages our learner community, creating millions of brand advocates who</w:t>
      </w:r>
      <w:r>
        <w:rPr>
          <w:rFonts w:ascii="Arial" w:cs="Arial" w:eastAsia="Arial" w:hAnsi="Arial"/>
          <w:sz w:val="18"/>
          <w:szCs w:val="18"/>
          <w:b w:val="1"/>
          <w:bCs w:val="1"/>
          <w:color w:val="auto"/>
        </w:rPr>
        <w:t xml:space="preserve"> </w:t>
      </w:r>
      <w:r>
        <w:rPr>
          <w:rFonts w:ascii="Arial" w:cs="Arial" w:eastAsia="Arial" w:hAnsi="Arial"/>
          <w:sz w:val="18"/>
          <w:szCs w:val="18"/>
          <w:color w:val="auto"/>
        </w:rPr>
        <w:t>drive word-of-mouth virality by sharing their love of Duolingo within their networks. We send our learners personalized emails and push notifications that provide progress reports, lesson reminders, and sometimes a simple message of positivity to encourage them to remain engaged.</w:t>
      </w:r>
    </w:p>
    <w:p>
      <w:pPr>
        <w:spacing w:after="0" w:line="122"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Paid acquisition. </w:t>
      </w:r>
      <w:r>
        <w:rPr>
          <w:rFonts w:ascii="Arial" w:cs="Arial" w:eastAsia="Arial" w:hAnsi="Arial"/>
          <w:sz w:val="18"/>
          <w:szCs w:val="18"/>
          <w:color w:val="auto"/>
        </w:rPr>
        <w:t>We complement and accelerate our organic user acquisition with strategic and targeted paid marketing spend.</w:t>
      </w:r>
      <w:r>
        <w:rPr>
          <w:rFonts w:ascii="Arial" w:cs="Arial" w:eastAsia="Arial" w:hAnsi="Arial"/>
          <w:sz w:val="18"/>
          <w:szCs w:val="18"/>
          <w:b w:val="1"/>
          <w:bCs w:val="1"/>
          <w:color w:val="auto"/>
        </w:rPr>
        <w:t xml:space="preserve"> </w:t>
      </w:r>
      <w:r>
        <w:rPr>
          <w:rFonts w:ascii="Arial" w:cs="Arial" w:eastAsia="Arial" w:hAnsi="Arial"/>
          <w:sz w:val="18"/>
          <w:szCs w:val="18"/>
          <w:color w:val="auto"/>
        </w:rPr>
        <w:t>Our paid acquisition strategy is focused on targeting high quality user segments that are more likely to subscribe and on investing in new markets to kickstart our organic growth.</w:t>
      </w:r>
    </w:p>
    <w:p>
      <w:pPr>
        <w:spacing w:after="0" w:line="116"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Geographic expansion. </w:t>
      </w:r>
      <w:r>
        <w:rPr>
          <w:rFonts w:ascii="Arial" w:cs="Arial" w:eastAsia="Arial" w:hAnsi="Arial"/>
          <w:sz w:val="18"/>
          <w:szCs w:val="18"/>
          <w:color w:val="auto"/>
        </w:rPr>
        <w:t>In markets where our organic awareness is relatively low and opportunity for growth is strong, we hire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local marketing managers and engage in localized social media and influencer-led campaigns, app store optimization, and paid advertising to generate interest in our products and drive new learner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our relentless focus on building an engaging and effective language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successfully depends primarily on the following factors:</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Continued growth in internet access and mobile adoption around the world;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continue to increase our learner base through organic, word-of-mouth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scale, growth and engagement of our learners relative to those of our competitors;</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introduce new, and improve on existing, features and products in response to competition, learner preferences, and market and industry trends;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continue developing new monetization features and improving on existing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 w:right="339" w:bottom="1440" w:gutter="0" w:footer="0" w:header="0"/>
        </w:sectPr>
      </w:pPr>
    </w:p>
    <w:bookmarkStart w:id="146" w:name="page147"/>
    <w:bookmarkEnd w:id="14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own several trademarks that have been registered, or for which registration applications are pending, in the United States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trademark protection, we have registered several domain names, including www.duolingo.com, and we own several registered copyrights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 For information regarding risks related to our intellectual property, please see “Risk Factors—Risks Related to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collect and use personal information to create online accounts, process e-commerce transactions, provide customer service, support, and for other purposes. The regulatory framework for data protection, privacy and information security is evolving rapidly. The US Federal Trade Commission (FTC) and many state attorneys general are applying federal and state consumer protection laws to require that the online collection, use and dissemination of data, the presentation of website or other electronic content, and comply with certain standards for notice, choice, security and access. Courts may also adopt these developing standards. A number of states, including California and Virginia, have enacted laws or are considering the enactment of laws governing the personal information received from consumers, or imposing new requirements around the collection, use, sharing, and handling of data collected from or about consumers or their devices. In many cases, the specific limitations imposed by these standards are subject to interpretation by courts and other governmental authorities. For example, the California Consumer Privacy Act (CCPA) went into effect on January 1, 2020. The CCPA requires covered companies to, among other things, provide new disclosures to California consumers and afford such consumers new abilities to opt-out of certain sales of personal information. Additionally, the CPRA, a new privacy law that significantly modifies the CCPA, was passed by California voters in November 2020. Aspects of the CCPA, the CPRA and other laws and regulations relating to data protection, privacy, and information security, as well as their enforcement, remain unclear, and we may be required to modify our practices in an effort to comply with them. The CCPA and CPRA could mark the beginning of a trend toward more stringent privacy legislation in the United States. The CCPA has already prompted a number of proposals for federal and state privacy legislation that, if passed, could increase our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 w:right="339" w:bottom="1440" w:gutter="0" w:footer="0" w:header="0"/>
        </w:sectPr>
      </w:pPr>
    </w:p>
    <w:bookmarkStart w:id="147" w:name="page148"/>
    <w:bookmarkEnd w:id="14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add layers of complexity to compliance in the US market, increase our compliance costs and adversely affect our business.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Children’s Online Privacy Protection Act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Our services are not directed at children and we employ an age-gating procedure whereby anyone from the United States identifying themselves as being under the age of 13 during the registration process is directed to a separate ad-free portion of the service, with special enrollment procedures and restricted information practices. We also apply age-gating for non-US subscribers according to foreign laws.</w:t>
      </w:r>
    </w:p>
    <w:p>
      <w:pPr>
        <w:spacing w:after="0" w:line="152"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A determination by a state, federal or local agency or court that any of our practices do not meet these legal requirements or standards could result in liability and adversely affect our business. New interpretations of these standards could also require us to incur additional costs and restrict our business operations.</w:t>
      </w:r>
    </w:p>
    <w:p>
      <w:pPr>
        <w:spacing w:after="0" w:line="14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have many subscribers who access and pay our services from outside the United States. Foreign data protection, e-commerce, privacy,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We might unintentionally violate such laws, such laws may be modified and new laws may be enacted in the future which may increase the chance that we violate them unintentionally. Any such developments, or developments stemming from enactment or modification of other laws, or the failure to accurately anticipate the application or interpretation of these laws could create liability to us, result in adverse publicity and negatively affect our business. For example, in the EEA we are subject to the GDPR and in the UK we are subject to the UK GDPR.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data subject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processing activities; and complying with the principle of accountability and the obligation to demonstrate compliance through policies, procedures, training and audit. Non-compliance with the GDPR and the UK GDPR may attract substantial monetary penalties. In particular, fines for the most serious violations can amount up to the greater of €20 million/£17.5 million or, in the case of an undertaking, 4% of the total annual global turnover of the preceding financial year. Complying with the GDPR and the UK GDPR may cause us to incur substantial operational costs or require us to change certain business practices.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and Space</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lease approximately 47,000 square feet in multiple facilities in Pittsburgh, Pennsylvania where we operate our headquarters. Our headquarters currently accommodates our principal executive, development, engineering, product, marketing, business development, human resources, finance, legal, information technology and administrative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44" w:right="359" w:bottom="1440"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Outside of Pittsburgh, we and our subsidiary in China use co-working space as needed for the business. As of March 31, 2021, we have membership agreements with WeWork for offices in or near New York, Seattle, Beijing, and Tokyo.</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believe that our existing facilities are sufficient for our current needs. We believe that suitable additional or substitute space will be available as needed to accommodate changes in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currently involved in, and may in the future be involved in, legal proceedings, claims, and government investigations in the ordinary course of business. These include proceedings, claims, and investigations relating to, among other things, regulatory matters, commercial matters, intellectual property, competition, tax, employment, pricing, discrimination, and consumer rights.</w:t>
      </w:r>
    </w:p>
    <w:p>
      <w:pPr>
        <w:spacing w:after="0" w:line="14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Depending on the nature of the proceeding, claim, or investigation, we may be subject to monetary damage awards, fines, penalties, or injunctive orders. Furthermore, the outcome of these matters could materially adversely affect our business, results of operations, and financial condition. The outcomes of legal proceedings, claims, and government investigations are inherently unpredictable and subject to significant judgment to determine the likelihood and amount of loss related to such matters. While it is not possible to determine the outcomes, we believe based on our current knowledge that the resolution of all such pending matters will not, either individually or in the aggregate, have a material adverse effect on our business,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20"/>
          </w:cols>
          <w:pgMar w:left="320" w:top="144" w:right="55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of June 30, 2021, regarding our executive officers and directors: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Age</w:t>
            </w:r>
          </w:p>
        </w:tc>
        <w:tc>
          <w:tcPr>
            <w:tcW w:w="7080" w:type="dxa"/>
            <w:vAlign w:val="bottom"/>
          </w:tcPr>
          <w:p>
            <w:pPr>
              <w:ind w:left="3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32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7080" w:type="dxa"/>
            <w:vAlign w:val="bottom"/>
            <w:tcBorders>
              <w:top w:val="single" w:sz="8" w:color="auto"/>
            </w:tcBorders>
            <w:shd w:val="clear" w:color="auto" w:fill="DBDBDB"/>
          </w:tcPr>
          <w:p>
            <w:pPr>
              <w:spacing w:after="0"/>
              <w:rPr>
                <w:sz w:val="19"/>
                <w:szCs w:val="19"/>
                <w:color w:val="auto"/>
              </w:rPr>
            </w:pP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Luis von Ahn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President, Chief Executive Officer, Co-Founder, and 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Severin Hacker</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Technology Officer, Co-Founder, and 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Matthew Skaruppa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Robert Meese</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Natalie Glance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Senior Vice President, Engineering</w:t>
            </w:r>
          </w:p>
        </w:tc>
      </w:tr>
      <w:tr>
        <w:trPr>
          <w:trHeight w:val="22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Stephen Chen</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Counsel</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22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Amy Bohutinsky(1)(3)</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Sara Clemens(2)(3)</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Bing Gordon(2)</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Gillian Munson(1)</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Jim Shelton(1)(3)</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Laela Sturdy(1)</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audit, risk and compliance committee.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compensation and leadership committee.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8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 xml:space="preserve">Luis von Ahn, Ph.D. </w:t>
      </w:r>
      <w:r>
        <w:rPr>
          <w:rFonts w:ascii="Arial" w:cs="Arial" w:eastAsia="Arial" w:hAnsi="Arial"/>
          <w:sz w:val="18"/>
          <w:szCs w:val="18"/>
          <w:color w:val="auto"/>
        </w:rPr>
        <w:t>has served as a member of our board of directors and as our Chief Executive Officer since August 2011, when he co-founded Duolingo with Dr. Hacker. Prior to founding Duolingo, he served as the Chief Executive Officer of reCAPTCHA, Inc., a fraud detection technology company, from 2007 until its acquisition by Google in 2009. Dr. von Ahn has served on the board of directors of Root, Inc., a publicly-traded technology company focusing on personal insurance, since October 2020. Dr. von Ahn holds a B.S. in Mathematics from Duke University and a Ph.D. in Computer Science from Carnegie Mellon University. We believe Dr. von Ahn is qualified to serve as a member of our board of directors because of his perspective and experience building and leading our business as co-founder and Chief Executive Officer.</w:t>
      </w:r>
    </w:p>
    <w:p>
      <w:pPr>
        <w:spacing w:after="0" w:line="12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Severin Hacker, Ph.D. </w:t>
      </w:r>
      <w:r>
        <w:rPr>
          <w:rFonts w:ascii="Arial" w:cs="Arial" w:eastAsia="Arial" w:hAnsi="Arial"/>
          <w:sz w:val="18"/>
          <w:szCs w:val="18"/>
          <w:color w:val="auto"/>
        </w:rPr>
        <w:t>has served as a member of our board of directors and as our Chief Technology Officer since August 2011, when he</w:t>
      </w:r>
      <w:r>
        <w:rPr>
          <w:rFonts w:ascii="Arial" w:cs="Arial" w:eastAsia="Arial" w:hAnsi="Arial"/>
          <w:sz w:val="18"/>
          <w:szCs w:val="18"/>
          <w:b w:val="1"/>
          <w:bCs w:val="1"/>
          <w:color w:val="auto"/>
        </w:rPr>
        <w:t xml:space="preserve"> </w:t>
      </w:r>
      <w:r>
        <w:rPr>
          <w:rFonts w:ascii="Arial" w:cs="Arial" w:eastAsia="Arial" w:hAnsi="Arial"/>
          <w:sz w:val="18"/>
          <w:szCs w:val="18"/>
          <w:color w:val="auto"/>
        </w:rPr>
        <w:t>co-founded Duolingo with Dr. von Ahn. Dr. Hacker holds a B.S. in Computer Science from Eidgenossische Technische Hochschule Zurich, Switzerland and a Ph.D. in Computer Science from Carnegie Mellon University. We believe Dr. Hacker is qualified to serve as a member of our board of directors because of his perspective and experience building and leading our business as co-founder and Chief Technology Officer.</w:t>
      </w:r>
    </w:p>
    <w:p>
      <w:pPr>
        <w:spacing w:after="0" w:line="124" w:lineRule="exact"/>
        <w:rPr>
          <w:sz w:val="20"/>
          <w:szCs w:val="20"/>
          <w:color w:val="auto"/>
        </w:rPr>
      </w:pPr>
    </w:p>
    <w:p>
      <w:pPr>
        <w:jc w:val="both"/>
        <w:ind w:right="40"/>
        <w:spacing w:after="0" w:line="284" w:lineRule="auto"/>
        <w:rPr>
          <w:sz w:val="20"/>
          <w:szCs w:val="20"/>
          <w:color w:val="auto"/>
        </w:rPr>
      </w:pPr>
      <w:r>
        <w:rPr>
          <w:rFonts w:ascii="Arial" w:cs="Arial" w:eastAsia="Arial" w:hAnsi="Arial"/>
          <w:sz w:val="18"/>
          <w:szCs w:val="18"/>
          <w:b w:val="1"/>
          <w:bCs w:val="1"/>
          <w:color w:val="auto"/>
        </w:rPr>
        <w:t xml:space="preserve">Matthew Skaruppa </w:t>
      </w:r>
      <w:r>
        <w:rPr>
          <w:rFonts w:ascii="Arial" w:cs="Arial" w:eastAsia="Arial" w:hAnsi="Arial"/>
          <w:sz w:val="18"/>
          <w:szCs w:val="18"/>
          <w:color w:val="auto"/>
        </w:rPr>
        <w:t>has served as our Chief Financial Officer since February 2020. From January 2016 to February 2020, he served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Goldman Sachs. Previously, Mr. Skaruppa served as Principal at KKR Capstone from 2010 to 2015 and as a consultant at Bain &amp; Company from 2004 to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 w:right="339" w:bottom="1440" w:gutter="0" w:footer="0" w:header="0"/>
        </w:sectPr>
      </w:pPr>
    </w:p>
    <w:bookmarkStart w:id="150" w:name="page151"/>
    <w:bookmarkEnd w:id="15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Mr. Skaruppa holds a B.S. in Chemical Engineering from Northwestern University and an M.B.A. from the Stanford Graduate School of Business.</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Robert Meese </w:t>
      </w:r>
      <w:r>
        <w:rPr>
          <w:rFonts w:ascii="Arial" w:cs="Arial" w:eastAsia="Arial" w:hAnsi="Arial"/>
          <w:sz w:val="18"/>
          <w:szCs w:val="18"/>
          <w:color w:val="auto"/>
        </w:rPr>
        <w:t>has served as our Chief Business Officer since March 2021, after having served as our Chief Revenue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2018 to March 2021 and our Vice President of Business from September 2016 to December 2018. From August 2008 to September 2016, he held various roles at Google, including most recently as Director, Global Head of Games Business Development, Google Play. Mr. Meese holds a B.S. in Economics and a B.S. in Computer Science from the University of Pennsylvania and an M.B.A. from the Massachusetts Institute of Technology.</w:t>
      </w:r>
    </w:p>
    <w:p>
      <w:pPr>
        <w:spacing w:after="0" w:line="12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 xml:space="preserve">Natalie Glance, Ph.D. </w:t>
      </w:r>
      <w:r>
        <w:rPr>
          <w:rFonts w:ascii="Arial" w:cs="Arial" w:eastAsia="Arial" w:hAnsi="Arial"/>
          <w:sz w:val="18"/>
          <w:szCs w:val="18"/>
          <w:color w:val="auto"/>
        </w:rPr>
        <w:t>has served as our Senior Vice President of Engineering since December 2019, after having served as our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Engineering from February 2017 to December 2019 and our Director of Engineering from March 2015 to February 2017. From 2007 to 2015, Dr. Glance served as an Engineering Manager at Google. Dr. Glance holds a B.A. in Physics from Princeton University and a Ph.D. in Physics from Stanford University.</w:t>
      </w:r>
    </w:p>
    <w:p>
      <w:pPr>
        <w:spacing w:after="0" w:line="121" w:lineRule="exact"/>
        <w:rPr>
          <w:sz w:val="20"/>
          <w:szCs w:val="20"/>
          <w:color w:val="auto"/>
        </w:rPr>
      </w:pPr>
    </w:p>
    <w:p>
      <w:pPr>
        <w:jc w:val="both"/>
        <w:ind w:right="100"/>
        <w:spacing w:after="0" w:line="278" w:lineRule="auto"/>
        <w:rPr>
          <w:sz w:val="20"/>
          <w:szCs w:val="20"/>
          <w:color w:val="auto"/>
        </w:rPr>
      </w:pPr>
      <w:r>
        <w:rPr>
          <w:rFonts w:ascii="Arial" w:cs="Arial" w:eastAsia="Arial" w:hAnsi="Arial"/>
          <w:sz w:val="18"/>
          <w:szCs w:val="18"/>
          <w:b w:val="1"/>
          <w:bCs w:val="1"/>
          <w:color w:val="auto"/>
        </w:rPr>
        <w:t xml:space="preserve">Stephen Chen </w:t>
      </w:r>
      <w:r>
        <w:rPr>
          <w:rFonts w:ascii="Arial" w:cs="Arial" w:eastAsia="Arial" w:hAnsi="Arial"/>
          <w:sz w:val="18"/>
          <w:szCs w:val="18"/>
          <w:color w:val="auto"/>
        </w:rPr>
        <w:t>has served as our General Counsel since March 2020. From July 2014 to February 2020, he served as Associate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for Proofpoint, Inc., an enterprise security company. Mr. Chen previously served as Associate General Counsel of Marin Software, Director and Senior Counsel, Mergers and Acquisition at VMWare, Inc. and Legal Director of Yahoo!. Mr. Chen holds a B.A. in History and a J.D. from Harvard University.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 xml:space="preserve">Amy Bohutinsky </w:t>
      </w:r>
      <w:r>
        <w:rPr>
          <w:rFonts w:ascii="Arial" w:cs="Arial" w:eastAsia="Arial" w:hAnsi="Arial"/>
          <w:sz w:val="18"/>
          <w:szCs w:val="18"/>
          <w:color w:val="auto"/>
        </w:rPr>
        <w:t>has served as a member of our board of directors since June 2020. From 2005 to 2019, she held various leadership roles</w:t>
      </w:r>
      <w:r>
        <w:rPr>
          <w:rFonts w:ascii="Arial" w:cs="Arial" w:eastAsia="Arial" w:hAnsi="Arial"/>
          <w:sz w:val="18"/>
          <w:szCs w:val="18"/>
          <w:b w:val="1"/>
          <w:bCs w:val="1"/>
          <w:color w:val="auto"/>
        </w:rPr>
        <w:t xml:space="preserve"> </w:t>
      </w:r>
      <w:r>
        <w:rPr>
          <w:rFonts w:ascii="Arial" w:cs="Arial" w:eastAsia="Arial" w:hAnsi="Arial"/>
          <w:sz w:val="18"/>
          <w:szCs w:val="18"/>
          <w:color w:val="auto"/>
        </w:rPr>
        <w:t>at Zillow Group, Inc., a publicly-traded online real estate marketplace company, including most recently as the Chief Operating Officer, from August 2015 to 2019, and as the Chief Marketing Officer, from March 2011 to August 2015. From 2001 to 2005, Ms. Bohutinsky served in various leadership positions at Hotwire, Inc., an online travel company, including Director of Corporate Communications. Ms. Bohutinsky has consulted as a venture partner at TCV, a private equity and venture capital firm, since 2019. Ms. Bohutinsky has served on the board of directors of Zillow Group since October 2018. Previously, she served on the board of directors of Gap, Inc., a publicly-traded clothing retailer, from 2018 to 2020. She also previously served on the boards of directors of HotelTonight, LLC, a privately held mobile-based hotel booking service (acquired by Airbnb, Inc. in 2019) and Avvo, Inc., a privately held online legal marketplace (acquired by Internet Brands in 2018). Ms. Bohutinsky holds a B.A. in Journalism and Mass Communications from Washington &amp; Lee University. We believe Ms. Bohutinsky is qualified to serve as a member of our board of directors due to her valuable strategic and operational expertise and experience as director and senior leader of other large consumer-facing companies.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 xml:space="preserve">Sara Clemens </w:t>
      </w:r>
      <w:r>
        <w:rPr>
          <w:rFonts w:ascii="Arial" w:cs="Arial" w:eastAsia="Arial" w:hAnsi="Arial"/>
          <w:sz w:val="18"/>
          <w:szCs w:val="18"/>
          <w:color w:val="auto"/>
        </w:rPr>
        <w:t>has served as a member of our board of directors since June 2020. Ms. Clemens has served as the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at Twitch since January 2018. From 2014 to 2017, she served as the Chief Operating Officer at Pandora Media and, from 2012 to 2013, she served as the Vice President of Corporate Development at LinkedIn. Ms. Clemens currently serves as on the board of directors of Khosla Ventures Acquisition Co. III. Ms. Clemens holds a B.A. in English and an M.A. (Hons) from the University of Canterbury, New Zealand. We believe Ms. Clemens is qualified to serve as a member of our board of directors due to her extensive strategic and operational expertise and experience in senior leadership roles at other technology companies.</w:t>
      </w:r>
    </w:p>
    <w:p>
      <w:pPr>
        <w:spacing w:after="0" w:line="12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 xml:space="preserve">Bing Gordon </w:t>
      </w:r>
      <w:r>
        <w:rPr>
          <w:rFonts w:ascii="Arial" w:cs="Arial" w:eastAsia="Arial" w:hAnsi="Arial"/>
          <w:sz w:val="18"/>
          <w:szCs w:val="18"/>
          <w:color w:val="auto"/>
        </w:rPr>
        <w:t>has served as a member of our board of directors since February 2020. Since June 2008, Mr. Gordon has served as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at Kleiner Perkins Caufield &amp; Byers, a venture capital firm. From 1998 to 2009, he served as the Executive Vice President and Chief Creative officer of Electronic Acts,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320" w:top="144" w:right="37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gaming company he co-founded. Mr. Gordon has served on the board of directors of Zynga Inc., a publicly-traded video game developer, since July 2008. Mr. Gordon is a special advisor to the board of directors of Amazon, and was previously a member of its board from 2003 to 2018. Mr. Gordon holds a B.A. in English from Yale and an M.B.A. from the Stanford Graduate School of Business. We believe Mr. Gordon is qualified to serve as a member of our board of directors due to his investment, strategic and operational expertise and his experience in senior leadership roles at other technology companies.</w:t>
      </w:r>
    </w:p>
    <w:p>
      <w:pPr>
        <w:spacing w:after="0" w:line="132"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 xml:space="preserve">Gillian Munson </w:t>
      </w:r>
      <w:r>
        <w:rPr>
          <w:rFonts w:ascii="Arial" w:cs="Arial" w:eastAsia="Arial" w:hAnsi="Arial"/>
          <w:sz w:val="18"/>
          <w:szCs w:val="18"/>
          <w:color w:val="auto"/>
        </w:rPr>
        <w:t>has served as a member of our board of directors since September 2019. Ms. Munson has served 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Iora Health, Inc., a healthcare company, since January 2021 and as a Venture Partner at Union Square Ventures since April 2019. From 2013 to 2019, she served as Chief Financial Officer of XO Group Inc., the parent company of The Knot Inc., a media and technology company. Ms. Munson’s previous positions include Managing Director at Allen &amp; Company LLC, Vice President, Business Development at Symbol Technologies, LLC, and both Executive Director and Senior Equity Analyst at Morgan Stanley. Ms. Munson has served on the board of directors of Phreesia, Inc., a publicly-traded software company, since May 2019, and previously served on the board of directors of Monster Worldwide, Inc. from 2015 to 2016. Ms. Munson holds a B.A. in Political Science and Economics from the Colorado College in Colorado Springs. We believe Ms. Munson is qualified to serve as a member of our board of directors due to her experiences in senior leadership roles at consumer-facing companies and her background in investment and research.</w:t>
      </w:r>
    </w:p>
    <w:p>
      <w:pPr>
        <w:spacing w:after="0" w:line="132"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 xml:space="preserve">Jim Shelton </w:t>
      </w:r>
      <w:r>
        <w:rPr>
          <w:rFonts w:ascii="Arial" w:cs="Arial" w:eastAsia="Arial" w:hAnsi="Arial"/>
          <w:sz w:val="18"/>
          <w:szCs w:val="18"/>
          <w:color w:val="auto"/>
        </w:rPr>
        <w:t>has served as a member of our board of directors since October 2020. Mr. Shelton has served as the Chief Investment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Officer at the Blue Meridian Partners, a nonprofit funding collaborative, since January 2020, and a Partner of Amandla Enterprises, an impact investment and advisory firm, since July 2018. From July 2016 to July 2018, he served as the President of Education for the Chan Zuckerberg Initiative. From June 2015 to July 2016, Mr. Shelton previously served as the President and Chief Impact Officer of 2U, Inc., an educational technology company. From 2009 to 2015, he held various roles at the US Department of Education, most recently as Deputy Secretary and Chief Operating Officer. Mr. Shelton holds a B.A. in Computer Science from Morehouse College and an M.S. in Education and an M.B.A. from the Stanford Graduate School of Business. We believe Mr. Shelton is qualified to serve as a member of our board of directors due to his extensive experience in senior leadership roles at public companies and in the government, along with his commitment to education.</w:t>
      </w:r>
    </w:p>
    <w:p>
      <w:pPr>
        <w:spacing w:after="0" w:line="13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 xml:space="preserve">Laela Sturdy </w:t>
      </w:r>
      <w:r>
        <w:rPr>
          <w:rFonts w:ascii="Arial" w:cs="Arial" w:eastAsia="Arial" w:hAnsi="Arial"/>
          <w:sz w:val="18"/>
          <w:szCs w:val="18"/>
          <w:color w:val="auto"/>
        </w:rPr>
        <w:t>has served as a member of our board of directors since March 2020. Ms. Sturdy has served as a General Partner at CapitalG,</w:t>
      </w:r>
      <w:r>
        <w:rPr>
          <w:rFonts w:ascii="Arial" w:cs="Arial" w:eastAsia="Arial" w:hAnsi="Arial"/>
          <w:sz w:val="18"/>
          <w:szCs w:val="18"/>
          <w:b w:val="1"/>
          <w:bCs w:val="1"/>
          <w:color w:val="auto"/>
        </w:rPr>
        <w:t xml:space="preserve"> </w:t>
      </w:r>
      <w:r>
        <w:rPr>
          <w:rFonts w:ascii="Arial" w:cs="Arial" w:eastAsia="Arial" w:hAnsi="Arial"/>
          <w:sz w:val="18"/>
          <w:szCs w:val="18"/>
          <w:color w:val="auto"/>
        </w:rPr>
        <w:t>the growth investment fund financed by Alphabet Inc., since October 2013. Previously, Ms. Sturdy held several roles at Google, including Managing Director, Emerging Businesses. Since March 2021, Ms. Sturdy has served on the board of directors of UiPath, Inc., a publicly-traded process automation software company, and previously served on the board of directors of Care.com from July 2016 to May 2019. Ms. Sturdy holds an A.B. in Biochemistry from Harvard College, an M.Sc. in Multimedia Systems from Trinity College Dublin and an M.B.A. from the Stanford Graduate School of Business. We believe Ms. Sturdy is qualified to serve as a member of our board of directors due to her experience in investing in, and facilitating the growth of, technology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which will become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44" w:right="359" w:bottom="1440" w:gutter="0" w:footer="0" w:header="0"/>
        </w:sectPr>
      </w:pPr>
    </w:p>
    <w:bookmarkStart w:id="152" w:name="page153"/>
    <w:bookmarkEnd w:id="15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prior to the completion of this offering. Our board of directors currently consists of nine directors, seven of whom will qualify as “independent” under the Nasdaq Listing Rules.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Mmes. Bohutinsky, Clemens, Munson, and Sturdy and Messrs. Gordon and Shelton qualify as independent directors in accordance with the Nasdaq Listing Rules.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Our board of directors has made a subjective determination as to each independent director that no relationships exists that, in the opinion of our board of directors, would interfere with the exercise of independent judgment in carrying out the responsibilities of a director. Drs. von Ahn and Hacker are not considered independent by virtue of their positions as our Chief Executive Officer and Chief Technology Officer, respectively. In making these determinations, our board of directors reviewed and discussed information provided by the directors and us with regard to each director’s relationships as they may relate to us and our management, including the beneficial ownership of our capital stock by each director, and the transactions involving them described in the section titled “Certain Relationships and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In accordance with our amended and restated certificate of incorporation, which will become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39" w:lineRule="exact"/>
        <w:rPr>
          <w:sz w:val="20"/>
          <w:szCs w:val="20"/>
          <w:color w:val="auto"/>
        </w:rPr>
      </w:pPr>
    </w:p>
    <w:p>
      <w:pPr>
        <w:ind w:left="660" w:right="360" w:hanging="328"/>
        <w:spacing w:after="0" w:line="26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Class I directors will be Bing Gordon and Laela Sturdy, and their terms will expire at the annual meeting of stockholders to be held in 2022;</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Class II directors will be Amy Bohutinsky, Gillian Munson, and Jim Shelton, and their terms will expire at the annual meeting of stockholders to be held in 2023; and</w:t>
      </w:r>
    </w:p>
    <w:p>
      <w:pPr>
        <w:spacing w:after="0" w:line="14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Class III directors will be Luis von Ahn, Sara Clemens, and Severin Hacker, and their terms will expire at the annual meeting of stockholders to be held in 2024.</w:t>
      </w:r>
    </w:p>
    <w:p>
      <w:pPr>
        <w:spacing w:after="0" w:line="15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 Process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 w:right="339" w:bottom="1440" w:gutter="0" w:footer="0" w:header="0"/>
        </w:sectPr>
      </w:pPr>
    </w:p>
    <w:bookmarkStart w:id="153" w:name="page154"/>
    <w:bookmarkEnd w:id="15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part of management presentations that focus on particular business functions, operations, or strategies, and presents the steps taken by management to mitigate or eliminate such risks.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risk and compliance committee is responsible for overseeing our major financial risk exposures and the steps our management has taken to monitor and control these exposures. The audit, risk and compliance committee also approves or disapproves any related party transactions. Our nominating and corporate governance committee monitors the effectiveness of our corporate governance guidelines. Our compensation and leadership committee assesses and monitors whether any of our compensation policies and programs has the potential to encourage excessive risk-taking.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board of directors has established an audit, risk and compliance committee, a compensation and leadership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intends to adopt a written charter that satisfies the applicable rules and regulations of the SEC and Nasdaq Listing Rules, which we will post on our website at www.duolingo.com.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Risk, and Compliance Committee</w:t>
      </w:r>
    </w:p>
    <w:p>
      <w:pPr>
        <w:spacing w:after="0" w:line="20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audit, risk, and compliance committee oversees our corporate accounting and financial reporting process. Among other matters, the audit, risk, and compliance committee:</w:t>
      </w:r>
    </w:p>
    <w:p>
      <w:pPr>
        <w:spacing w:after="0" w:line="13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pre-approves the audit and non-audit fees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reviews and approves all related party transactions on an ongoing basis;</w:t>
      </w:r>
    </w:p>
    <w:p>
      <w:pPr>
        <w:spacing w:after="0" w:line="171"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any complaints received by us regarding accounting, internal accounting controls, or auditing matters;</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discusses with management on a periodic basis, or as appropriate, policies, and procedures with respect to risk assessment and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44" w:right="359" w:bottom="1440" w:gutter="0" w:footer="0" w:header="0"/>
        </w:sectPr>
      </w:pPr>
    </w:p>
    <w:bookmarkStart w:id="154" w:name="page155"/>
    <w:bookmarkEnd w:id="15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consults with management to establish procedures and internal controls relating to cybersecurity;</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investigates any reports received through the ethics helpline and reports to the board of directors periodically with respect to any information received through the ethics helpline and any related investigations; and</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reviews the audit, risk and compliance committee charter and the audit, risk and compliance committee’s performance on an annual basis.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audit, risk and compliance committee consists of Gillian Munson, Amy Bohutinsky, Jim Shelton, and Laela Sturdy. Our board of directors has determined that all members are independent under the Nasdaq Listing Rules and Rule 10A-3(b)(1) of the Exchange Act. The chair of our audit, risk and compliance committee is Ms. Munson. Our board of directors has determined that Ms. Munson is an audit committee financial expert as such term is currently defined in Item 407(d)(5) of Regulation S-K. Our board of directors has also determined that each member of our audit, risk and compliance committee can read and understand fundamental consolidated financial statements, in accordance with applicable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Leadership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and leadership committee oversees policies relating to the compensation and benefits of our officers and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Among other matters, the compensation and leadership committee:</w:t>
      </w:r>
    </w:p>
    <w:p>
      <w:pPr>
        <w:spacing w:after="0" w:line="171" w:lineRule="exact"/>
        <w:rPr>
          <w:sz w:val="20"/>
          <w:szCs w:val="20"/>
          <w:color w:val="auto"/>
        </w:rPr>
      </w:pPr>
    </w:p>
    <w:p>
      <w:pPr>
        <w:ind w:left="660" w:right="68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reviews and approves corporate goals and objectives relevant to compensation of our executive officers other than our Chief Executive Officer and any executive officer who is then-serving as a member of our board of directors;</w:t>
      </w:r>
    </w:p>
    <w:p>
      <w:pPr>
        <w:spacing w:after="0" w:line="143"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other than our Chief Executive Officer and any executive officer who is then-serving as a member of our board of directors in light of those goals and objectives and approves the compensation of these officers based on such evaluations;</w:t>
      </w:r>
    </w:p>
    <w:p>
      <w:pPr>
        <w:spacing w:after="0" w:line="147"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reviews and approves or makes recommendations to our board of directors regarding our incentive compensation plans and arrangements, retirement plans, and special or supplemental compensation and benefits;</w:t>
      </w:r>
    </w:p>
    <w:p>
      <w:pPr>
        <w:spacing w:after="0" w:line="143"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reviews the performance of any executive officer who is then-serving as a member of our board of directors and makes recommendations with respect to such executive officer’s compensation to our board of directors, which retains the authority to make compensation decisions relative to such executive officers;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reviews and makes recommendations to our board of directors regarding director compensation;</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reviews the compensation and leadership committee charter and the compensation and leadership committee’s performance on an annual basis.</w:t>
      </w:r>
    </w:p>
    <w:p>
      <w:pPr>
        <w:spacing w:after="0" w:line="15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compensation and leadership committee consists of Bing Gordon and Sara Clemens. Our board of directors has determined that all members of our compensation and leadership committee are independent under the Nasdaq Listing Rules and are “non-employee directors” as defined in Rule 16b-3 promulgated under the Exchange Act. The chair of our compensation and leadership committee is Mr. Gordon.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 w:right="359" w:bottom="1440" w:gutter="0" w:footer="0" w:header="0"/>
        </w:sectPr>
      </w:pPr>
    </w:p>
    <w:bookmarkStart w:id="155" w:name="page156"/>
    <w:bookmarkEnd w:id="15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composition of our board of directors. In addition, the nominating and corporate governance committee is responsible for overseeing our corporate governance policies and making recommendations to our board of directors concerning governance matters.</w:t>
      </w:r>
    </w:p>
    <w:p>
      <w:pPr>
        <w:spacing w:after="0" w:line="152"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Our nominating and corporate governance committee consists of Sara Clemens, Amy Bohutinsky, and Jim Shelton. Our board of directors has determined that all members of the nominating and corporate governance committee are independent under the Nasdaq Listing Rules. The chair of our nominating and corporate governance committee is Ms. Clemens.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Leadership Committee Interlocks and Insider Participation</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None of the members of the compensation and leadership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and leadership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Code of Ethics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adopted a written code of business conduct and ethics that applies to all of our directors, officers, and employees, including those officers responsible for financial reporting. The full text of our code of business conduct and ethics will be posted on the investor relations section of our website at www.duolingo.com. Any substantive amendment to, or waiver of, a provision of the code of business conduct and ethics that applies to our principal executive officer, principal financial officer, principal accounting officer or controller, or persons performing similar functions will be disclosed on our website.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both of which will become effective immediately prior to the completion of this offering, among other things, limit our directors’ liability, and provide that we may indemnify our directors and officers to the fullest extent permitted under the Delaware General Corporation Law. As authorized by the Delaware General Corporation Law, our amended and restated certificate of incorporation provides that to the fullest extent permitted by Delaware law, our directors will not be personally liable to us or our stockholders for monetary damages for breach of fiduciary duty as directors, except for liability for any:</w:t>
      </w:r>
    </w:p>
    <w:p>
      <w:pPr>
        <w:spacing w:after="0" w:line="13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unlawful payment of dividends or unlawful redemption or repurchase of shares in violation of Delaware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 w:right="359" w:bottom="1440" w:gutter="0" w:footer="0" w:header="0"/>
        </w:sectPr>
      </w:pPr>
    </w:p>
    <w:bookmarkStart w:id="156" w:name="page157"/>
    <w:bookmarkEnd w:id="15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43"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color w:val="auto"/>
        </w:rPr>
        <w:t>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5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addition, we have entered, and intend to continue to enter, into separate indemnification agreements with our directors and officers. Subject to certain exceptions, these indemnification agreements, among other things, require us to indemnify such directors and officers to the fullest extent permitted by Delaware law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such director and officer in advance of the final disposition of the action, suit or proceeding.</w:t>
      </w:r>
    </w:p>
    <w:p>
      <w:pPr>
        <w:spacing w:after="0" w:line="1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w:t>
      </w:r>
    </w:p>
    <w:p>
      <w:pPr>
        <w:spacing w:after="0" w:line="14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believe that these provisions in our amended and restated certificate of incorporation and amended and restated bylaws and these indemnification agreements are necessary to attract and retain qualified persons as directors and officers.</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 w:right="339" w:bottom="1440" w:gutter="0" w:footer="0" w:header="0"/>
        </w:sectPr>
      </w:pPr>
    </w:p>
    <w:bookmarkStart w:id="157" w:name="page158"/>
    <w:bookmarkEnd w:id="15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for Fiscal Year 2020</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information for 2020 regarding the compensation awarded to, earned by or paid to the non-employee directors who served on our board of directors during fiscal year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 in Pension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Fees Earned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Value and</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Non-Equity Incentive</w:t>
            </w: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Nonqualified Deferred</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or Paid in</w:t>
            </w:r>
          </w:p>
        </w:tc>
        <w:tc>
          <w:tcPr>
            <w:tcW w:w="10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Compensation</w:t>
            </w: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Cash ($)</w:t>
            </w:r>
          </w:p>
        </w:tc>
        <w:tc>
          <w:tcPr>
            <w:tcW w:w="100" w:type="dxa"/>
            <w:vAlign w:val="bottom"/>
            <w:tcBorders>
              <w:bottom w:val="single" w:sz="8" w:color="DBDBDB"/>
            </w:tcBorders>
          </w:tcPr>
          <w:p>
            <w:pPr>
              <w:spacing w:after="0"/>
              <w:rPr>
                <w:sz w:val="15"/>
                <w:szCs w:val="15"/>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Awards ($)</w:t>
            </w:r>
          </w:p>
        </w:tc>
        <w:tc>
          <w:tcPr>
            <w:tcW w:w="10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DBDBDB"/>
            </w:tcBorders>
          </w:tcPr>
          <w:p>
            <w:pPr>
              <w:spacing w:after="0"/>
              <w:rPr>
                <w:sz w:val="15"/>
                <w:szCs w:val="15"/>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Plan 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w:t>
            </w:r>
          </w:p>
        </w:tc>
        <w:tc>
          <w:tcPr>
            <w:tcW w:w="100" w:type="dxa"/>
            <w:vAlign w:val="bottom"/>
            <w:tcBorders>
              <w:bottom w:val="single" w:sz="8" w:color="DBDBDB"/>
            </w:tcBorders>
          </w:tcPr>
          <w:p>
            <w:pPr>
              <w:spacing w:after="0"/>
              <w:rPr>
                <w:sz w:val="15"/>
                <w:szCs w:val="15"/>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Amy Bohutinsky</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303,200</w:t>
            </w:r>
          </w:p>
        </w:tc>
        <w:tc>
          <w:tcPr>
            <w:tcW w:w="100" w:type="dxa"/>
            <w:vAlign w:val="bottom"/>
            <w:shd w:val="clear" w:color="auto" w:fill="DBDBDB"/>
          </w:tcPr>
          <w:p>
            <w:pPr>
              <w:spacing w:after="0"/>
              <w:rPr>
                <w:sz w:val="18"/>
                <w:szCs w:val="18"/>
                <w:color w:val="auto"/>
              </w:rPr>
            </w:pP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303,200</w:t>
            </w:r>
          </w:p>
        </w:tc>
        <w:tc>
          <w:tcPr>
            <w:tcW w:w="0" w:type="dxa"/>
            <w:vAlign w:val="bottom"/>
          </w:tcPr>
          <w:p>
            <w:pPr>
              <w:spacing w:after="0"/>
              <w:rPr>
                <w:sz w:val="1"/>
                <w:szCs w:val="1"/>
                <w:color w:val="auto"/>
              </w:rPr>
            </w:pPr>
          </w:p>
        </w:tc>
      </w:tr>
      <w:tr>
        <w:trPr>
          <w:trHeight w:val="213"/>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Sara Clemens</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303,200</w:t>
            </w:r>
          </w:p>
        </w:tc>
        <w:tc>
          <w:tcPr>
            <w:tcW w:w="10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303,200</w:t>
            </w:r>
          </w:p>
        </w:tc>
        <w:tc>
          <w:tcPr>
            <w:tcW w:w="0" w:type="dxa"/>
            <w:vAlign w:val="bottom"/>
          </w:tcPr>
          <w:p>
            <w:pPr>
              <w:spacing w:after="0"/>
              <w:rPr>
                <w:sz w:val="1"/>
                <w:szCs w:val="1"/>
                <w:color w:val="auto"/>
              </w:rPr>
            </w:pPr>
          </w:p>
        </w:tc>
      </w:tr>
      <w:tr>
        <w:trPr>
          <w:trHeight w:val="21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Brad Burnham</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Bing Gordon</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Gillian Munson</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Jim Shelton</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427,600</w:t>
            </w:r>
          </w:p>
        </w:tc>
        <w:tc>
          <w:tcPr>
            <w:tcW w:w="10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427,600</w:t>
            </w:r>
          </w:p>
        </w:tc>
        <w:tc>
          <w:tcPr>
            <w:tcW w:w="0" w:type="dxa"/>
            <w:vAlign w:val="bottom"/>
          </w:tcPr>
          <w:p>
            <w:pPr>
              <w:spacing w:after="0"/>
              <w:rPr>
                <w:sz w:val="1"/>
                <w:szCs w:val="1"/>
                <w:color w:val="auto"/>
              </w:rPr>
            </w:pPr>
          </w:p>
        </w:tc>
      </w:tr>
      <w:tr>
        <w:trPr>
          <w:trHeight w:val="21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Laela Sturdy</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right="280" w:hanging="332"/>
        <w:spacing w:after="0" w:line="258"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shown represent the grant date fair value of option awards granted during fiscal year 2020 as calculated in accordance with ASC Topic 718. See Note 9 of the audited consolidated financial statements included in this registration statement for the assumptions used in calculating this amount.</w:t>
      </w:r>
    </w:p>
    <w:p>
      <w:pPr>
        <w:spacing w:after="0" w:line="139" w:lineRule="exact"/>
        <w:rPr>
          <w:rFonts w:ascii="Arial" w:cs="Arial" w:eastAsia="Arial" w:hAnsi="Arial"/>
          <w:sz w:val="14"/>
          <w:szCs w:val="14"/>
          <w:color w:val="auto"/>
        </w:rPr>
      </w:pPr>
    </w:p>
    <w:p>
      <w:pPr>
        <w:ind w:left="340" w:right="240"/>
        <w:spacing w:after="0" w:line="258" w:lineRule="auto"/>
        <w:rPr>
          <w:rFonts w:ascii="Arial" w:cs="Arial" w:eastAsia="Arial" w:hAnsi="Arial"/>
          <w:sz w:val="14"/>
          <w:szCs w:val="14"/>
          <w:color w:val="auto"/>
        </w:rPr>
      </w:pPr>
      <w:r>
        <w:rPr>
          <w:rFonts w:ascii="Arial" w:cs="Arial" w:eastAsia="Arial" w:hAnsi="Arial"/>
          <w:sz w:val="14"/>
          <w:szCs w:val="14"/>
          <w:color w:val="auto"/>
        </w:rPr>
        <w:t>The table below shows the aggregate number of option awards (exercisable and unexercisable) held as of December 31, 2020 by each non-employee director who was serving as of December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7"/>
              </w:rPr>
              <w:t>Shares Underlying</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8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0"/>
                <w:szCs w:val="10"/>
                <w:color w:val="auto"/>
              </w:rPr>
            </w:pPr>
          </w:p>
        </w:tc>
        <w:tc>
          <w:tcPr>
            <w:tcW w:w="1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Options Outstanding at</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8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Fiscal Year End</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Amy Bohutinsky</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tcPr>
          <w:p>
            <w:pPr>
              <w:ind w:left="20"/>
              <w:spacing w:after="0"/>
              <w:rPr>
                <w:sz w:val="20"/>
                <w:szCs w:val="20"/>
                <w:color w:val="auto"/>
              </w:rPr>
            </w:pPr>
            <w:r>
              <w:rPr>
                <w:rFonts w:ascii="Arial" w:cs="Arial" w:eastAsia="Arial" w:hAnsi="Arial"/>
                <w:sz w:val="14"/>
                <w:szCs w:val="14"/>
                <w:color w:val="auto"/>
              </w:rPr>
              <w:t>Sara Clemens</w:t>
            </w:r>
          </w:p>
        </w:tc>
        <w:tc>
          <w:tcPr>
            <w:tcW w:w="152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Brad Burnham</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tcPr>
          <w:p>
            <w:pPr>
              <w:ind w:left="20"/>
              <w:spacing w:after="0"/>
              <w:rPr>
                <w:sz w:val="20"/>
                <w:szCs w:val="20"/>
                <w:color w:val="auto"/>
              </w:rPr>
            </w:pPr>
            <w:r>
              <w:rPr>
                <w:rFonts w:ascii="Arial" w:cs="Arial" w:eastAsia="Arial" w:hAnsi="Arial"/>
                <w:sz w:val="14"/>
                <w:szCs w:val="14"/>
                <w:color w:val="auto"/>
              </w:rPr>
              <w:t>Bing Gordon</w:t>
            </w:r>
          </w:p>
        </w:tc>
        <w:tc>
          <w:tcPr>
            <w:tcW w:w="1520" w:type="dxa"/>
            <w:vAlign w:val="bottom"/>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Gillian Munson</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tcPr>
          <w:p>
            <w:pPr>
              <w:ind w:left="20"/>
              <w:spacing w:after="0"/>
              <w:rPr>
                <w:sz w:val="20"/>
                <w:szCs w:val="20"/>
                <w:color w:val="auto"/>
              </w:rPr>
            </w:pPr>
            <w:r>
              <w:rPr>
                <w:rFonts w:ascii="Arial" w:cs="Arial" w:eastAsia="Arial" w:hAnsi="Arial"/>
                <w:sz w:val="14"/>
                <w:szCs w:val="14"/>
                <w:color w:val="auto"/>
              </w:rPr>
              <w:t>Jim Shelton</w:t>
            </w:r>
          </w:p>
        </w:tc>
        <w:tc>
          <w:tcPr>
            <w:tcW w:w="152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Laela Sturdy</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0"/>
        </w:trPr>
        <w:tc>
          <w:tcPr>
            <w:tcW w:w="34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Arial" w:cs="Arial" w:eastAsia="Arial" w:hAnsi="Arial"/>
                <w:sz w:val="14"/>
                <w:szCs w:val="14"/>
                <w:color w:val="auto"/>
              </w:rPr>
              <w:t>None of our non-employee directors held a stock award as of December 31, 2020.</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Historically, we have not had a formalized non-employee director compensation program; however, with the exception of Mr. Burnham, we have granted each of our non-employee directors options to purchase shares of our common stock in connection with their commencement of service with us. All options granted to our non-employee directors are granted pursuant to our 2011 Plan. Ms. Munson’s option grant vests in equal installments annually over two years, while the other non-employee directors’ options vest in equal installments annually over four years, in each case subject to the director’s continued service. In March 2021, we granted Ms. Sturdy an option to purchase 40,000 shares of our common stock, subject to the same four year vesting terms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 w:right="339" w:bottom="1440" w:gutter="0" w:footer="0" w:header="0"/>
        </w:sectPr>
      </w:pPr>
    </w:p>
    <w:bookmarkStart w:id="158" w:name="page159"/>
    <w:bookmarkEnd w:id="15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approved a compensation policy for our non-employee directors, or the Director Compensation Program, to be effective in connection with the consummation of this offering. Pursuant to the Director Compensation Program, our non-employee directors will receive cash compensation as follows:</w:t>
      </w:r>
    </w:p>
    <w:p>
      <w:pPr>
        <w:spacing w:after="0" w:line="136"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$30,000 per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non-executive chairperson will receive an additional annual cash retainer in the amount of $25,000 per year.</w:t>
      </w:r>
    </w:p>
    <w:p>
      <w:pPr>
        <w:spacing w:after="0" w:line="171"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chairperson of the audit, risk and compliance committee will receive an additional annual cash retainer in the amount of $20,000 per year for such chairperson’s service on the audit, risk and compliance committee. Each non-chairperson member of the audit, risk and compliance committee will receive an additional annual cash retainer in the amount of $10,000 per year for such member’s service on the audit, risk and compliance committee.</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chairperson of the compensation and leadership committee will receive an additional annual cash retainer in the amount of</w:t>
      </w:r>
    </w:p>
    <w:p>
      <w:pPr>
        <w:spacing w:after="0" w:line="9" w:lineRule="exact"/>
        <w:rPr>
          <w:rFonts w:ascii="Arial" w:cs="Arial" w:eastAsia="Arial" w:hAnsi="Arial"/>
          <w:sz w:val="18"/>
          <w:szCs w:val="18"/>
          <w:color w:val="auto"/>
        </w:rPr>
      </w:pPr>
    </w:p>
    <w:p>
      <w:pPr>
        <w:ind w:left="660" w:right="40"/>
        <w:spacing w:after="0" w:line="256" w:lineRule="auto"/>
        <w:rPr>
          <w:rFonts w:ascii="Arial" w:cs="Arial" w:eastAsia="Arial" w:hAnsi="Arial"/>
          <w:sz w:val="18"/>
          <w:szCs w:val="18"/>
          <w:color w:val="auto"/>
        </w:rPr>
      </w:pPr>
      <w:r>
        <w:rPr>
          <w:rFonts w:ascii="Arial" w:cs="Arial" w:eastAsia="Arial" w:hAnsi="Arial"/>
          <w:sz w:val="18"/>
          <w:szCs w:val="18"/>
          <w:color w:val="auto"/>
        </w:rPr>
        <w:t>$12,000 per year for such chairperson’s service on the compensation and leadership committee. Each non-chairperson member of the compensation and leadership committee will receive an additional annual cash retainer in the amount of $6,000 per year for such member’s service on the compensation and leadership committee.</w:t>
      </w:r>
    </w:p>
    <w:p>
      <w:pPr>
        <w:spacing w:after="0" w:line="147"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chairperson of the nominating and governance committee will receive additional an annual cash retainer in the amount of $8,000 per year for such chairperson’s service on the nominating and governance committee. Each non-chairperson member of the nominating and governance committee will receive an additional annual cash retainer in the amount of $4,000 per year for such member’s service on the nominating and governance committee.</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Under the Director Compensation Program, each non-employee director will automatically be granted (i) restricted stock units covering a number of shares of our common stock calculated by dividing (a) $300,000 by (b) the closing trading price of our common stock as of the date of grant (or if the date of grant is not a trading day, the immediately preceding trading day) and using assumptions published in our most recent periodic report as of the date of grant, rounded down to the nearest whole share, upon the director’s initial appointment or election to our board of directors, referred to as the Initial Grant, and (ii) for each non-employee director who has served for at least six months as of the date of each annual stockholders’ meeting, restricted stock units covering a number of shares of our common stock calculated by dividing (a) $160,000 by (b) the closing trading price of our common stock as of the date of grant (or if the date of grant is not a trading day, the immediately preceding trading day) and using assumptions published in our most recent periodic report as of the date of grant, rounded down to the nearest whole share, automatically on the date of each annual stockholders’ meeting thereafter, referred to as the Annual Grant. The Initial Grant will vest over three years, subject to continued service through each applicable vesting date. The Annual Grant will vest on the first anniversary of the date of grant, provided, that if our annual stockholders’ meeting immediately following the date of grant takes place prior to the first anniversary of the date of grant, the Annual Grant will vest immediately prior to our annual stockholders’ meeting following the date of grant, subject to continued service through each applicable vesting date.</w:t>
      </w:r>
    </w:p>
    <w:p>
      <w:pPr>
        <w:spacing w:after="0" w:line="152"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In the event of a change in control (as defined in the Director Compensation Program), each Initial Grant and Annual Grant, along with any stock options or other equity-based awards held by any non-employee director, will vest and, to the extent applicable, become exercisable immediately prior to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 w:right="339" w:bottom="1440" w:gutter="0" w:footer="0" w:header="0"/>
        </w:sectPr>
      </w:pPr>
    </w:p>
    <w:bookmarkStart w:id="159" w:name="page160"/>
    <w:bookmarkEnd w:id="15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“2020 Summary Compensation Table” below. For the year ended December 31, 2020, our chief executive officer and the next two most highly-compensated executive officers, or our named executive officers (NEOs), and their positions were as follows:</w:t>
      </w:r>
    </w:p>
    <w:p>
      <w:pPr>
        <w:spacing w:after="0" w:line="136"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Luis von Ahn,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Severin Hacker, our Chief Technology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Matthew Skaruppa, our Chief Financial Officer.</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discussion and analysis of compensation arrangements of our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compensation paid to our named executive officers for the fiscal year ending on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vMerge w:val="restart"/>
          </w:tcPr>
          <w:p>
            <w:pPr>
              <w:spacing w:after="0"/>
              <w:rPr>
                <w:sz w:val="11"/>
                <w:szCs w:val="11"/>
                <w:color w:val="auto"/>
              </w:rPr>
            </w:pPr>
          </w:p>
        </w:tc>
        <w:tc>
          <w:tcPr>
            <w:tcW w:w="10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Awards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Compensation</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jc w:val="right"/>
              <w:ind w:right="328"/>
              <w:spacing w:after="0" w:line="176"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8"/>
                <w:szCs w:val="18"/>
                <w:b w:val="1"/>
                <w:bCs w:val="1"/>
                <w:color w:val="auto"/>
                <w:vertAlign w:val="superscript"/>
              </w:rPr>
              <w:t>(1)</w:t>
            </w:r>
          </w:p>
        </w:tc>
        <w:tc>
          <w:tcPr>
            <w:tcW w:w="8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(2)</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(3)</w:t>
            </w:r>
          </w:p>
        </w:tc>
        <w:tc>
          <w:tcPr>
            <w:tcW w:w="10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820" w:type="dxa"/>
            <w:vAlign w:val="bottom"/>
            <w:gridSpan w:val="2"/>
            <w:shd w:val="clear" w:color="auto" w:fill="DBDBDB"/>
          </w:tcPr>
          <w:p>
            <w:pPr>
              <w:ind w:left="20"/>
              <w:spacing w:after="0" w:line="147" w:lineRule="exact"/>
              <w:rPr>
                <w:sz w:val="20"/>
                <w:szCs w:val="20"/>
                <w:color w:val="auto"/>
              </w:rPr>
            </w:pPr>
            <w:r>
              <w:rPr>
                <w:rFonts w:ascii="Arial" w:cs="Arial" w:eastAsia="Arial" w:hAnsi="Arial"/>
                <w:sz w:val="14"/>
                <w:szCs w:val="14"/>
                <w:color w:val="auto"/>
              </w:rPr>
              <w:t>Luis von Ahn</w:t>
            </w: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2020</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330,000</w:t>
            </w:r>
          </w:p>
        </w:tc>
        <w:tc>
          <w:tcPr>
            <w:tcW w:w="10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1,250</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3,094,000</w:t>
            </w:r>
          </w:p>
        </w:tc>
        <w:tc>
          <w:tcPr>
            <w:tcW w:w="100" w:type="dxa"/>
            <w:vAlign w:val="bottom"/>
            <w:shd w:val="clear" w:color="auto" w:fill="DBDBDB"/>
          </w:tcPr>
          <w:p>
            <w:pPr>
              <w:spacing w:after="0"/>
              <w:rPr>
                <w:sz w:val="12"/>
                <w:szCs w:val="12"/>
                <w:color w:val="auto"/>
              </w:rPr>
            </w:pPr>
          </w:p>
        </w:tc>
        <w:tc>
          <w:tcPr>
            <w:tcW w:w="156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16,840</w:t>
            </w:r>
          </w:p>
        </w:tc>
        <w:tc>
          <w:tcPr>
            <w:tcW w:w="100" w:type="dxa"/>
            <w:vAlign w:val="bottom"/>
            <w:shd w:val="clear" w:color="auto" w:fill="DBDBDB"/>
          </w:tcPr>
          <w:p>
            <w:pPr>
              <w:spacing w:after="0"/>
              <w:rPr>
                <w:sz w:val="12"/>
                <w:szCs w:val="12"/>
                <w:color w:val="auto"/>
              </w:rPr>
            </w:pPr>
          </w:p>
        </w:tc>
        <w:tc>
          <w:tcPr>
            <w:tcW w:w="1080" w:type="dxa"/>
            <w:vAlign w:val="bottom"/>
            <w:shd w:val="clear" w:color="auto" w:fill="DBDBDB"/>
          </w:tcPr>
          <w:p>
            <w:pPr>
              <w:ind w:left="380"/>
              <w:spacing w:after="0" w:line="147" w:lineRule="exact"/>
              <w:rPr>
                <w:sz w:val="20"/>
                <w:szCs w:val="20"/>
                <w:color w:val="auto"/>
              </w:rPr>
            </w:pPr>
            <w:r>
              <w:rPr>
                <w:rFonts w:ascii="Arial" w:cs="Arial" w:eastAsia="Arial" w:hAnsi="Arial"/>
                <w:sz w:val="14"/>
                <w:szCs w:val="14"/>
                <w:color w:val="auto"/>
              </w:rPr>
              <w:t>3,442,090</w:t>
            </w: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Severin Hacker</w:t>
            </w: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322,350</w:t>
            </w:r>
          </w:p>
        </w:tc>
        <w:tc>
          <w:tcPr>
            <w:tcW w:w="100" w:type="dxa"/>
            <w:vAlign w:val="bottom"/>
          </w:tcPr>
          <w:p>
            <w:pPr>
              <w:spacing w:after="0"/>
              <w:rPr>
                <w:sz w:val="13"/>
                <w:szCs w:val="13"/>
                <w:color w:val="auto"/>
              </w:rPr>
            </w:pPr>
          </w:p>
        </w:tc>
        <w:tc>
          <w:tcPr>
            <w:tcW w:w="1160" w:type="dxa"/>
            <w:vAlign w:val="bottom"/>
            <w:gridSpan w:val="2"/>
          </w:tcPr>
          <w:p>
            <w:pPr>
              <w:ind w:left="860"/>
              <w:spacing w:after="0" w:line="153"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3,094,000</w:t>
            </w:r>
          </w:p>
        </w:tc>
        <w:tc>
          <w:tcPr>
            <w:tcW w:w="10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color w:val="auto"/>
              </w:rPr>
              <w:t>16,840</w:t>
            </w:r>
          </w:p>
        </w:tc>
        <w:tc>
          <w:tcPr>
            <w:tcW w:w="100" w:type="dxa"/>
            <w:vAlign w:val="bottom"/>
          </w:tcPr>
          <w:p>
            <w:pPr>
              <w:spacing w:after="0"/>
              <w:rPr>
                <w:sz w:val="13"/>
                <w:szCs w:val="13"/>
                <w:color w:val="auto"/>
              </w:rPr>
            </w:pPr>
          </w:p>
        </w:tc>
        <w:tc>
          <w:tcPr>
            <w:tcW w:w="1080" w:type="dxa"/>
            <w:vAlign w:val="bottom"/>
          </w:tcPr>
          <w:p>
            <w:pPr>
              <w:ind w:left="380"/>
              <w:spacing w:after="0" w:line="153" w:lineRule="exact"/>
              <w:rPr>
                <w:sz w:val="20"/>
                <w:szCs w:val="20"/>
                <w:color w:val="auto"/>
              </w:rPr>
            </w:pPr>
            <w:r>
              <w:rPr>
                <w:rFonts w:ascii="Arial" w:cs="Arial" w:eastAsia="Arial" w:hAnsi="Arial"/>
                <w:sz w:val="14"/>
                <w:szCs w:val="14"/>
                <w:color w:val="auto"/>
              </w:rPr>
              <w:t>3,433,190</w:t>
            </w:r>
          </w:p>
        </w:tc>
        <w:tc>
          <w:tcPr>
            <w:tcW w:w="0" w:type="dxa"/>
            <w:vAlign w:val="bottom"/>
          </w:tcPr>
          <w:p>
            <w:pPr>
              <w:spacing w:after="0"/>
              <w:rPr>
                <w:sz w:val="1"/>
                <w:szCs w:val="1"/>
                <w:color w:val="auto"/>
              </w:rPr>
            </w:pPr>
          </w:p>
        </w:tc>
      </w:tr>
      <w:tr>
        <w:trPr>
          <w:trHeight w:val="171"/>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Chief Technology Officer</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Matthew Skaruppa (4)</w:t>
            </w: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2020</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322,537</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1,931,889</w:t>
            </w:r>
          </w:p>
        </w:tc>
        <w:tc>
          <w:tcPr>
            <w:tcW w:w="100" w:type="dxa"/>
            <w:vAlign w:val="bottom"/>
            <w:shd w:val="clear" w:color="auto" w:fill="DBDBDB"/>
          </w:tcPr>
          <w:p>
            <w:pPr>
              <w:spacing w:after="0"/>
              <w:rPr>
                <w:sz w:val="13"/>
                <w:szCs w:val="13"/>
                <w:color w:val="auto"/>
              </w:rPr>
            </w:pPr>
          </w:p>
        </w:tc>
        <w:tc>
          <w:tcPr>
            <w:tcW w:w="156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5,840</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ind w:left="380"/>
              <w:spacing w:after="0" w:line="153" w:lineRule="exact"/>
              <w:rPr>
                <w:sz w:val="20"/>
                <w:szCs w:val="20"/>
                <w:color w:val="auto"/>
              </w:rPr>
            </w:pPr>
            <w:r>
              <w:rPr>
                <w:rFonts w:ascii="Arial" w:cs="Arial" w:eastAsia="Arial" w:hAnsi="Arial"/>
                <w:sz w:val="14"/>
                <w:szCs w:val="14"/>
                <w:color w:val="auto"/>
              </w:rPr>
              <w:t>2,410,266</w:t>
            </w: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80" w:hanging="332"/>
        <w:spacing w:after="0" w:line="249"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 reported for Dr. von Ahn reflects bonuses awarded to him under our language challenge program pursuant to which employees may earn bonuses by completing language challenges. Amount for Mr. Skaruppa reflects a signing bonus we paid in connection with his commencement of employment with us. For additional details about the bonuses paid by us in 2020, see the section below titled “Narrative Disclosure to Summary Compensation Table – 2020 Bonuses.”</w:t>
      </w:r>
    </w:p>
    <w:p>
      <w:pPr>
        <w:spacing w:after="0" w:line="146" w:lineRule="exact"/>
        <w:rPr>
          <w:rFonts w:ascii="Arial" w:cs="Arial" w:eastAsia="Arial" w:hAnsi="Arial"/>
          <w:sz w:val="14"/>
          <w:szCs w:val="14"/>
          <w:color w:val="auto"/>
        </w:rPr>
      </w:pPr>
    </w:p>
    <w:p>
      <w:pPr>
        <w:ind w:left="340" w:right="260" w:hanging="332"/>
        <w:spacing w:after="0" w:line="258"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option awards granted during fiscal year 2020 as calculated in accordance with ASC Topic 718. See Note 9 of the audited consolidated financial statements included in this registration statement for the assumptions used in calculating these amounts.</w:t>
      </w:r>
    </w:p>
    <w:p>
      <w:pPr>
        <w:spacing w:after="0" w:line="139" w:lineRule="exact"/>
        <w:rPr>
          <w:rFonts w:ascii="Arial" w:cs="Arial" w:eastAsia="Arial" w:hAnsi="Arial"/>
          <w:sz w:val="14"/>
          <w:szCs w:val="14"/>
          <w:color w:val="auto"/>
        </w:rPr>
      </w:pPr>
    </w:p>
    <w:p>
      <w:pPr>
        <w:ind w:left="340" w:right="220" w:hanging="332"/>
        <w:spacing w:after="0" w:line="258"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 reported includes $5,700 paid to all employees as a work from home stipend and $140 as the value of a gift provided to all employees. Amount reported for Drs. von Ahn and Hacker also includes $11,000 in matching contributions under our 401(k) plan.</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Skaruppa commenced employment with us in February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Salaries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NEOs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 w:right="339" w:bottom="1440" w:gutter="0" w:footer="0" w:header="0"/>
        </w:sectPr>
      </w:pPr>
    </w:p>
    <w:bookmarkStart w:id="160" w:name="page161"/>
    <w:bookmarkEnd w:id="16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fiscal year 2020, Drs. von Ahn and Hacker and Mr. Skaruppa had an annual base salary of $330,000, $322,350 and $375,000,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compensation and leadership committee may adjust base salaries from time to time in their discretion.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fiscal year 2020, we did not maintain a formal performance bonus program, and we have not adopted a formal performance bonus program for 2021.</w:t>
      </w:r>
    </w:p>
    <w:p>
      <w:pPr>
        <w:spacing w:after="0" w:line="14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connection with Mr. Skaruppa’s commencement of employment in March 2020, we paid him a one-time signing bonus in the amount of $150,000. Mr. Skaruppa has agreed to repay $75,000 of the signing bonus in the event of certain terminations of his employment within his first year of employment, as described below under “Employment Compensation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Dr. von Ahn received bonuses totaling $1,250 under our language challenge program in which all of our employees are eligible to participate.</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board of directors or compensation and leadership committee may award discretionary bonuses or adopt a performance program following the completion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Equity-Based Compensation</w:t>
      </w:r>
    </w:p>
    <w:p>
      <w:pPr>
        <w:spacing w:after="0" w:line="207"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color w:val="auto"/>
        </w:rPr>
        <w:t>Pursuant to our Amended and Restated 2011 Equity Incentive Plan (2011 Plan), we have granted stock options and restricted stock units to our employees, including our named executive officers, in order to attract and retain them, as well as to align their interests with the interests of our stockholders. In order to provide a long-term incentive, our stock options generally vest over four years subject to continued service to us.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March 2020, in connection with his commencement of employment, we granted Mr. Skaruppa an option to purchase 306,163 shares of our common stock. Mr. Skaruppa’s option grant vests as to 25% of the shares underlying the option on the first anniversary of the date he commenced employment with us and as to 1/48th of the shares on each monthly anniversary thereafter, in each case, subject to continued service through the applicable vesting date. Mr. Skaruppa’s option was granted at an exercise price of $14.42, which our board of directors determined was equal to the fair market value of a share of our common stock on the date of grant.</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December 2020, we granted each of Drs. von Ahn and Hacker an option to purchase 175,000 shares of our common stock. Drs. von Ahn’s and Hacker’s option grants vest in 48 monthly installments following the vesting commencement date, in each case, subject to continued service through the applicable vesting date. Drs. von Ahn’s and Hacker’s options were granted at an exercise price of $38.08 per share, which our board of directors determined was equal to the fair market value of a share of our common stock on the date of grant.</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of Drs. von Ahn’s and Hacker’s outstanding options are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(as defined in the 2011 Plan), Drs. von Ahn’s or Hacker’s service is terminated by us without Cause or by the executive for Good Reason (as such terms are defined in the 2011 Plan), then 100% of the shares subject to each option held by him will vest and be exercisable, subject to the delivery of a release of claims in favor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 w:right="339" w:bottom="1440" w:gutter="0" w:footer="0" w:header="0"/>
        </w:sectPr>
      </w:pPr>
    </w:p>
    <w:bookmarkStart w:id="161" w:name="page162"/>
    <w:bookmarkEnd w:id="16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April 7, 2021, pursuant to the 2011 Plan, we granted Mr. Skaruppa 25,000 restricted stock units, or RSUs, which require the satisfaction of both a liquidity event condition and a service-based condition in order to vest. The liquidity event condition will be satisfied on the six-month anniversary of, or, if earlier, March 15 of the year following, the completion of this offering or, if earlier, the consummation of a Change in Control. The service-based requirement will be satisfied as to 25% of the RSUs on May 15, 2022 and as to 6.25% of the RSUs on each quarterly anniversary thereafter, subject to continued service through the applicable date. Each RSU vests on the first date both the liquidity event condition and the service-based condition has been satisfied in respect of that particular RSU. Each RSU entitles the holder to a share of our common stock upon vesting.</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If Mr. Skaruppa’s employment with us is terminated by us without Cause or by Mr. Skaruppa for Good Reason (in each case as defined in his offer letter with us) within the period commencing three months prior to a Change in Control and ending twelve months after the Change in Control, then the vesting and exercisability of his outstanding equity awards will accelerate in respect of 100% of the shares subject to the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Equity-Based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Multi-Year Performance-Based Founder Awards</w:t>
      </w:r>
    </w:p>
    <w:p>
      <w:pPr>
        <w:spacing w:after="0" w:line="20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In connection with this offering, our board of directors worked closely with its compensation consultant, Compensia, to design a one-time equity incentive for Drs. von Ahn and Hacker that significantly aligns their compensation with the long-term interests of our stockholders by requiring the achievement of sustained stock price targets. In designing the equity incentive for Drs. von Ahn and Hacker, our board of directors considered Dr. von Ahn’s and Dr. Hacker’s significant stockholdings, long-term leadership and the comparatively modest level of cash compensation they have received from us. The equity incentive is comprised of 1,200,000 and 600,000 performance-based restricted stock units (PSUs), respectively. The PSUs vest upon the satisfaction of both a service-based condition and a performance-based condition and generally are settled one year after vesting. The service-based condition is satisfied as to 25% of the PSUs on each anniversary of the completion of this offering, subject to Dr. von Ahn and Dr. Hacker continuing to serve as our Chief Executive Officer and Chief Technology Officer, respectively, through the applicable date. The performance-based condition will be satisfied in the event Dr. von Ahn and Dr. Hacker continue to serve as our Chief Executive Officer and Chief Technology Officer, respectively, through the date the 60-day trailing volume weighted average closing price of our Class A common stock reaches certain stock price hurdles, which are set at multiples of the price to the public for this offering, over a period of ten years,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144" w:right="379" w:bottom="1440" w:gutter="0" w:footer="0" w:header="0"/>
        </w:sectPr>
      </w:pPr>
    </w:p>
    <w:bookmarkStart w:id="162" w:name="page163"/>
    <w:bookmarkEnd w:id="16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Tranche</w:t>
            </w:r>
          </w:p>
        </w:tc>
        <w:tc>
          <w:tcPr>
            <w:tcW w:w="1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Multiple of IPO Price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PSUs for Dr.</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Number of PSUs for Dr.</w:t>
            </w:r>
          </w:p>
        </w:tc>
        <w:tc>
          <w:tcPr>
            <w:tcW w:w="0" w:type="dxa"/>
            <w:vAlign w:val="bottom"/>
          </w:tcPr>
          <w:p>
            <w:pPr>
              <w:spacing w:after="0"/>
              <w:rPr>
                <w:sz w:val="1"/>
                <w:szCs w:val="1"/>
                <w:color w:val="auto"/>
              </w:rPr>
            </w:pPr>
          </w:p>
        </w:tc>
      </w:tr>
      <w:tr>
        <w:trPr>
          <w:trHeight w:val="109"/>
        </w:trPr>
        <w:tc>
          <w:tcPr>
            <w:tcW w:w="1180" w:type="dxa"/>
            <w:vAlign w:val="bottom"/>
            <w:gridSpan w:val="2"/>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von Ahn</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Hacker</w:t>
            </w:r>
          </w:p>
        </w:tc>
        <w:tc>
          <w:tcPr>
            <w:tcW w:w="0" w:type="dxa"/>
            <w:vAlign w:val="bottom"/>
          </w:tcPr>
          <w:p>
            <w:pPr>
              <w:spacing w:after="0"/>
              <w:rPr>
                <w:sz w:val="1"/>
                <w:szCs w:val="1"/>
                <w:color w:val="auto"/>
              </w:rPr>
            </w:pPr>
          </w:p>
        </w:tc>
      </w:tr>
      <w:tr>
        <w:trPr>
          <w:trHeight w:val="66"/>
        </w:trPr>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vMerge w:val="continue"/>
          </w:tcPr>
          <w:p>
            <w:pPr>
              <w:spacing w:after="0"/>
              <w:rPr>
                <w:sz w:val="5"/>
                <w:szCs w:val="5"/>
                <w:color w:val="auto"/>
              </w:rPr>
            </w:pPr>
          </w:p>
        </w:tc>
        <w:tc>
          <w:tcPr>
            <w:tcW w:w="1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1.25x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8"/>
              </w:rPr>
              <w:t>60,000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1.5x</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60,000</w:t>
            </w:r>
          </w:p>
        </w:tc>
        <w:tc>
          <w:tcPr>
            <w:tcW w:w="1980" w:type="dxa"/>
            <w:vAlign w:val="bottom"/>
          </w:tcPr>
          <w:p>
            <w:pPr>
              <w:jc w:val="center"/>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1.75x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8"/>
              </w:rPr>
              <w:t>60,000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2.0x</w:t>
            </w:r>
          </w:p>
        </w:tc>
        <w:tc>
          <w:tcPr>
            <w:tcW w:w="2060" w:type="dxa"/>
            <w:vAlign w:val="bottom"/>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2.5x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3.0x</w:t>
            </w:r>
          </w:p>
        </w:tc>
        <w:tc>
          <w:tcPr>
            <w:tcW w:w="2060" w:type="dxa"/>
            <w:vAlign w:val="bottom"/>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3.5x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4.0x</w:t>
            </w:r>
          </w:p>
        </w:tc>
        <w:tc>
          <w:tcPr>
            <w:tcW w:w="2060" w:type="dxa"/>
            <w:vAlign w:val="bottom"/>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6.0x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180,000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8.0x</w:t>
            </w:r>
          </w:p>
        </w:tc>
        <w:tc>
          <w:tcPr>
            <w:tcW w:w="2060" w:type="dxa"/>
            <w:vAlign w:val="bottom"/>
          </w:tcPr>
          <w:p>
            <w:pPr>
              <w:jc w:val="center"/>
              <w:spacing w:after="0"/>
              <w:rPr>
                <w:sz w:val="20"/>
                <w:szCs w:val="20"/>
                <w:color w:val="auto"/>
              </w:rPr>
            </w:pPr>
            <w:r>
              <w:rPr>
                <w:rFonts w:ascii="Arial" w:cs="Arial" w:eastAsia="Arial" w:hAnsi="Arial"/>
                <w:sz w:val="18"/>
                <w:szCs w:val="18"/>
                <w:color w:val="auto"/>
              </w:rPr>
              <w:t>240,000</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120,000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Each stock price hurdle will be equitably adjusted to reflect any stock splits, stock dividends or other restructurings impacting our Class A common stock. The size of the award was determined after consideration of similar equity awards to founders of privately held and publicly traded technology companies that are serving in executive positions. The number of PSUs for which the performance-based condition may be satisfied is heavily weighted towards the higher stock price hurdles, which our board of directors believes that, when combined with the service-based condition requiring a minimum of four years of service, comprises a structure designed to achieve its incentive and alignment goals with respect to this award.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PSUs that have not satisfied the performance-based condition as of the tenth anniversary of the grant date will be forfeited. Our board of directors intends for the PSUs to be the exclusive equity award that Drs. von Ahn and Hacker will receive through the tenth anniversary of the date of grant.</w:t>
      </w:r>
    </w:p>
    <w:p>
      <w:pPr>
        <w:spacing w:after="0" w:line="14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the event of Dr. von Ahn or Dr. Hacker ceases to serve as our Chief Executive Officer or Chief Technology Officer, respectively, as a result of death or disability, the service-based condition will be deemed satisfied, any vested PSUs will generally be settled, any unvested PSUs will remain outstanding and eligible to vest based on achievement of the stock price hurdles set forth above for two years, and any PSUs for which the stock price hurdle has not been met at that time will be forfeited. Unless mutually agreed otherwise, in the event Dr. von Ahn or Dr. Hacker ceases to serve as our Chief Executive Officer or Chief Technology Officer, respectively, for any reason other than death or disability, any vested PSUs will generally be settled and any unvested PSUs will be forfeited. Further, if such cessation of service is effected by us for cause, or Dr. von Ahn or Dr. Hacker engages in fraud or material misconduct, vested PSUs which have not yet been settled may be clawed back to the extent determined appropriate by our board of directors.</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event of a change in control, no accelerated vesting for any tranches will occur solely as a result of the change in control. Upon such event, the service-based condition will be deemed satisfied, achievement of stock price hurdles for purposes of the PSUs will be measured based on the price per share to be received by stockholders in connection with the change in control, and any PSUs for which the stock price hurdle has not been met will be forfeited. To the extent the price per share received by the stockholders in connection with the change in control falls between two stock price hurdles, the number of PSUs deemed earned based on satisfaction of the performance condition will be determined using linear interpolation between the two stock price hurdles.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 w:right="339" w:bottom="1440" w:gutter="0" w:footer="0" w:header="0"/>
        </w:sectPr>
      </w:pPr>
    </w:p>
    <w:bookmarkStart w:id="163" w:name="page164"/>
    <w:bookmarkEnd w:id="16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2021 Equity Awards</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7, 2021, we granted Mr. Skaruppa 25,000 RSUs under our 2011 Plan. The RSUs vest based on the satisfaction of a service-based requirement and a liquidity event requirement within the term of the RSUs. Subject to Mr. Skaruppa’s continued service to us, the service-based requirement will be satisfied as to 25% of the RSUs on May 15, 2022 and as to 6.25% of the RSUs each quarter thereafter. The liquidity event requirement will be satisfied on a change in control or, generally, six months after our securities become publicly traded, including the completion of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2021 Incentive Award Plan</w:t>
      </w:r>
    </w:p>
    <w:p>
      <w:pPr>
        <w:spacing w:after="0" w:line="203"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common stock, subject to approval of such plan by our stockholders. For additional information about the 2021 Plan, please see the section titled “Equity Compensation Plans”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employees who have been employed by us for at least one year and who participate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0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do not provide our named executive officers with any perquisites beyond those made generally available to our other employees. In 2020, we provided each of our employees, including our named executive officers, with a stipend of $5,700 to assist with costs related to working remotely. We also provided each employee, including our named executive officers, with a gift valued at $140.</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future, our board of directors or compensation and leadership committee may provide perquisites to our named executive officers in the event it determines that it is necessary or appropriate to incentivize or fairly compensate them.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Gross-Ups</w:t>
      </w:r>
    </w:p>
    <w:p>
      <w:pPr>
        <w:spacing w:after="0" w:line="20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320" w:top="144" w:right="399" w:bottom="1440" w:gutter="0" w:footer="0" w:header="0"/>
        </w:sectPr>
      </w:pPr>
    </w:p>
    <w:bookmarkStart w:id="164" w:name="page165"/>
    <w:bookmarkEnd w:id="16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6"/>
              </w:rPr>
              <w:t>Option Awards (1)</w:t>
            </w: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Equity Incentive Plan</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Awards: Number of</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Securities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Securities</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Securities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Vesting</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Unexercised</w:t>
            </w:r>
          </w:p>
        </w:tc>
        <w:tc>
          <w:tcPr>
            <w:tcW w:w="14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Option Exercise</w:t>
            </w:r>
          </w:p>
        </w:tc>
        <w:tc>
          <w:tcPr>
            <w:tcW w:w="130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Option Expiration</w:t>
            </w:r>
          </w:p>
        </w:tc>
        <w:tc>
          <w:tcPr>
            <w:tcW w:w="0" w:type="dxa"/>
            <w:vAlign w:val="bottom"/>
          </w:tcPr>
          <w:p>
            <w:pPr>
              <w:spacing w:after="0"/>
              <w:rPr>
                <w:sz w:val="1"/>
                <w:szCs w:val="1"/>
                <w:color w:val="auto"/>
              </w:rPr>
            </w:pPr>
          </w:p>
        </w:tc>
      </w:tr>
      <w:tr>
        <w:trPr>
          <w:trHeight w:val="122"/>
        </w:trPr>
        <w:tc>
          <w:tcPr>
            <w:tcW w:w="2700" w:type="dxa"/>
            <w:vAlign w:val="bottom"/>
            <w:vMerge w:val="restart"/>
          </w:tcPr>
          <w:p>
            <w:pPr>
              <w:ind w:left="11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Unearned Options</w:t>
            </w:r>
          </w:p>
        </w:tc>
        <w:tc>
          <w:tcPr>
            <w:tcW w:w="142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Commencement Date</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Exercisable</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 Unexercisable</w:t>
            </w:r>
          </w:p>
        </w:tc>
        <w:tc>
          <w:tcPr>
            <w:tcW w:w="100" w:type="dxa"/>
            <w:vAlign w:val="bottom"/>
            <w:tcBorders>
              <w:bottom w:val="single" w:sz="8" w:color="DBDBDB"/>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DBDBDB"/>
            </w:tcBorders>
          </w:tcPr>
          <w:p>
            <w:pPr>
              <w:spacing w:after="0"/>
              <w:rPr>
                <w:sz w:val="14"/>
                <w:szCs w:val="14"/>
                <w:color w:val="auto"/>
              </w:rPr>
            </w:pPr>
          </w:p>
        </w:tc>
        <w:tc>
          <w:tcPr>
            <w:tcW w:w="13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Price ($)</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Luis von Ahn</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1/1/2019 (1)</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83,854</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91,146</w:t>
            </w:r>
          </w:p>
        </w:tc>
        <w:tc>
          <w:tcPr>
            <w:tcW w:w="1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2/14/2029</w:t>
            </w:r>
          </w:p>
        </w:tc>
        <w:tc>
          <w:tcPr>
            <w:tcW w:w="0" w:type="dxa"/>
            <w:vAlign w:val="bottom"/>
          </w:tcPr>
          <w:p>
            <w:pPr>
              <w:spacing w:after="0"/>
              <w:rPr>
                <w:sz w:val="1"/>
                <w:szCs w:val="1"/>
                <w:color w:val="auto"/>
              </w:rPr>
            </w:pPr>
          </w:p>
        </w:tc>
      </w:tr>
      <w:tr>
        <w:trPr>
          <w:trHeight w:val="216"/>
        </w:trPr>
        <w:tc>
          <w:tcPr>
            <w:tcW w:w="2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1/1/2020 (1)</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40,104</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134,896</w:t>
            </w:r>
          </w:p>
        </w:tc>
        <w:tc>
          <w:tcPr>
            <w:tcW w:w="1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12/12/2029</w:t>
            </w:r>
          </w:p>
        </w:tc>
        <w:tc>
          <w:tcPr>
            <w:tcW w:w="0" w:type="dxa"/>
            <w:vAlign w:val="bottom"/>
          </w:tcPr>
          <w:p>
            <w:pPr>
              <w:spacing w:after="0"/>
              <w:rPr>
                <w:sz w:val="1"/>
                <w:szCs w:val="1"/>
                <w:color w:val="auto"/>
              </w:rPr>
            </w:pPr>
          </w:p>
        </w:tc>
      </w:tr>
      <w:tr>
        <w:trPr>
          <w:trHeight w:val="222"/>
        </w:trPr>
        <w:tc>
          <w:tcPr>
            <w:tcW w:w="27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1/1/2021 (1)</w:t>
            </w:r>
          </w:p>
        </w:tc>
        <w:tc>
          <w:tcPr>
            <w:tcW w:w="100" w:type="dxa"/>
            <w:vAlign w:val="bottom"/>
            <w:shd w:val="clear" w:color="auto" w:fill="DBDBDB"/>
          </w:tcPr>
          <w:p>
            <w:pPr>
              <w:spacing w:after="0"/>
              <w:rPr>
                <w:sz w:val="19"/>
                <w:szCs w:val="19"/>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38.08</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12/2/2030</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Severin Hacker</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1/1/2019 (1)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69,854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91,146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2/14/2029</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1/1/2020 (1)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38,604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134,896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12/12/2029</w:t>
            </w: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1/1/2021 (1)</w:t>
            </w: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38.08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12/2/2030</w:t>
            </w:r>
          </w:p>
        </w:tc>
        <w:tc>
          <w:tcPr>
            <w:tcW w:w="0" w:type="dxa"/>
            <w:vAlign w:val="bottom"/>
          </w:tcPr>
          <w:p>
            <w:pPr>
              <w:spacing w:after="0"/>
              <w:rPr>
                <w:sz w:val="1"/>
                <w:szCs w:val="1"/>
                <w:color w:val="auto"/>
              </w:rPr>
            </w:pPr>
          </w:p>
        </w:tc>
      </w:tr>
      <w:tr>
        <w:trPr>
          <w:trHeight w:val="219"/>
        </w:trPr>
        <w:tc>
          <w:tcPr>
            <w:tcW w:w="2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Matthew Skaruppa</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2/24/2020 (2)</w:t>
            </w:r>
          </w:p>
        </w:tc>
        <w:tc>
          <w:tcPr>
            <w:tcW w:w="100" w:type="dxa"/>
            <w:vAlign w:val="bottom"/>
            <w:shd w:val="clear" w:color="auto" w:fill="DBDBDB"/>
          </w:tcPr>
          <w:p>
            <w:pPr>
              <w:spacing w:after="0"/>
              <w:rPr>
                <w:sz w:val="19"/>
                <w:szCs w:val="19"/>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306,163</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3/10/2030</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44"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Each option held by Drs. von Ahn and Hacker vests and becomes exercisable in 48 monthly installments following the vesting commencement date, subject to the named executive officer’s continuing to provide services to us through the applicable vesting date. Each option is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Drs. von Ahn’s or Hacker’s service is terminated by us without Cause or by the NEO for Good Reason, then 100% of the shares subject to each option held by him will vest and be exercisable, subject to the delivery of a release of claims in favor of us.</w:t>
      </w:r>
    </w:p>
    <w:p>
      <w:pPr>
        <w:spacing w:after="0" w:line="151" w:lineRule="exact"/>
        <w:rPr>
          <w:rFonts w:ascii="Arial" w:cs="Arial" w:eastAsia="Arial" w:hAnsi="Arial"/>
          <w:sz w:val="14"/>
          <w:szCs w:val="14"/>
          <w:color w:val="auto"/>
        </w:rPr>
      </w:pPr>
    </w:p>
    <w:p>
      <w:pPr>
        <w:ind w:left="340" w:hanging="332"/>
        <w:spacing w:after="0" w:line="247"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Skaruppa’s option grant vests as to 25% of the shares underlying the option on the first anniversary of the vesting commencement date and as to 1/48th of the shares underlying the option each month thereafter, subject to Mr. Skaruppa continuing to provide services to us through the applicable vesting date. If Mr. Skaruppa’s employment with us is terminated by us without Cause or by Mr. Skaruppa for Good Reason within the period commencing three months prior to a Change in Control and ending twelve months after the Change in Control, then the vesting and exercisability of the option will accelerate in respect of 100% of the shares subject to the option.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20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have entered into offer letters with each of our named executed officers. Each offer letter sets forth the title, base salary, and initial equity award for the executive and summarizes the other terms and conditions applicable to the executive’s employment with us. Additionally, each of our named executive officers has entered into a proprietary information and invention assignment agreement with us.</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accordance with Mr. Skaruppa’s offer letter, we paid him a signing bonus in the amount of $150,000. If, within the first year of Mr. Skaruppa’s employment, we terminate his employment for Cause or he resigns without Good Reason (as defined below), then Mr. Skaruppa has agreed to repay $75,000 of the signing bonus.</w:t>
      </w:r>
    </w:p>
    <w:p>
      <w:pPr>
        <w:spacing w:after="0" w:line="14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Mr. Skaruppa’s offer letter also provides that if his employment is terminated by us without Cause or by him for Good Reason, then, subject to his timely delivery of an effective release of claims, he will be entitled to receive six months continued payment of his base salary, up to six months continued healthcare coverage at our expense and, solely if such termination occurs within the period commencing three months prior to a Change in Control and ending twelve months after a Change in Control, vesting acceleration of 100% of the shares underlying his outstanding stock options and other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 w:right="339" w:bottom="1440" w:gutter="0" w:footer="0" w:header="0"/>
        </w:sectPr>
      </w:pPr>
    </w:p>
    <w:bookmarkStart w:id="165" w:name="page166"/>
    <w:bookmarkEnd w:id="16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purposes of Mr. Skaruppa’s offer letter, “Cause” means Mr. Skaruppa’s: (1) material breach of any of his obligations contained in his offer letter, including his willful failure or refusal to perform the job duties and responsibilities assigned to him by us, subject to our provision of notice within 60 days of such failure and his failure to cure within 30 days after such notice; (2) commission of any felony or crime involving moral turpitude; (3) participation in a fraud, act of material dishonesty or misappropriation or similar conduct against us; (4) conduct that is materially injurious to us or our affiliates or subsidiaries, monetarily or otherwise; (5) improper disclosure of our confidential or proprietary information except as required by law; or (6) obtaining a direct or indirect personal benefit from the transfer or use of our trade secrets or intellectual property other than on our behalf or as required by law.</w:t>
      </w:r>
    </w:p>
    <w:p>
      <w:pPr>
        <w:spacing w:after="0" w:line="151"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For the purposes of Mr. Skaruppa’s offer letter, “Good Reason” means any of the following events without his written consent: (1) any material breach of the terms of his offer letter by us; (2) a material reduction or diminution in his title, duties, role, reporting line, and/or responsibilities; (3) any material change in the principal location of his employment that increases his one-way commute by more than ten miles; or (4) any reduction by us of his base salary of ten percent or more (other than as part of a company-wide reduction). In order to perfect Good Reason, Mr. Skaruppa must provide advance written notice of such resignation to us within sixty days of the initial occurrence of the event or action giving rise to Good Reason, such written notice must specify that his resignation is effective not less than thirty days, nor more than sixty days, after the date of the written notice, and we must have failed to remedy the basis for Good Reason prior to the date of resignation specified in the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this offering, our board of directors has approved entering into change in control and severance agreements with each of our named executive officers that provide for severance benefits in connection with certain qualifying terminations.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event Drs. von Ahn or Hacker resigns for good reason or we terminate Drs. von Ahn’s or Hacker’s employment without cause (in each case to be defined in the applicable agreement), in addition to any accrued obligations, he is entitled to continued payment of his base salary for 12 months as well as continued healthcare coverage under our medical plan paid or reimbursed by us for up to 12 months. In the event we terminate Mr. Skaruppa’s employment without cause, in addition to any accrued obligations, he is entitled to continued payment of his base salary for six months as well as continued healthcare coverage under our medical plan paid or reimbursed by us for up to six months. Payment of severance is contingent on the executive timely providing us with a general release of claims.</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the event Drs. von Ahn or Hacker resigns for good reason or we terminate Drs. von Ahn’s or Hacker’s employment without cause, in each case, within the three month period prior to, or twelve month period following, a change in control (to be defined in the applicable agreement) (the Change in Control Protection Period), in addition to any accrued obligations and in lieu of the severance benefits described above, he is entitled to the following benefits: (i) payment of an amount equal to 1.5 times his then-current annual base salary, payable over an 18-month period, (ii) payment of a pro-rated annual bonus assuming target performance and paid in a single lump sum, (iii) continued health coverage under our medical plan paid or reimbursed by us for up to 18 months, and (iv) accelerated vesting of all outstanding equity awards subject to time-based vesting provisions. In the event Mr. Skaruppa resigns for good reason or we terminate Mr. Skaruppa’s employment without cause, in each case, within the Change in Control Protection Period, in addition to any accrued obligations and in lieu of the severance benefits described above, he is entitled to the following benefits: (i) payment of an amount equal to his then-current annual base salary, payable over a 12-month period, (ii) payment of a pro-rated annual bonus assuming target performance and paid in a single lump sum, (iii) continued health coverage under our medical plan paid or reimbursed by us for up to 12 months, and (iv) accelerated vesting of all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 w:right="339" w:bottom="1440" w:gutter="0" w:footer="0" w:header="0"/>
        </w:sectPr>
      </w:pPr>
    </w:p>
    <w:bookmarkStart w:id="166" w:name="page167"/>
    <w:bookmarkEnd w:id="16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subject to time-based vesting provisions. Payment of severance is contingent on the executive timely providing us with a general release of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0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following summarizes the material terms of the long-term incentive compensation plan in which our named executive officers will be eligible to participate following the consummation of this offering and our existing equity plans, under which we have previously made periodic grants of equity and equity-based awards to our named executive officers and other key employees.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20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We have approved the 2021 Plan, which became effective on the day prior to the first public trading date of our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Under the 2021 Plan, 7,832,000 shares of our Class A common stock (the “shares”) will be initially reserved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variety of stock-based compensation awards, including stock options, stock appreciation rights (SARs), restricted stock awards, restricted stock unit awards and other stock-based awards. The number of shares initially reserved for issuance or transfer pursuant to awards under the 2021 Plan will be increased by (1) the number of shares represented by awards outstanding under our existing equity plans, or Prior Plan Awards, that become available for issuance under the counting provisions described below following the effective date and (2) an annual increase on the first day of each fiscal year beginning in 2022 and ending in 2031, equal to the lesser of (A) 5% of the shares of our common stock outstanding (on an as converted basis) on the last day of the immediately preceding fiscal year and (B) such smaller number of shares of stock as determined by our board of directors; provided, however, that no more than 44,749,446 shares of Class A common stock may be issued upon the exercise of incentive stock options.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counting provisions will be in effect for the share reserve under the 2021 Plan:</w:t>
      </w:r>
    </w:p>
    <w:p>
      <w:pPr>
        <w:spacing w:after="0" w:line="171" w:lineRule="exact"/>
        <w:rPr>
          <w:sz w:val="20"/>
          <w:szCs w:val="20"/>
          <w:color w:val="auto"/>
        </w:rPr>
      </w:pPr>
    </w:p>
    <w:p>
      <w:pPr>
        <w:jc w:val="both"/>
        <w:ind w:left="660" w:right="80" w:hanging="328"/>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that an award (including a Prior Plan Award) terminates, expires or lapses for any reason or an award is settled in cash without the delivery of shares, any shares of Class A common stock or Class B common stock subject to the award at such time will be available for future grants under the 2021 Plan;</w:t>
      </w:r>
    </w:p>
    <w:p>
      <w:pPr>
        <w:spacing w:after="0" w:line="147"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shares of Class A common stock or Class B common stock are tendered or withheld to satisfy the grant, exercise price or tax withholding obligation with respect to any award under the 2021 Plan or Prior Plan Award, such tendered or withheld shares will be available for future grants under the 2021 Plan;</w:t>
      </w:r>
    </w:p>
    <w:p>
      <w:pPr>
        <w:spacing w:after="0" w:line="147"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2021 Plan;</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2021 Plan;</w:t>
      </w:r>
    </w:p>
    <w:p>
      <w:pPr>
        <w:spacing w:after="0" w:line="14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2021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44" w:right="359" w:bottom="1440" w:gutter="0" w:footer="0" w:header="0"/>
        </w:sectPr>
      </w:pPr>
    </w:p>
    <w:bookmarkStart w:id="167" w:name="page168"/>
    <w:bookmarkEnd w:id="16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0" w:hanging="328"/>
        <w:spacing w:after="0" w:line="256"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$1,000,000 for such individual’s first year of service and $750,000 for each year thereafter.</w:t>
      </w:r>
    </w:p>
    <w:p>
      <w:pPr>
        <w:spacing w:after="0" w:line="13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and leadership committee of our board of directors is expected to administer the 2021 Plan unless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assumes authority for administration. The compensation and leadership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2021 Plan provides that the board or compensation and leadership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of directors may at any time remove the compensation and leadership committee as the administrator and revest in itself the authority to administer the 2021 Plan. The full board of directors will administer the 2021 Plan with respect to awards to non-employee directors.</w:t>
      </w:r>
    </w:p>
    <w:p>
      <w:pPr>
        <w:spacing w:after="0" w:line="134"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2021 Plan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(ISOs).</w:t>
      </w:r>
    </w:p>
    <w:p>
      <w:pPr>
        <w:spacing w:after="0" w:line="12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2021 Plan provides that the administrator may grant or issue stock options (SARs) restricted stock, restricted stock units,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cash-based awards and dividend equivalents, or any combination thereof. Each award will be set forth in a separate agreement with the person receiving the award and will indicate the type, terms and conditions of the award.</w:t>
      </w:r>
    </w:p>
    <w:p>
      <w:pPr>
        <w:spacing w:after="0" w:line="107" w:lineRule="exact"/>
        <w:rPr>
          <w:sz w:val="20"/>
          <w:szCs w:val="20"/>
          <w:color w:val="auto"/>
        </w:rPr>
      </w:pPr>
    </w:p>
    <w:p>
      <w:pPr>
        <w:ind w:left="660" w:right="100" w:hanging="328"/>
        <w:spacing w:after="0" w:line="258"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Nonstatutory Stock Options (</w:t>
      </w:r>
      <w:r>
        <w:rPr>
          <w:rFonts w:ascii="Arial" w:cs="Arial" w:eastAsia="Arial" w:hAnsi="Arial"/>
          <w:sz w:val="18"/>
          <w:szCs w:val="18"/>
          <w:color w:val="auto"/>
        </w:rPr>
        <w:t>NSOs) will provide for the right to purchase shares of our common stock at a specified price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29" w:lineRule="exact"/>
        <w:rPr>
          <w:rFonts w:ascii="Arial" w:cs="Arial" w:eastAsia="Arial" w:hAnsi="Arial"/>
          <w:sz w:val="18"/>
          <w:szCs w:val="18"/>
          <w:color w:val="auto"/>
        </w:rPr>
      </w:pPr>
    </w:p>
    <w:p>
      <w:pPr>
        <w:jc w:val="both"/>
        <w:ind w:left="660" w:right="160" w:hanging="328"/>
        <w:spacing w:after="0" w:line="26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will be designed in a manner intended to comply with the provisions of Section 422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of 1986, as amended (the Code), and will be subject to specified restrictions contained in the Code. Among such restrictions, ISOs must have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 w:right="339" w:bottom="1440" w:gutter="0" w:footer="0" w:header="0"/>
        </w:sectPr>
      </w:pPr>
    </w:p>
    <w:bookmarkStart w:id="168" w:name="page169"/>
    <w:bookmarkEnd w:id="16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133" w:lineRule="exact"/>
        <w:rPr>
          <w:sz w:val="20"/>
          <w:szCs w:val="20"/>
          <w:color w:val="auto"/>
        </w:rPr>
      </w:pPr>
    </w:p>
    <w:p>
      <w:pPr>
        <w:ind w:left="66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33"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may be awarded to any eligible individual, typically without payment of consideration, but subject to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33" w:lineRule="exact"/>
        <w:rPr>
          <w:rFonts w:ascii="Arial" w:cs="Arial" w:eastAsia="Arial" w:hAnsi="Arial"/>
          <w:sz w:val="18"/>
          <w:szCs w:val="18"/>
          <w:color w:val="auto"/>
        </w:rPr>
      </w:pPr>
    </w:p>
    <w:p>
      <w:pPr>
        <w:ind w:left="660" w:right="200" w:hanging="328"/>
        <w:spacing w:after="0" w:line="25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SARs under the 2021 Plan will be settled in cash or shares of our common stock, or in a combination of both, at the election of the administrator.</w:t>
      </w:r>
    </w:p>
    <w:p>
      <w:pPr>
        <w:spacing w:after="0" w:line="129"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33"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 w:right="359" w:bottom="1440" w:gutter="0" w:footer="0" w:header="0"/>
        </w:sectPr>
      </w:pPr>
    </w:p>
    <w:bookmarkStart w:id="169" w:name="page170"/>
    <w:bookmarkEnd w:id="16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 combination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3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2021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46"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2011 Equity Incentive Plan</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currently maintain the 2011 Plan, which became effective on October 18, 2011 upon its adoption by our board of directors. Following this offering and in connection with the effectiveness of our 2021 Plan, the 2011 Plan will terminate and no further awards will be granted under the 2011 Plan. However, all outstanding awards will continue to be governed by their existing terms.</w:t>
      </w:r>
    </w:p>
    <w:p>
      <w:pPr>
        <w:spacing w:after="0" w:line="13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the compensation and leadership committee or another committee thereof appointed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has the authority to administer the 2011 Plan and the awards granted under it. The administrator has the authority to select the service providers to whom awards will be granted under the 2011 Plan, the number of shares to be subject to those awards under the 2011 Plan, and the terms and conditions of the awards granted. In addition, the administrator has the authority to construe and interpret the 2011 Plan and to adopt rules for the relating to the 2011 Plan, and exercise such other powers that it deems necessary and desirable to promote the bests interests of the company and that are consistent with the terms of the 2011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 w:right="339" w:bottom="1440" w:gutter="0" w:footer="0" w:header="0"/>
        </w:sectPr>
      </w:pPr>
    </w:p>
    <w:bookmarkStart w:id="170" w:name="page171"/>
    <w:bookmarkEnd w:id="17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March 31, 2021, we had reserved an aggregate of 10,113,254 shares of our common stock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2011 Plan. As of March 31, 2021, options to purchase a total of 7,770,502 shares of our common stock and 41,917 RSUs were outstanding and 715,321 shares remained available for future grants.</w:t>
      </w:r>
    </w:p>
    <w:p>
      <w:pPr>
        <w:spacing w:after="0" w:line="121"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2011 Plan provides that the administrator may grant or issue options, including ISOs and NSOs, and stock purchase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consultants and directors; provided that only employees may be granted ISOs.</w:t>
      </w:r>
    </w:p>
    <w:p>
      <w:pPr>
        <w:spacing w:after="0" w:line="93" w:lineRule="exact"/>
        <w:rPr>
          <w:sz w:val="20"/>
          <w:szCs w:val="20"/>
          <w:color w:val="auto"/>
        </w:rPr>
      </w:pPr>
    </w:p>
    <w:p>
      <w:pPr>
        <w:ind w:left="660" w:right="120" w:hanging="328"/>
        <w:spacing w:after="0" w:line="255"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2011 Plan provides for the grant of ISOs or NSOs. ISOs may be granted only to employees. NSOs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134"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Stock Purchase Rights</w:t>
      </w:r>
      <w:r>
        <w:rPr>
          <w:rFonts w:ascii="Arial" w:cs="Arial" w:eastAsia="Arial" w:hAnsi="Arial"/>
          <w:sz w:val="18"/>
          <w:szCs w:val="18"/>
          <w:color w:val="auto"/>
        </w:rPr>
        <w:t>. The 2011 Plan provides for the grant of stock purchase rights. Each stock purchase right that is accepted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governed by a restricted stock purchase agreement, which will detail the restrictions on transferability, risk of forfeiture and other restrictions the administrator approves. In general, restricted stock acquired upon exercise of a stock purchase right may not be sold, transferred, pledged, hypothecated, margined or otherwise encumbered until restrictions are removed or expire. Holders of restricted stock, unlike recipients of stock options, will have voting rights and will have the right to receive dividends, if any, prior to the time when the restrictions lapse.</w:t>
      </w:r>
    </w:p>
    <w:p>
      <w:pPr>
        <w:spacing w:after="0" w:line="13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2011 Plan provides for the grant of restricted stock units. Each restricted stock unit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unfunded, unsecured right to receive a share of our common stock or an amount of cash or other consideration equal to the fair market value of a share of our common stock. The terms of each award of restricted stock units are set forth in a restricted stock unit agreement.</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Adjustments of Awards. </w:t>
      </w:r>
      <w:r>
        <w:rPr>
          <w:rFonts w:ascii="Arial" w:cs="Arial" w:eastAsia="Arial" w:hAnsi="Arial"/>
          <w:sz w:val="18"/>
          <w:szCs w:val="18"/>
          <w:color w:val="auto"/>
        </w:rPr>
        <w:t>In the event of any dividend or other distribution, reorganization, merger, consolidation, combination,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sale, transfer, exchange or other disposition of substantially all of our assets, or exchange of shares or other similar corporate transaction or event, other than with respect to an equity restructuring (such as a stock split, stock dividend, spin-off or recapitalization), the administrator will make adjustments to the number and class of shares available for issuance under the 2011 Plan and the number, class and price of shares subject to outstanding awards, in order to prevent dilution or enlargement of benefits. In the event of an equity restructuring of the company, the number, class and price of shares subject to outstanding options and stock purchase rights, and the number and class of shares available for issuance under the 2011 Plan will be proportionately adjusted by the administrator.</w:t>
      </w:r>
    </w:p>
    <w:p>
      <w:pPr>
        <w:spacing w:after="0" w:line="132"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any outstanding awards granted prior to September 12, 2012 may be assumed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and where the acquirer does not assume or replace such awards, prior to the consummation of such transaction, such outstanding awards will accelerate in full. Otherwise, in the event of a merger or change in control, the administrator has broad discretion to determine the treatment of each outstanding award, including providing for awards to terminate or accelerate in full immediately prior to the change in control or for awards to terminate in exchange for cash or other property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 w:right="339" w:bottom="1440" w:gutter="0" w:footer="0" w:header="0"/>
        </w:sectPr>
      </w:pPr>
    </w:p>
    <w:bookmarkStart w:id="171" w:name="page172"/>
    <w:bookmarkEnd w:id="17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2"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or terminate the 2011 Plan or any portion thereof at any time. However,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may impair the rights of a holder of an outstanding award without the holder’s consent, and any action by our board of directors to increase the number of shares subject to the plan or extend the term of the plan is subject to the approval of our stockholders. Additionally, an amendment of the plan shall be subject to the approval of our stockholders, where such approval by our stockholders of an amendment is required by applicable law. Following this offering and in connection with the effectiveness of our 2021 Plan, the 2011 Plan will terminate and no further awards will be granted under the 2011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07"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We have approved the 2021 Employee Stock Purchase Plan, which we refer to as our ESPP, which became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34" w:lineRule="exact"/>
        <w:rPr>
          <w:sz w:val="20"/>
          <w:szCs w:val="20"/>
          <w:color w:val="auto"/>
        </w:rPr>
      </w:pPr>
    </w:p>
    <w:p>
      <w:pPr>
        <w:jc w:val="both"/>
        <w:ind w:right="80"/>
        <w:spacing w:after="0" w:line="27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and leadership committee will administer the ESPP.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leadership committee can delegate administrative tasks under the ESPP to the services of an agent and/or employees to assist in the administration of the ESPP. The administrator will have the discretionary authority to administer and interpret the ESPP.</w:t>
      </w:r>
    </w:p>
    <w:p>
      <w:pPr>
        <w:jc w:val="both"/>
        <w:ind w:right="80"/>
        <w:spacing w:after="0" w:line="277" w:lineRule="auto"/>
        <w:rPr>
          <w:sz w:val="20"/>
          <w:szCs w:val="20"/>
          <w:color w:val="auto"/>
        </w:rPr>
      </w:pPr>
      <w:r>
        <w:rPr>
          <w:rFonts w:ascii="Arial" w:cs="Arial" w:eastAsia="Arial" w:hAnsi="Arial"/>
          <w:sz w:val="18"/>
          <w:szCs w:val="18"/>
          <w:color w:val="auto"/>
        </w:rPr>
        <w:t>Interpretations and constructions of the administrator of any provision of the ESPP or of any rights thereunder will be conclusive and binding on all persons. We will bear all expenses and liabilities incurred by the ESPP administrator.</w:t>
      </w:r>
    </w:p>
    <w:p>
      <w:pPr>
        <w:spacing w:after="0" w:line="12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maximum number of shares of our common stock which will be authorized for sale under the ESPP is equal to the sum</w:t>
      </w:r>
      <w:r>
        <w:rPr>
          <w:rFonts w:ascii="Arial" w:cs="Arial" w:eastAsia="Arial" w:hAnsi="Arial"/>
          <w:sz w:val="18"/>
          <w:szCs w:val="18"/>
          <w:i w:val="1"/>
          <w:iCs w:val="1"/>
          <w:color w:val="auto"/>
        </w:rPr>
        <w:t xml:space="preserve"> </w:t>
      </w:r>
      <w:r>
        <w:rPr>
          <w:rFonts w:ascii="Arial" w:cs="Arial" w:eastAsia="Arial" w:hAnsi="Arial"/>
          <w:sz w:val="18"/>
          <w:szCs w:val="18"/>
          <w:color w:val="auto"/>
        </w:rPr>
        <w:t>of (a) 1,119,000 shares of common stock and (b) an annual increase on the first day of each fiscal year beginning in 2022 and ending in 2031, equal to the lesser of (i) 1% of the shares of our common stock outstanding (on an as converted basis) on the last day of the immediately preceding fiscal year and (ii) such number of shares of common stock as determined by our board of directors; provided, however, no more than 8,390,521 shares of our common stock may be issued under the ESPP. The shares reserved for issuance under the ESPP may be authorized but unissued shares or reacquired shares.</w:t>
      </w:r>
    </w:p>
    <w:p>
      <w:pPr>
        <w:spacing w:after="0" w:line="13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the ESPP for a given offering period generally include employees who are employed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2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1% of their compensation but not more than the lesser of 15% of their compensation or such other limit as determined by the company. Such payroll deductions may be expressed as either a whole number percentage or a fixed dollar amount, and the accumulated deductions will be applied to the purchase of shares on each purchase date. However, a participant may not purchase more than</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100,000 shares in each offering period. The ESPP administrator has the authority to change these limitations for any subsequent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144" w:right="359" w:bottom="1440" w:gutter="0" w:footer="0" w:header="0"/>
        </w:sectPr>
      </w:pPr>
    </w:p>
    <w:bookmarkStart w:id="172" w:name="page173"/>
    <w:bookmarkEnd w:id="17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offering periods, the duration and timing of which will be determined by the ESPP administrator. However, in no event may an offering period be longer than 27 months in length.</w:t>
      </w:r>
    </w:p>
    <w:p>
      <w:pPr>
        <w:spacing w:after="0" w:line="139"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5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7"/>
          <w:szCs w:val="17"/>
          <w:i w:val="1"/>
          <w:iCs w:val="1"/>
          <w:color w:val="auto"/>
        </w:rPr>
        <w:t xml:space="preserve">Adjustments upon Changes in Recapitalization, Dissolution, Liquidation, Merger or Asset Sale. </w:t>
      </w:r>
      <w:r>
        <w:rPr>
          <w:rFonts w:ascii="Arial" w:cs="Arial" w:eastAsia="Arial" w:hAnsi="Arial"/>
          <w:sz w:val="17"/>
          <w:szCs w:val="17"/>
          <w:color w:val="auto"/>
        </w:rPr>
        <w:t>In the event of any increase or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144" w:right="359" w:bottom="1440" w:gutter="0" w:footer="0" w:header="0"/>
        </w:sectPr>
      </w:pPr>
    </w:p>
    <w:bookmarkStart w:id="173" w:name="page174"/>
    <w:bookmarkEnd w:id="17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80"/>
          </w:cols>
          <w:pgMar w:left="320" w:top="144" w:right="599" w:bottom="1440" w:gutter="0" w:footer="0" w:header="0"/>
        </w:sectPr>
      </w:pPr>
    </w:p>
    <w:bookmarkStart w:id="174" w:name="page175"/>
    <w:bookmarkEnd w:id="17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includes a summary of transactions since January 1, 2018 and any currently proposed transactions to which we were or are expected to be a participant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sections titled “Executive Compensation” and “Management—Director Compensation” and the registration rights described in the section titled “Description of Capital Stock—Registration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Secondary Sales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November 2020, we entered into an agreement with certain holders of our capital stock pursuant to which we agreed to waive certain transfer restrictions in connection with, and assist in the administration of a secondary offering of our capital stock, or the secondary offering. The secondary offering involved the following transactions in which any of our directors, executive officers and holders of more than 5% of our capital stock, or any affiliate or member of the immediate family of the foregoing persons, had a direct or indirect material interest:</w:t>
      </w:r>
    </w:p>
    <w:p>
      <w:pPr>
        <w:spacing w:after="0" w:line="139" w:lineRule="exact"/>
        <w:rPr>
          <w:sz w:val="20"/>
          <w:szCs w:val="20"/>
          <w:color w:val="auto"/>
        </w:rPr>
      </w:pPr>
    </w:p>
    <w:p>
      <w:pPr>
        <w:jc w:val="both"/>
        <w:ind w:left="660" w:right="300" w:hanging="328"/>
        <w:spacing w:after="0" w:line="25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Luis von Ahn, our President, Chief Executive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47"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Severin Hacker, our Chief Technology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H Convertible Preferred Stock Financing and Secondary Sales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November 2020, we issued an aggregate of 334,642 shares of our Series H convertible preferred stock to General Atlantic (DU), L.P. (General Atlantic) at a price per share of $59.7653 for proceeds to us of approximately $20.0 million. General Atlantic also purchased, at a price per share of $59.7653, an aggregate of 246,000 shares of our Series B, C and D convertible preferred stock from entities affiliated with Union Square Ventures, a holder of more than 5% of our capital stock and where Brad Burnham, who was then a member of our board of directors, serves as a general partner. Upon the consummation of the foregoing transactions, General Atlantic became the holder of more than 5% of 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Convertible Preferred Stock Financing</w:t>
      </w:r>
    </w:p>
    <w:p>
      <w:pPr>
        <w:spacing w:after="0" w:line="2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November 2019, we issued an aggregate of 758,146 shares of our Series F convertible preferred stock to CapitalG II LP (CapitalG), a holder of more than 5% of our capital stock, at a price per share of $39.5702 for proceeds to us of approximately $30.0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party to an Amended and Restated Investors’ Rights Agreement, dated as of November 6, 2020 (Investors’ Rights Agreement), with certain holders of our capital stock, including the following holders of more than 5% of our capital stock: entities affiliated with Union Square Ventures, Kleiner Perkins Caufield &amp; Byers, CapitalG, NewView Capital Fund I, L.P. (NewView), and General Atlantic. This agreement provides, among other things, that certain holders of our capital stock have the right to request that we file a registration statement, and/or request that their shares be covered by a registration statement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144" w:right="379" w:bottom="1440" w:gutter="0" w:footer="0" w:header="0"/>
        </w:sectPr>
      </w:pPr>
    </w:p>
    <w:bookmarkStart w:id="175" w:name="page176"/>
    <w:bookmarkEnd w:id="17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are otherwise filing, subject to certain exceptions. See the section titled “Description of Capital Stock—Registration Rights” for additional information regarding these registration rights.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party to an Amended and Restated Voting Agreement, dated as of November 6, 2020 (Voting Agreement), under which certain holders of our capital stock, including Drs. von Ahn and Hacker, and entities affiliated with Union Square Ventures, Kleiner Perkins Caufield &amp; Byers, CapitalG, NewView and General Atlantic, have agreed to vote their shares on certain matters, including with respect to the election of directors. In connection with this offering, the Voting Agreement will terminate and none of our stockholders will have any special rights regarding the election or designation of members of our board of directors, the voting of our capital stock, or the restrictions on transfer pursuant to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party to an Amended and Restated Right of First Refusal and Co-Sale Agreement, dated as of November 6, 2020 (Right of First Refusal and Co-Sale Agreement), with certain holders of our capital stock, including Drs. von Ahn and Hacker, and entities affiliated with Union Square Ventures, Kleiner Perkins Caufield &amp; Byers, CapitalG, NewView and General Atlantic. This agreement provides for rights of first refusal and co-sale relating to the shares of our common stock held by certain parties to the agreement. In connection with this offering, the Right of First Refusal and Co-Sale Agreement will terminate.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Exchange Agreement</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order to effect the Common Stock Reclassification and Exchange, we intend to enter into an exchange agreement with our Founders, Luis von Ahn and Severin Hacker, pursuant to which an aggregate of 6,930,334 shares of Class A common stock held by our Founders will be exchanged into an equivalent number of shares of Class B common stock prior to the completion of this offering. In addition, prior to the completion of this offering, each stock option and award of RSUs held by Drs. von Ahn and Hacker will be amended to provide that such option or award will be exercised into or settle in shares of Class B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have entered into indemnification agreements with each of our current directors, and intend to enter into new indemnification agreements with each of our current directors and officers. Our amended and restated certificate of incorporation and our amended and restated bylaws provide that we will indemnify our directors and officers to the fullest extent permitted by applicable law. See the section titled “Management —Limitation on Liability and Indemnification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intends to adopt a written related party transaction policy, to be effective upon the completion of this offering, setting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forth the policies and procedures for the review and approval or ratification of related party transactions. This policy will cover, with certain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exceptions set forth in Item 404 of Regulation S-K under the Securities Act, any transaction, arrangement, or relationship, or any series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similar transactions, arrangements, or relationships in which we were or are to be a participant, where the amount involved exceeds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$120,000 and a related party had or will have a direct or indirect material interest, including without limitation purchases of goods or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or from the related party or entities in which the related party has a material interest, indebtedness, guarantees of indebtedness,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employment by us of a related party. In reviewing and approving any such transactions, our audit, risk and compliance committee is tasked to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consider all relevant facts and circumstances,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144" w:right="359" w:bottom="1440" w:gutter="0" w:footer="0" w:header="0"/>
        </w:sectPr>
      </w:pPr>
    </w:p>
    <w:bookmarkStart w:id="176" w:name="page177"/>
    <w:bookmarkEnd w:id="17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whether the transaction is on terms comparable to those that could be obtained in an arm’s length transaction with an unrelated third party and the extent of the related party’s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80"/>
          </w:cols>
          <w:pgMar w:left="320" w:top="144" w:right="399" w:bottom="1440" w:gutter="0" w:footer="0" w:header="0"/>
        </w:sectPr>
      </w:pPr>
    </w:p>
    <w:bookmarkStart w:id="177" w:name="page178"/>
    <w:bookmarkEnd w:id="17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Selling Stockholders</w:t>
      </w:r>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2021, and as adjusted to reflect our sale of our Class A common stock in this offering, for:</w:t>
      </w:r>
    </w:p>
    <w:p>
      <w:pPr>
        <w:spacing w:after="0" w:line="130"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executive officers and current directors as a group;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any class of our voting securities;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June 30, 2021, subject to community property laws where applicable. We have deemed shares of our common stock subject to stock options that are currently exercisable or will be exercisable within 60 days of June 30, 2021, to be outstanding and to be beneficially owned by the person holding the stock option for the purpose of computing the percentage ownership of that person. However, we did not deem these shares subject to stock options outstanding for the purpose of computing the percentage ownership of any other person or entity.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have based percentage ownership of our common stock before this offering on 6,340,772 shares of our Class A common stock</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and 26,004,310 shares of our Class B common stock outstanding as of June 30, 2021, in each case, after giving effect to the Transactions, as if the Transactions had occurred as of June 30, 2021. The percentage ownership of our common stock after this offering also assumes the foregoing and the issuance and sale of 3,700,000 shares by us in this offering, and does not include the exercise of the underwriters’ option to purchase 765,916 additional shares from us.</w:t>
      </w:r>
    </w:p>
    <w:p>
      <w:pPr>
        <w:spacing w:after="0" w:line="15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connection with this offering, our board of directors approved the reclassification of all outstanding shares of common stock and all shares of common stock underlying outstanding equity awards under our 2011 Plan into shares of Class A common stock, and all holders of such outstanding shares or equity awards hold a one-time right to exchange such shares of Class A common stock or the shares of Class A common stock issuable upon vesting or exercise of such equity awards, as applicable, for an equal number of shares of Class B common stock, which, in the case of equity awards, may be exercised prior to, at or following the vesting or exercise of the equity award. We have assumed for purposes of the table set forth below that solely our Founders have exercised this right. Class A common stock subject to stock options exercisable or RSUs subject to vesting within 60 days of June 30, 2021 are shown in the table below as Class A common stock or, in the case of our Founders, as Class B common stock, in “Shares Beneficially Owned Prior to this Offering” and “Shares Beneficially Owned After this Offering.” See the section titled “Description of Capital Stock”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44" w:right="359" w:bottom="1440" w:gutter="0" w:footer="0" w:header="0"/>
        </w:sectPr>
      </w:pPr>
    </w:p>
    <w:bookmarkStart w:id="178" w:name="page179"/>
    <w:bookmarkEnd w:id="17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Duolingo, Inc., 5900 Penn Avenue, Pittsburgh, Pennsylvania 15206.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2940" w:type="dxa"/>
            <w:vAlign w:val="bottom"/>
            <w:gridSpan w:val="8"/>
          </w:tcPr>
          <w:p>
            <w:pPr>
              <w:jc w:val="center"/>
              <w:ind w:left="450"/>
              <w:spacing w:after="0"/>
              <w:rPr>
                <w:sz w:val="20"/>
                <w:szCs w:val="20"/>
                <w:color w:val="auto"/>
              </w:rPr>
            </w:pPr>
            <w:r>
              <w:rPr>
                <w:rFonts w:ascii="Arial" w:cs="Arial" w:eastAsia="Arial" w:hAnsi="Arial"/>
                <w:sz w:val="13"/>
                <w:szCs w:val="13"/>
                <w:b w:val="1"/>
                <w:bCs w:val="1"/>
                <w:color w:val="auto"/>
                <w:w w:val="97"/>
              </w:rPr>
              <w:t>Shares Beneficially Owned Prior to</w:t>
            </w:r>
          </w:p>
        </w:tc>
        <w:tc>
          <w:tcPr>
            <w:tcW w:w="5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 of</w:t>
            </w:r>
          </w:p>
        </w:tc>
        <w:tc>
          <w:tcPr>
            <w:tcW w:w="920" w:type="dxa"/>
            <w:vAlign w:val="bottom"/>
          </w:tcPr>
          <w:p>
            <w:pPr>
              <w:spacing w:after="0"/>
              <w:rPr>
                <w:sz w:val="13"/>
                <w:szCs w:val="13"/>
                <w:color w:val="auto"/>
              </w:rPr>
            </w:pPr>
          </w:p>
        </w:tc>
        <w:tc>
          <w:tcPr>
            <w:tcW w:w="2860" w:type="dxa"/>
            <w:vAlign w:val="bottom"/>
            <w:gridSpan w:val="8"/>
          </w:tcPr>
          <w:p>
            <w:pPr>
              <w:jc w:val="center"/>
              <w:ind w:left="449"/>
              <w:spacing w:after="0"/>
              <w:rPr>
                <w:sz w:val="20"/>
                <w:szCs w:val="20"/>
                <w:color w:val="auto"/>
              </w:rPr>
            </w:pPr>
            <w:r>
              <w:rPr>
                <w:rFonts w:ascii="Arial" w:cs="Arial" w:eastAsia="Arial" w:hAnsi="Arial"/>
                <w:sz w:val="13"/>
                <w:szCs w:val="13"/>
                <w:b w:val="1"/>
                <w:bCs w:val="1"/>
                <w:color w:val="auto"/>
                <w:w w:val="96"/>
              </w:rPr>
              <w:t>Shares Beneficially Owned After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3"/>
                <w:szCs w:val="13"/>
                <w:b w:val="1"/>
                <w:bCs w:val="1"/>
                <w:color w:val="auto"/>
                <w:w w:val="95"/>
              </w:rPr>
              <w:t>this Offering</w:t>
            </w:r>
          </w:p>
        </w:tc>
        <w:tc>
          <w:tcPr>
            <w:tcW w:w="520" w:type="dxa"/>
            <w:vAlign w:val="bottom"/>
            <w:tcBorders>
              <w:bottom w:val="single" w:sz="8" w:color="auto"/>
            </w:tcBorders>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Voting</w:t>
            </w:r>
          </w:p>
        </w:tc>
        <w:tc>
          <w:tcPr>
            <w:tcW w:w="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3"/>
                <w:szCs w:val="13"/>
                <w:b w:val="1"/>
                <w:bCs w:val="1"/>
                <w:color w:val="auto"/>
                <w:w w:val="98"/>
              </w:rPr>
              <w:t>this Offering</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00" w:type="dxa"/>
            <w:vAlign w:val="bottom"/>
            <w:gridSpan w:val="3"/>
          </w:tcPr>
          <w:p>
            <w:pPr>
              <w:ind w:left="560"/>
              <w:spacing w:after="0" w:line="135" w:lineRule="exact"/>
              <w:rPr>
                <w:sz w:val="20"/>
                <w:szCs w:val="20"/>
                <w:color w:val="auto"/>
              </w:rPr>
            </w:pPr>
            <w:r>
              <w:rPr>
                <w:rFonts w:ascii="Arial" w:cs="Arial" w:eastAsia="Arial" w:hAnsi="Arial"/>
                <w:sz w:val="13"/>
                <w:szCs w:val="13"/>
                <w:b w:val="1"/>
                <w:bCs w:val="1"/>
                <w:color w:val="auto"/>
              </w:rPr>
              <w:t>Class A</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ind w:left="660"/>
              <w:spacing w:after="0" w:line="135" w:lineRule="exact"/>
              <w:rPr>
                <w:sz w:val="20"/>
                <w:szCs w:val="20"/>
                <w:color w:val="auto"/>
              </w:rPr>
            </w:pPr>
            <w:r>
              <w:rPr>
                <w:rFonts w:ascii="Arial" w:cs="Arial" w:eastAsia="Arial" w:hAnsi="Arial"/>
                <w:sz w:val="13"/>
                <w:szCs w:val="13"/>
                <w:b w:val="1"/>
                <w:bCs w:val="1"/>
                <w:color w:val="auto"/>
              </w:rPr>
              <w:t>Class B</w:t>
            </w:r>
          </w:p>
        </w:tc>
        <w:tc>
          <w:tcPr>
            <w:tcW w:w="5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Power</w:t>
            </w:r>
          </w:p>
        </w:tc>
        <w:tc>
          <w:tcPr>
            <w:tcW w:w="92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3"/>
          </w:tcPr>
          <w:p>
            <w:pPr>
              <w:ind w:left="580"/>
              <w:spacing w:after="0" w:line="135" w:lineRule="exact"/>
              <w:rPr>
                <w:sz w:val="20"/>
                <w:szCs w:val="20"/>
                <w:color w:val="auto"/>
              </w:rPr>
            </w:pPr>
            <w:r>
              <w:rPr>
                <w:rFonts w:ascii="Arial" w:cs="Arial" w:eastAsia="Arial" w:hAnsi="Arial"/>
                <w:sz w:val="13"/>
                <w:szCs w:val="13"/>
                <w:b w:val="1"/>
                <w:bCs w:val="1"/>
                <w:color w:val="auto"/>
              </w:rPr>
              <w:t>Class A</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580"/>
              <w:spacing w:after="0" w:line="135" w:lineRule="exact"/>
              <w:rPr>
                <w:sz w:val="20"/>
                <w:szCs w:val="20"/>
                <w:color w:val="auto"/>
              </w:rPr>
            </w:pPr>
            <w:r>
              <w:rPr>
                <w:rFonts w:ascii="Arial" w:cs="Arial" w:eastAsia="Arial" w:hAnsi="Arial"/>
                <w:sz w:val="13"/>
                <w:szCs w:val="13"/>
                <w:b w:val="1"/>
                <w:bCs w:val="1"/>
                <w:color w:val="auto"/>
              </w:rPr>
              <w:t>Class B</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61"/>
        </w:trPr>
        <w:tc>
          <w:tcPr>
            <w:tcW w:w="158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Name of Beneficial</w:t>
            </w: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gridSpan w:val="2"/>
          </w:tcPr>
          <w:p>
            <w:pPr>
              <w:jc w:val="center"/>
              <w:spacing w:after="0" w:line="61" w:lineRule="exact"/>
              <w:rPr>
                <w:sz w:val="20"/>
                <w:szCs w:val="20"/>
                <w:color w:val="auto"/>
              </w:rPr>
            </w:pPr>
            <w:r>
              <w:rPr>
                <w:rFonts w:ascii="Arial" w:cs="Arial" w:eastAsia="Arial" w:hAnsi="Arial"/>
                <w:sz w:val="7"/>
                <w:szCs w:val="7"/>
                <w:b w:val="1"/>
                <w:bCs w:val="1"/>
                <w:color w:val="auto"/>
              </w:rPr>
              <w:t>Before</w:t>
            </w:r>
          </w:p>
        </w:tc>
        <w:tc>
          <w:tcPr>
            <w:tcW w:w="920" w:type="dxa"/>
            <w:vAlign w:val="bottom"/>
          </w:tcPr>
          <w:p>
            <w:pPr>
              <w:jc w:val="center"/>
              <w:ind w:right="31"/>
              <w:spacing w:after="0" w:line="61" w:lineRule="exact"/>
              <w:rPr>
                <w:sz w:val="20"/>
                <w:szCs w:val="20"/>
                <w:color w:val="auto"/>
              </w:rPr>
            </w:pPr>
            <w:r>
              <w:rPr>
                <w:rFonts w:ascii="Arial" w:cs="Arial" w:eastAsia="Arial" w:hAnsi="Arial"/>
                <w:sz w:val="7"/>
                <w:szCs w:val="7"/>
                <w:b w:val="1"/>
                <w:bCs w:val="1"/>
                <w:color w:val="auto"/>
              </w:rPr>
              <w:t>Shares</w:t>
            </w: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jc w:val="center"/>
              <w:spacing w:after="0" w:line="61" w:lineRule="exact"/>
              <w:rPr>
                <w:sz w:val="20"/>
                <w:szCs w:val="20"/>
                <w:color w:val="auto"/>
              </w:rPr>
            </w:pPr>
            <w:r>
              <w:rPr>
                <w:rFonts w:ascii="Arial" w:cs="Arial" w:eastAsia="Arial" w:hAnsi="Arial"/>
                <w:sz w:val="7"/>
                <w:szCs w:val="7"/>
                <w:b w:val="1"/>
                <w:bCs w:val="1"/>
                <w:color w:val="auto"/>
              </w:rPr>
              <w:t>Power</w:t>
            </w:r>
          </w:p>
        </w:tc>
        <w:tc>
          <w:tcPr>
            <w:tcW w:w="0" w:type="dxa"/>
            <w:vAlign w:val="bottom"/>
          </w:tcPr>
          <w:p>
            <w:pPr>
              <w:spacing w:after="0"/>
              <w:rPr>
                <w:sz w:val="1"/>
                <w:szCs w:val="1"/>
                <w:color w:val="auto"/>
              </w:rPr>
            </w:pPr>
          </w:p>
        </w:tc>
      </w:tr>
      <w:tr>
        <w:trPr>
          <w:trHeight w:val="122"/>
        </w:trPr>
        <w:tc>
          <w:tcPr>
            <w:tcW w:w="1580" w:type="dxa"/>
            <w:vAlign w:val="bottom"/>
            <w:vMerge w:val="continue"/>
          </w:tcPr>
          <w:p>
            <w:pPr>
              <w:spacing w:after="0"/>
              <w:rPr>
                <w:sz w:val="10"/>
                <w:szCs w:val="10"/>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4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26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52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4"/>
              </w:rPr>
              <w:t>this</w:t>
            </w:r>
          </w:p>
        </w:tc>
        <w:tc>
          <w:tcPr>
            <w:tcW w:w="920" w:type="dxa"/>
            <w:vAlign w:val="bottom"/>
          </w:tcPr>
          <w:p>
            <w:pPr>
              <w:jc w:val="center"/>
              <w:ind w:right="31"/>
              <w:spacing w:after="0" w:line="122" w:lineRule="exact"/>
              <w:rPr>
                <w:sz w:val="20"/>
                <w:szCs w:val="20"/>
                <w:color w:val="auto"/>
              </w:rPr>
            </w:pPr>
            <w:r>
              <w:rPr>
                <w:rFonts w:ascii="Arial" w:cs="Arial" w:eastAsia="Arial" w:hAnsi="Arial"/>
                <w:sz w:val="13"/>
                <w:szCs w:val="13"/>
                <w:b w:val="1"/>
                <w:bCs w:val="1"/>
                <w:color w:val="auto"/>
                <w:w w:val="94"/>
              </w:rPr>
              <w:t>Being</w:t>
            </w:r>
          </w:p>
        </w:tc>
        <w:tc>
          <w:tcPr>
            <w:tcW w:w="112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5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5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After this</w:t>
            </w:r>
          </w:p>
        </w:tc>
        <w:tc>
          <w:tcPr>
            <w:tcW w:w="0" w:type="dxa"/>
            <w:vAlign w:val="bottom"/>
          </w:tcPr>
          <w:p>
            <w:pPr>
              <w:spacing w:after="0"/>
              <w:rPr>
                <w:sz w:val="1"/>
                <w:szCs w:val="1"/>
                <w:color w:val="auto"/>
              </w:rPr>
            </w:pPr>
          </w:p>
        </w:tc>
      </w:tr>
      <w:tr>
        <w:trPr>
          <w:trHeight w:val="172"/>
        </w:trPr>
        <w:tc>
          <w:tcPr>
            <w:tcW w:w="1580" w:type="dxa"/>
            <w:vAlign w:val="bottom"/>
          </w:tcPr>
          <w:p>
            <w:pPr>
              <w:ind w:left="600"/>
              <w:spacing w:after="0"/>
              <w:rPr>
                <w:sz w:val="20"/>
                <w:szCs w:val="20"/>
                <w:color w:val="auto"/>
              </w:rPr>
            </w:pPr>
            <w:r>
              <w:rPr>
                <w:rFonts w:ascii="Arial" w:cs="Arial" w:eastAsia="Arial" w:hAnsi="Arial"/>
                <w:sz w:val="13"/>
                <w:szCs w:val="13"/>
                <w:b w:val="1"/>
                <w:bCs w:val="1"/>
                <w:color w:val="auto"/>
              </w:rPr>
              <w:t>Owner</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920" w:type="dxa"/>
            <w:vAlign w:val="bottom"/>
          </w:tcPr>
          <w:p>
            <w:pPr>
              <w:jc w:val="center"/>
              <w:ind w:right="11"/>
              <w:spacing w:after="0"/>
              <w:rPr>
                <w:sz w:val="20"/>
                <w:szCs w:val="20"/>
                <w:color w:val="auto"/>
              </w:rPr>
            </w:pPr>
            <w:r>
              <w:rPr>
                <w:rFonts w:ascii="Arial" w:cs="Arial" w:eastAsia="Arial" w:hAnsi="Arial"/>
                <w:sz w:val="13"/>
                <w:szCs w:val="13"/>
                <w:b w:val="1"/>
                <w:bCs w:val="1"/>
                <w:color w:val="auto"/>
                <w:w w:val="95"/>
              </w:rPr>
              <w:t>Offered</w:t>
            </w: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Offering</w:t>
            </w:r>
          </w:p>
        </w:tc>
        <w:tc>
          <w:tcPr>
            <w:tcW w:w="0" w:type="dxa"/>
            <w:vAlign w:val="bottom"/>
          </w:tcPr>
          <w:p>
            <w:pPr>
              <w:spacing w:after="0"/>
              <w:rPr>
                <w:sz w:val="1"/>
                <w:szCs w:val="1"/>
                <w:color w:val="auto"/>
              </w:rPr>
            </w:pPr>
          </w:p>
        </w:tc>
      </w:tr>
      <w:tr>
        <w:trPr>
          <w:trHeight w:val="186"/>
        </w:trPr>
        <w:tc>
          <w:tcPr>
            <w:tcW w:w="1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5% Stockholders:</w:t>
            </w:r>
          </w:p>
        </w:tc>
        <w:tc>
          <w:tcPr>
            <w:tcW w:w="8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48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98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auto"/>
            </w:tcBorders>
            <w:shd w:val="clear" w:color="auto" w:fill="DBDBDB"/>
          </w:tcPr>
          <w:p>
            <w:pPr>
              <w:spacing w:after="0"/>
              <w:rPr>
                <w:sz w:val="16"/>
                <w:szCs w:val="16"/>
                <w:color w:val="auto"/>
              </w:rPr>
            </w:pPr>
          </w:p>
        </w:tc>
        <w:tc>
          <w:tcPr>
            <w:tcW w:w="520" w:type="dxa"/>
            <w:vAlign w:val="bottom"/>
            <w:tcBorders>
              <w:top w:val="single" w:sz="8" w:color="auto"/>
            </w:tcBorders>
            <w:shd w:val="clear" w:color="auto" w:fill="DBDBDB"/>
          </w:tcPr>
          <w:p>
            <w:pPr>
              <w:spacing w:after="0"/>
              <w:rPr>
                <w:sz w:val="16"/>
                <w:szCs w:val="16"/>
                <w:color w:val="auto"/>
              </w:rPr>
            </w:pPr>
          </w:p>
        </w:tc>
        <w:tc>
          <w:tcPr>
            <w:tcW w:w="9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spacing w:after="0"/>
              <w:rPr>
                <w:sz w:val="16"/>
                <w:szCs w:val="16"/>
                <w:color w:val="auto"/>
              </w:rPr>
            </w:pPr>
          </w:p>
        </w:tc>
        <w:tc>
          <w:tcPr>
            <w:tcW w:w="82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5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840" w:type="dxa"/>
            <w:vAlign w:val="bottom"/>
            <w:tcBorders>
              <w:top w:val="single" w:sz="8" w:color="auto"/>
            </w:tcBorders>
            <w:shd w:val="clear" w:color="auto" w:fill="DBDBDB"/>
          </w:tcPr>
          <w:p>
            <w:pPr>
              <w:spacing w:after="0"/>
              <w:rPr>
                <w:sz w:val="16"/>
                <w:szCs w:val="16"/>
                <w:color w:val="auto"/>
              </w:rPr>
            </w:pPr>
          </w:p>
        </w:tc>
        <w:tc>
          <w:tcPr>
            <w:tcW w:w="8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5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820" w:type="dxa"/>
            <w:vAlign w:val="bottom"/>
            <w:tcBorders>
              <w:top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line="153" w:lineRule="exact"/>
              <w:rPr>
                <w:sz w:val="20"/>
                <w:szCs w:val="20"/>
                <w:color w:val="auto"/>
              </w:rPr>
            </w:pPr>
            <w:r>
              <w:rPr>
                <w:rFonts w:ascii="Arial" w:cs="Arial" w:eastAsia="Arial" w:hAnsi="Arial"/>
                <w:sz w:val="14"/>
                <w:szCs w:val="14"/>
                <w:color w:val="auto"/>
              </w:rPr>
              <w:t>NewView Capital Fund</w:t>
            </w:r>
          </w:p>
        </w:tc>
        <w:tc>
          <w:tcPr>
            <w:tcW w:w="110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5,239,835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3"/>
                <w:szCs w:val="13"/>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5,239,835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71"/>
        </w:trPr>
        <w:tc>
          <w:tcPr>
            <w:tcW w:w="1580" w:type="dxa"/>
            <w:vAlign w:val="bottom"/>
          </w:tcPr>
          <w:p>
            <w:pPr>
              <w:ind w:left="180"/>
              <w:spacing w:after="0"/>
              <w:rPr>
                <w:sz w:val="20"/>
                <w:szCs w:val="20"/>
                <w:color w:val="auto"/>
              </w:rPr>
            </w:pPr>
            <w:r>
              <w:rPr>
                <w:rFonts w:ascii="Arial" w:cs="Arial" w:eastAsia="Arial" w:hAnsi="Arial"/>
                <w:sz w:val="14"/>
                <w:szCs w:val="14"/>
                <w:color w:val="auto"/>
              </w:rPr>
              <w:t>I, L.P.(1)</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Entities affiliated with</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DBDBDB"/>
          </w:tcPr>
          <w:p>
            <w:pPr>
              <w:ind w:left="180"/>
              <w:spacing w:after="0" w:line="135" w:lineRule="exact"/>
              <w:rPr>
                <w:sz w:val="20"/>
                <w:szCs w:val="20"/>
                <w:color w:val="auto"/>
              </w:rPr>
            </w:pPr>
            <w:r>
              <w:rPr>
                <w:rFonts w:ascii="Arial" w:cs="Arial" w:eastAsia="Arial" w:hAnsi="Arial"/>
                <w:sz w:val="14"/>
                <w:szCs w:val="14"/>
                <w:color w:val="auto"/>
              </w:rPr>
              <w:t>Union Square</w:t>
            </w:r>
          </w:p>
        </w:tc>
        <w:tc>
          <w:tcPr>
            <w:tcW w:w="110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3,697,944</w:t>
            </w: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14.2</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ind w:right="51"/>
              <w:spacing w:after="0"/>
              <w:rPr>
                <w:sz w:val="20"/>
                <w:szCs w:val="20"/>
                <w:color w:val="auto"/>
              </w:rPr>
            </w:pPr>
            <w:r>
              <w:rPr>
                <w:rFonts w:ascii="Arial" w:cs="Arial" w:eastAsia="Arial" w:hAnsi="Arial"/>
                <w:sz w:val="14"/>
                <w:szCs w:val="14"/>
                <w:color w:val="auto"/>
              </w:rPr>
              <w:t>741,438</w:t>
            </w:r>
          </w:p>
        </w:tc>
        <w:tc>
          <w:tcPr>
            <w:tcW w:w="112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2,956,506</w:t>
            </w: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12.0</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Ventures(2)</w:t>
            </w:r>
          </w:p>
        </w:tc>
        <w:tc>
          <w:tcPr>
            <w:tcW w:w="1100" w:type="dxa"/>
            <w:vAlign w:val="bottom"/>
            <w:gridSpan w:val="3"/>
            <w:vMerge w:val="continue"/>
            <w:shd w:val="clear" w:color="auto" w:fill="DBDBDB"/>
          </w:tcPr>
          <w:p>
            <w:pPr>
              <w:spacing w:after="0"/>
              <w:rPr>
                <w:sz w:val="14"/>
                <w:szCs w:val="14"/>
                <w:color w:val="auto"/>
              </w:rPr>
            </w:pPr>
          </w:p>
        </w:tc>
        <w:tc>
          <w:tcPr>
            <w:tcW w:w="4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120" w:type="dxa"/>
            <w:vAlign w:val="bottom"/>
            <w:gridSpan w:val="3"/>
            <w:vMerge w:val="continue"/>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line="153" w:lineRule="exact"/>
              <w:rPr>
                <w:sz w:val="20"/>
                <w:szCs w:val="20"/>
                <w:color w:val="auto"/>
              </w:rPr>
            </w:pPr>
            <w:r>
              <w:rPr>
                <w:rFonts w:ascii="Arial" w:cs="Arial" w:eastAsia="Arial" w:hAnsi="Arial"/>
                <w:sz w:val="14"/>
                <w:szCs w:val="14"/>
                <w:color w:val="auto"/>
              </w:rPr>
              <w:t>Entities affiliated with</w:t>
            </w:r>
          </w:p>
        </w:tc>
        <w:tc>
          <w:tcPr>
            <w:tcW w:w="110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3,561,523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3"/>
                <w:szCs w:val="13"/>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color w:val="auto"/>
              </w:rPr>
              <w:t>356,152</w:t>
            </w: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3,205,371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1"/>
        </w:trPr>
        <w:tc>
          <w:tcPr>
            <w:tcW w:w="1580" w:type="dxa"/>
            <w:vAlign w:val="bottom"/>
          </w:tcPr>
          <w:p>
            <w:pPr>
              <w:ind w:left="180"/>
              <w:spacing w:after="0"/>
              <w:rPr>
                <w:sz w:val="20"/>
                <w:szCs w:val="20"/>
                <w:color w:val="auto"/>
              </w:rPr>
            </w:pPr>
            <w:r>
              <w:rPr>
                <w:rFonts w:ascii="Arial" w:cs="Arial" w:eastAsia="Arial" w:hAnsi="Arial"/>
                <w:sz w:val="14"/>
                <w:szCs w:val="14"/>
                <w:color w:val="auto"/>
              </w:rPr>
              <w:t>CapitalG(3)</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KPCB Holdings, Inc.,</w:t>
            </w:r>
          </w:p>
        </w:tc>
        <w:tc>
          <w:tcPr>
            <w:tcW w:w="110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2,723,033</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51"/>
              <w:spacing w:after="0"/>
              <w:rPr>
                <w:sz w:val="20"/>
                <w:szCs w:val="20"/>
                <w:color w:val="auto"/>
              </w:rPr>
            </w:pPr>
            <w:r>
              <w:rPr>
                <w:rFonts w:ascii="Arial" w:cs="Arial" w:eastAsia="Arial" w:hAnsi="Arial"/>
                <w:sz w:val="14"/>
                <w:szCs w:val="14"/>
                <w:color w:val="auto"/>
              </w:rPr>
              <w:t>136,152</w:t>
            </w:r>
          </w:p>
        </w:tc>
        <w:tc>
          <w:tcPr>
            <w:tcW w:w="112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2,586,881</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as nominee(4)</w:t>
            </w:r>
          </w:p>
        </w:tc>
        <w:tc>
          <w:tcPr>
            <w:tcW w:w="1100" w:type="dxa"/>
            <w:vAlign w:val="bottom"/>
            <w:gridSpan w:val="3"/>
            <w:vMerge w:val="continue"/>
            <w:shd w:val="clear" w:color="auto" w:fill="DBDBDB"/>
          </w:tcPr>
          <w:p>
            <w:pPr>
              <w:spacing w:after="0"/>
              <w:rPr>
                <w:sz w:val="14"/>
                <w:szCs w:val="14"/>
                <w:color w:val="auto"/>
              </w:rPr>
            </w:pPr>
          </w:p>
        </w:tc>
        <w:tc>
          <w:tcPr>
            <w:tcW w:w="4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120" w:type="dxa"/>
            <w:vAlign w:val="bottom"/>
            <w:gridSpan w:val="3"/>
            <w:vMerge w:val="continue"/>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line="153" w:lineRule="exact"/>
              <w:rPr>
                <w:sz w:val="20"/>
                <w:szCs w:val="20"/>
                <w:color w:val="auto"/>
              </w:rPr>
            </w:pPr>
            <w:r>
              <w:rPr>
                <w:rFonts w:ascii="Arial" w:cs="Arial" w:eastAsia="Arial" w:hAnsi="Arial"/>
                <w:sz w:val="14"/>
                <w:szCs w:val="14"/>
                <w:color w:val="auto"/>
              </w:rPr>
              <w:t>General Atlantic (DU),</w:t>
            </w:r>
          </w:p>
        </w:tc>
        <w:tc>
          <w:tcPr>
            <w:tcW w:w="110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1,849,286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3"/>
                <w:szCs w:val="13"/>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1,849,286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1"/>
        </w:trPr>
        <w:tc>
          <w:tcPr>
            <w:tcW w:w="1580" w:type="dxa"/>
            <w:vAlign w:val="bottom"/>
          </w:tcPr>
          <w:p>
            <w:pPr>
              <w:ind w:left="180"/>
              <w:spacing w:after="0"/>
              <w:rPr>
                <w:sz w:val="20"/>
                <w:szCs w:val="20"/>
                <w:color w:val="auto"/>
              </w:rPr>
            </w:pPr>
            <w:r>
              <w:rPr>
                <w:rFonts w:ascii="Arial" w:cs="Arial" w:eastAsia="Arial" w:hAnsi="Arial"/>
                <w:sz w:val="14"/>
                <w:szCs w:val="14"/>
                <w:color w:val="auto"/>
              </w:rPr>
              <w:t>L.P.(5)</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DBDBDB"/>
          </w:tcPr>
          <w:p>
            <w:pPr>
              <w:ind w:left="20"/>
              <w:spacing w:after="0" w:line="149" w:lineRule="exact"/>
              <w:rPr>
                <w:sz w:val="20"/>
                <w:szCs w:val="20"/>
                <w:color w:val="auto"/>
              </w:rPr>
            </w:pPr>
            <w:r>
              <w:rPr>
                <w:rFonts w:ascii="Arial" w:cs="Arial" w:eastAsia="Arial" w:hAnsi="Arial"/>
                <w:sz w:val="14"/>
                <w:szCs w:val="14"/>
                <w:b w:val="1"/>
                <w:bCs w:val="1"/>
                <w:color w:val="auto"/>
              </w:rPr>
              <w:t>Executive Officers</w:t>
            </w: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b w:val="1"/>
                <w:bCs w:val="1"/>
                <w:color w:val="auto"/>
              </w:rPr>
              <w:t>and Directors:</w:t>
            </w:r>
          </w:p>
        </w:tc>
        <w:tc>
          <w:tcPr>
            <w:tcW w:w="8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Luis von Ahn(6)</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3,937,207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14.9</w:t>
            </w:r>
          </w:p>
        </w:tc>
        <w:tc>
          <w:tcPr>
            <w:tcW w:w="9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3,937,207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Severin Hacker(7)</w:t>
            </w:r>
          </w:p>
        </w:tc>
        <w:tc>
          <w:tcPr>
            <w:tcW w:w="110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3,937,207</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14.9</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50,000</w:t>
            </w:r>
          </w:p>
        </w:tc>
        <w:tc>
          <w:tcPr>
            <w:tcW w:w="112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3,887,207</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15.5</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Matt Skaruppa(8)</w:t>
            </w:r>
          </w:p>
        </w:tc>
        <w:tc>
          <w:tcPr>
            <w:tcW w:w="800" w:type="dxa"/>
            <w:vAlign w:val="bottom"/>
          </w:tcPr>
          <w:p>
            <w:pPr>
              <w:jc w:val="right"/>
              <w:spacing w:after="0"/>
              <w:rPr>
                <w:sz w:val="20"/>
                <w:szCs w:val="20"/>
                <w:color w:val="auto"/>
              </w:rPr>
            </w:pPr>
            <w:r>
              <w:rPr>
                <w:rFonts w:ascii="Arial" w:cs="Arial" w:eastAsia="Arial" w:hAnsi="Arial"/>
                <w:sz w:val="14"/>
                <w:szCs w:val="14"/>
                <w:color w:val="auto"/>
              </w:rPr>
              <w:t>114,811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114,811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Amy Bohutinsky(9)</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260" w:type="dxa"/>
            <w:vAlign w:val="bottom"/>
            <w:gridSpan w:val="3"/>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40" w:type="dxa"/>
            <w:vAlign w:val="bottom"/>
            <w:gridSpan w:val="3"/>
            <w:shd w:val="clear" w:color="auto" w:fill="DBDBDB"/>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Sara Clemens(10)</w:t>
            </w: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Bing Gordon(11)</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260" w:type="dxa"/>
            <w:vAlign w:val="bottom"/>
            <w:gridSpan w:val="3"/>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40" w:type="dxa"/>
            <w:vAlign w:val="bottom"/>
            <w:gridSpan w:val="3"/>
            <w:shd w:val="clear" w:color="auto" w:fill="DBDBDB"/>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Gillian Munson(11)</w:t>
            </w:r>
          </w:p>
        </w:tc>
        <w:tc>
          <w:tcPr>
            <w:tcW w:w="800" w:type="dxa"/>
            <w:vAlign w:val="bottom"/>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Jim Shelton</w:t>
            </w:r>
          </w:p>
        </w:tc>
        <w:tc>
          <w:tcPr>
            <w:tcW w:w="110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260" w:type="dxa"/>
            <w:vAlign w:val="bottom"/>
            <w:gridSpan w:val="3"/>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40" w:type="dxa"/>
            <w:vAlign w:val="bottom"/>
            <w:gridSpan w:val="3"/>
            <w:shd w:val="clear" w:color="auto" w:fill="DBDBDB"/>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Laela Sturdy (12)</w:t>
            </w: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All current executive</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DBDBDB"/>
          </w:tcPr>
          <w:p>
            <w:pPr>
              <w:ind w:left="180"/>
              <w:spacing w:after="0" w:line="135" w:lineRule="exact"/>
              <w:rPr>
                <w:sz w:val="20"/>
                <w:szCs w:val="20"/>
                <w:color w:val="auto"/>
              </w:rPr>
            </w:pPr>
            <w:r>
              <w:rPr>
                <w:rFonts w:ascii="Arial" w:cs="Arial" w:eastAsia="Arial" w:hAnsi="Arial"/>
                <w:sz w:val="14"/>
                <w:szCs w:val="14"/>
                <w:color w:val="auto"/>
              </w:rPr>
              <w:t>officers and directors</w:t>
            </w:r>
          </w:p>
        </w:tc>
        <w:tc>
          <w:tcPr>
            <w:tcW w:w="8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52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DBDBDB"/>
          </w:tcPr>
          <w:p>
            <w:pPr>
              <w:ind w:left="180"/>
              <w:spacing w:after="0" w:line="135" w:lineRule="exact"/>
              <w:rPr>
                <w:sz w:val="20"/>
                <w:szCs w:val="20"/>
                <w:color w:val="auto"/>
              </w:rPr>
            </w:pPr>
            <w:r>
              <w:rPr>
                <w:rFonts w:ascii="Arial" w:cs="Arial" w:eastAsia="Arial" w:hAnsi="Arial"/>
                <w:sz w:val="14"/>
                <w:szCs w:val="14"/>
                <w:color w:val="auto"/>
              </w:rPr>
              <w:t>as a group (12</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734,903</w:t>
            </w: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7,874,414</w:t>
            </w: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29.2</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734,903</w:t>
            </w: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7,824,414</w:t>
            </w: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30.6</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persons)</w:t>
            </w: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4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Other selling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stockholders: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Entities affiliated with</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1,223,708</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51"/>
              <w:spacing w:after="0"/>
              <w:rPr>
                <w:sz w:val="20"/>
                <w:szCs w:val="20"/>
                <w:color w:val="auto"/>
              </w:rPr>
            </w:pPr>
            <w:r>
              <w:rPr>
                <w:rFonts w:ascii="Arial" w:cs="Arial" w:eastAsia="Arial" w:hAnsi="Arial"/>
                <w:sz w:val="14"/>
                <w:szCs w:val="14"/>
                <w:color w:val="auto"/>
              </w:rPr>
              <w:t>122,371</w:t>
            </w:r>
          </w:p>
        </w:tc>
        <w:tc>
          <w:tcPr>
            <w:tcW w:w="112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1,101,337</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Drive Capital(13)</w:t>
            </w: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120" w:type="dxa"/>
            <w:vAlign w:val="bottom"/>
            <w:gridSpan w:val="3"/>
            <w:vMerge w:val="continue"/>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63" w:lineRule="exact"/>
        <w:rPr>
          <w:sz w:val="20"/>
          <w:szCs w:val="20"/>
          <w:color w:val="auto"/>
        </w:rPr>
      </w:pPr>
    </w:p>
    <w:p>
      <w:pPr>
        <w:ind w:left="340" w:right="80" w:hanging="332"/>
        <w:spacing w:after="0" w:line="245"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4,916,730 shares of our Class B common stock issuable upon conversion of our Series B preferred stock, 147,894 shares of our Class B common stock issuable upon conversion of our Series C preferred stock and 175,211 shares of our Class B common stock issuable upon conversion of our Series D preferred stock held directly by NewView Capital Fund I, L.P. (NewView Fund I). NewView Capital Partners I, LLC is the general partner of NewView Fund I. Ravi Viswanathan is the managing member of NewView Capital Partners I, LLC and therefore may be deemed to hold voting and dispositive power over the shares held by NewView Fund I. The business address of each of the persons and entities identified in this footnote is c/o NewView Capital, 1201 Howard Avenue, Suite 101, Burlingame, CA 94010.</w:t>
      </w:r>
    </w:p>
    <w:p>
      <w:pPr>
        <w:spacing w:after="0" w:line="150" w:lineRule="exact"/>
        <w:rPr>
          <w:rFonts w:ascii="Arial" w:cs="Arial" w:eastAsia="Arial" w:hAnsi="Arial"/>
          <w:sz w:val="14"/>
          <w:szCs w:val="14"/>
          <w:color w:val="auto"/>
        </w:rPr>
      </w:pPr>
    </w:p>
    <w:p>
      <w:pPr>
        <w:ind w:left="340" w:right="300" w:hanging="332"/>
        <w:spacing w:after="0" w:line="249"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2,394,100 shares of our Class B common stock issuable upon conversion of our Series A preferred stock and 1,166,113 shares of our Class B common stock issuable upon conversion of our Series B preferred stock held directly by Union Square Ventures 2012 Fund, L.P. (USV 2012 Fund), and (ii) 92,618 shares of our Class B common stock issuable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 w:right="339" w:bottom="1440" w:gutter="0" w:footer="0" w:header="0"/>
        </w:sectPr>
      </w:pPr>
    </w:p>
    <w:bookmarkStart w:id="179" w:name="page180"/>
    <w:bookmarkEnd w:id="17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60"/>
        <w:spacing w:after="0" w:line="244" w:lineRule="auto"/>
        <w:rPr>
          <w:sz w:val="20"/>
          <w:szCs w:val="20"/>
          <w:color w:val="auto"/>
        </w:rPr>
      </w:pPr>
      <w:r>
        <w:rPr>
          <w:rFonts w:ascii="Arial" w:cs="Arial" w:eastAsia="Arial" w:hAnsi="Arial"/>
          <w:sz w:val="14"/>
          <w:szCs w:val="14"/>
          <w:color w:val="auto"/>
        </w:rPr>
        <w:t>conversion of our Series A preferred stock and 45,113 shares of our Class B common stock issuable upon conversion of our Series B preferred stock held directly by USV Investors 2012 Fund, L.P. (USV Investors 2012 Fund). Union Square 2012 GP, L.L.C. (Union Square 2012) is the general partner of USV 2012 Fund and USV Investors 2012 Fund, and has sole voting and investment power with regard to the shares held by USV 2012 Fund and USV Investors 2012 Fund. We refer to Union Square 2012 and affiliated entities as Union Square Ventures. Fred Wilson, Brad Burnham, Albert Wenger, John Buttrick, and Andy Weissman are partners at Union Square Ventures and, therefore, may be deemed to have shared voting and investment power with regard to the shares held directly by Union Square Ventures. The address for each of these entities is 920 Broadway, 2nd Floor New York, NY 10010.</w:t>
      </w:r>
    </w:p>
    <w:p>
      <w:pPr>
        <w:spacing w:after="0" w:line="152" w:lineRule="exact"/>
        <w:rPr>
          <w:sz w:val="20"/>
          <w:szCs w:val="20"/>
          <w:color w:val="auto"/>
        </w:rPr>
      </w:pPr>
    </w:p>
    <w:p>
      <w:pPr>
        <w:ind w:left="340" w:right="60" w:hanging="332"/>
        <w:spacing w:after="0" w:line="243" w:lineRule="auto"/>
        <w:tabs>
          <w:tab w:leader="none" w:pos="3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1,690,436 shares of our Class B common stock issuable upon conversion of our Series D preferred stock held directly by CapitalG 2014 LP, (ii) 1,112,941 shares of our Class B common stock issuable upon conversion of our Series D preferred stock held directly by CapitalG 2015 LP, and (iii) 758,146 shares of our Class B common stock issuable upon conversion of our Series F preferred stock held directly by CapitalG II LP. CapitalG 2014 GP LLC, the general partner of CapitalG 2014 LP, Alphabet Holdings LLC, the managing member of CapitalG 2014 GP LLC, XXVI Holdings Inc., the managing member of Alphabet Holdings LLC, and Alphabet Inc., the controlling stockholder of XXVI Holdings Inc., may each be deemed to have sole voting and dispositive power with respect to the shares held directly by CapitalG 2014 LP. CapitalG 2015 GP LLC, the general partner of CapitalG 2015 LP, Alphabet Holdings LLC, the managing member of CapitalG 2015 GP LLC, XXVI Holdings Inc., the managing member of Alphabet Holdings LLC, and Alphabet Inc., the controlling stockholder of XXVI Holdings Inc., may each be deemed to have sole voting and dispositive power with respect to the shares held directly by CapitalG 2015 LP. CapitalG II GP LLC, the general partner of CapitalG II LP, Alphabet Holdings LLC, the managing member of CapitalG II GP LLC, XXVI Holdings Inc., the managing member of Alphabet Holdings LLC, and Alphabet Inc., the controlling stockholder of XXVI Holdings Inc., may each be deemed to have sole voting and dispositive power with respect to the shares held directly by CapitalG II LP. Each of CapitalG 2014 GP LLC, CapitalG 2015 GP LLC, CapitalG II GP LLC, Alphabet Holdings LLC, XXVI Holdings Inc., and Alphabet Inc. disclaims beneficial ownership of these shares, except to the extent of any pecuniary interest therein. The principal business address for these entities is 1600 Amphitheatre Parkway, Mountain View, California, 94043.</w:t>
      </w:r>
    </w:p>
    <w:p>
      <w:pPr>
        <w:spacing w:after="0" w:line="149" w:lineRule="exact"/>
        <w:rPr>
          <w:rFonts w:ascii="Arial" w:cs="Arial" w:eastAsia="Arial" w:hAnsi="Arial"/>
          <w:sz w:val="14"/>
          <w:szCs w:val="14"/>
          <w:color w:val="auto"/>
        </w:rPr>
      </w:pPr>
    </w:p>
    <w:p>
      <w:pPr>
        <w:ind w:left="340" w:hanging="332"/>
        <w:spacing w:after="0" w:line="243" w:lineRule="auto"/>
        <w:tabs>
          <w:tab w:leader="none" w:pos="3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2,500,670 shares of our Class B common stock issuable upon the conversion of our Series C preferred stock held by KPCB Digital Growth Fund, LLC (KPCB DGF) and 152,279 shares of our Class B common stock issuable upon the conversion of our Series C preferred stock held by KPCB Digital Growth Founders Fund, LLC (KPCB DGF FF), and (ii) 66,061 shares of our Class B common stock issuable upon the conversion of our Series D preferred stock held by KPCB DGF and 4,023 shares of our Class B common stock issuable upon the conversion of our Series D preferred stock held by KPCB DGF FF. All shares are held for convenience in the name of “KPCB Holdings, Inc., as nominee”for the accounts of such entities. The managing member of KPCB DGF and KPCB DGF FF is KPCB DGF Associates, LLC (KPCB DGF Associates). L. John Doerr, Brook Byers, Mary Meeker, William “Bing” Gordon, a member of our board of directors, and Theodore E. Schlein, the managing members of KPCB DGF Associates, exercise shared voting and dispositive control over the shares held by KPCB DGF and KPCB DGF FF. Such managing members disclaim beneficial ownership of all shares held by KPCB DGF and KPCB DGF FF except to the extent of their pecuniary interest therein. The principal business address for all entities and individuals affiliated with Kleiner Perkins Caufield &amp; Byers is c/o Kleiner Perkins Caufield &amp; Byers, LLC, 2750 Sand Hill Road, Menlo Park, CA 94025.</w:t>
      </w:r>
    </w:p>
    <w:p>
      <w:pPr>
        <w:spacing w:after="0" w:line="152" w:lineRule="exact"/>
        <w:rPr>
          <w:rFonts w:ascii="Arial" w:cs="Arial" w:eastAsia="Arial" w:hAnsi="Arial"/>
          <w:sz w:val="14"/>
          <w:szCs w:val="14"/>
          <w:color w:val="auto"/>
        </w:rPr>
      </w:pPr>
    </w:p>
    <w:p>
      <w:pPr>
        <w:ind w:left="340" w:hanging="332"/>
        <w:spacing w:after="0" w:line="242" w:lineRule="auto"/>
        <w:tabs>
          <w:tab w:leader="none" w:pos="3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1,026,986 shares of our Class B common stock issuable upon conversion of our Series A preferred stock, 94,798 shares of our Class B common stock issuable upon conversion of our Series B preferred stock, 88,126 shares of our Class B common stock issuable upon conversion of our Series C preferred stock, 63,076 shares of our Class B common stock issuable upon conversion of our Series D preferred stock, 241,658 shares of our Class B common stock issuable upon conversion of our Series G preferred stock and 334,642 shares of our Class B common stock issuable upon conversion of our Series H preferred stock held directly by General Atlantic (DU), L.P. The limited partners that share beneficial ownership of the shares held by General Atlantic (DU), L.P. (GA DU) are the following General Atlantic investment funds (the GA Funds): General Atlantic Partners 100, L.P. (GAP 100), General Atlantic Partners (Bermuda) EU, L.P. (GAP Bermuda EU), General Atlantic Partners (Lux) SCSp (GAP Lux), GAP Coinvestments III, LLC (GAPCO III), GAP Coinvestments IV, LLC (GAPCO IV), GAP Coinvestments V, LLC (GAPCO V) and GAP Coinvestments CDA, L.P. (GAPCO CDA). The general partner of GA DU is General Atlantic (SPV) GP, LLC (GA SPV). The general partner of GAP Lux is General Atlantic GenPar (Lux) SCSp (GA GenPar Lux) and the general partner of GA GenPar Lux is General Atlantic (Lux) S.à r.l. (GA Lux). The general partner of GAP Bermuda EU and the sole shareholder of GA Lux is General Atlantic GenPar (Bermuda), L.P. (GenPar Bermuda). GAP (Bermuda) Limited (GAP (Bermuda) Limited) is the general partner of GenPar Bermuda. The general partner of GAP 100 is General Atlantic GenPar, L.P. (GA GenPar) and the general partner of GA GenPar is General Atlantic LLC (GA LLC). GA LLC is the managing member of GAPCO III, GAPCO IV and GAPCO V, the general partner of GAPCO CDA and is the sole member of GA SPV. There are nine members of the management committee of GA LLC (the GA Management Committee). The GA Management Committee includes William E. Ford, Gabriel Caillaux, Andrew Crawford, Martín Escobari, Anton Levy, Sandeep Naik, E. Graves Tompkins, N. Robbert Vorhoff and Chi Eric Zhang. The members of the GA Management Committee are also the members of the management committee of GAP (Bermuda) Limited. GA DU, GA SPV, GA GenPar Lux, GA Lux, GenPar Bermuda, GAP (Bermuda) Limited, GA GenPar, GA LLC and the GA Funds (collectively, the GA Group) are a “group” within the meaning of Rule 13d-5 of the Securities Exchange Act of 1934, as amended. The mailing address of the foregoing General Atlantic entities (other than GAP Bermuda EU, GenPar Bermuda, GAP (Bermuda) Limited, GAP Lux, GA GenPar Lux and GA Lux) is c/o General Atlantic Service Company, L.P., 55 East 52nd Street, 33rd Floor, New York, NY 10055. The mailing address of GAP Bermuda EU, GenPar Bermuda, and GAP (Bermuda) Limited is Clarendon House, 2 Church Street, Hamilton HM 11, Bermuda. The mailing address of GAP Lux, GA GenPar Lux and GA Lux is Luxembourg is 412F, Route d’Esch, L-2086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44" w:right="359" w:bottom="1440" w:gutter="0" w:footer="0" w:header="0"/>
        </w:sectPr>
      </w:pPr>
    </w:p>
    <w:bookmarkStart w:id="180" w:name="page181"/>
    <w:bookmarkEnd w:id="18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Luxembourg. Each of the members of the GA Management Committee disclaims ownership of the shares except to the extent that he has a pecuniary interest therein.</w:t>
      </w:r>
    </w:p>
    <w:p>
      <w:pPr>
        <w:spacing w:after="0" w:line="163" w:lineRule="exact"/>
        <w:rPr>
          <w:sz w:val="20"/>
          <w:szCs w:val="20"/>
          <w:color w:val="auto"/>
        </w:rPr>
      </w:pPr>
    </w:p>
    <w:p>
      <w:pPr>
        <w:ind w:left="340" w:right="220" w:hanging="332"/>
        <w:spacing w:after="0" w:line="249" w:lineRule="auto"/>
        <w:tabs>
          <w:tab w:leader="none" w:pos="327"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3,457,417 shares of our Class B common stock held directly by Dr. von Ahn, and (ii) 479,790 shares of our Class B common stock that may be acquired pursuant to the exercise of stock options within 60 days of June 30, 2021, including as a result of accelerated vesting in connection with this offering as described in the section titled “Executive Compensation-—Narrative to Summary Compensation Table-—Equity-Based Compensation.”.</w:t>
      </w:r>
    </w:p>
    <w:p>
      <w:pPr>
        <w:spacing w:after="0" w:line="146" w:lineRule="exact"/>
        <w:rPr>
          <w:rFonts w:ascii="Arial" w:cs="Arial" w:eastAsia="Arial" w:hAnsi="Arial"/>
          <w:sz w:val="14"/>
          <w:szCs w:val="14"/>
          <w:color w:val="auto"/>
        </w:rPr>
      </w:pPr>
    </w:p>
    <w:p>
      <w:pPr>
        <w:ind w:left="340" w:right="220" w:hanging="332"/>
        <w:spacing w:after="0" w:line="247" w:lineRule="auto"/>
        <w:tabs>
          <w:tab w:leader="none" w:pos="327"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3,457,417 shares of our Class B common stock held directly by a family trust of which Dr. Hacker is a trustee, (ii) 15,500 shares of our Class B common stock held directly by Dr. Hacker, and (iii) 464,290 shares of our Class B common stock that may be acquired pursuant to the exercise of stock options within 60 days of June 30, 2021, including as a result of accelerated vesting in connection with this offering as described in the section titled “Executive Compensation–Narrative to Summary Compensation Table—Equity-Based Compensation.”</w:t>
      </w:r>
    </w:p>
    <w:p>
      <w:pPr>
        <w:spacing w:after="0" w:line="147"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114,811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10,000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10,000 shares of our Class A common stock held directly by Ms. Clemens.</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12,500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10,000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40" w:hanging="332"/>
        <w:spacing w:after="0" w:line="244" w:lineRule="auto"/>
        <w:tabs>
          <w:tab w:leader="none" w:pos="33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646.636 shares of our Class B common stock issuable upon conversion of our Series E preferred stock held by Drive Capital Fund II, L.P., or DC Fund II, (ii) 557,399 shares of our Class B common stock issuable upon conversion of our Series E preferred stock held by Drive Capital Fund II (TE), L.P., or DC Fund II (TE), and (iii) 19,946 shares of our Class B common stock issuable upon conversion of our Series E preferred stock held by Drive Capital Ignition Fund II, L.P., or DC Ignition Fund II, or collectively, Fund II. Drive Capital Fund II (GP), LLC, or GP II LLC, serves as the general partner of Fund II. An investment committee of GP II LLC comprised of Christopher Olsen and Mark D. Kvamme controls all voting and investment decisions with respect to Fund II, including with respect to the shares held by Fund II. Christopher Olsen and Mark D. Kvamme control other voting matters related to GP II LLC through control of its manager, Drive Capital, LLC. The address of each of these entities is 629 N. High St 6th Fl, Columbus, Ohio 43215.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144" w:right="379" w:bottom="1440" w:gutter="0" w:footer="0" w:header="0"/>
        </w:sectPr>
      </w:pPr>
    </w:p>
    <w:bookmarkStart w:id="181" w:name="page182"/>
    <w:bookmarkEnd w:id="18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Upon the completion of this offering and the filing of our amended and restated certificate of incorporation, our authorized capital stock will consist of:</w:t>
      </w:r>
    </w:p>
    <w:p>
      <w:pPr>
        <w:spacing w:after="0" w:line="130"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2,000,000,000 shares of Class A common stock, $0.0001 par value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30,000,000 shares of Class B common stock, $0.0001 par value per share;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20,000,000 shares of preferred stock, $0.0001 par value per share.</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Prior to the completion of this offering, we intend to (i) reclassify all outstanding shares of our common stock into an equal number of shares of our Class A common stock and all shares of common stock underlying outstanding equity awards under our 2011 Plan, other than those held by Luis von Ahn and Severin Hacker (our Founders), into shares of Class A common stock, (ii) amend the terms of our outstanding convertible preferred stock to provide that such shares are initially convertible into shares of Class B common stock, and (iii) amend the terms of outstanding equity awards held by our Founders to provide that such awards are exercisable for or settle into shares of Class B common stock. In addition, pursuant to an exchange agreement to be entered into with our Founders, our Founders will exchange all shares of Class A common stock held by them into an aggregate of 6,930,334 shares of Class B common stock (collectively, the Transactions).</w:t>
      </w:r>
    </w:p>
    <w:p>
      <w:pPr>
        <w:spacing w:after="0" w:line="15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After giving effect to the Transactions, as if such Transactions had occurred on March 31, 2021, there were 6,187,542 shares of Class A common stock and 26,004,610 shares of Class B common stock outstanding, held of record by 442 stockholders, and no shares of our convertible preferred stock outstanding. Our board of directors is authorized, without stockholder approval except as required by the Listing Rules of Nasdaq, to issue additional shares of 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2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two classes of authorized common stock: Class A and Class B common stock. All outstanding shares of our convertible preferred stock will be converted into shares of our Class B common stock immediately prior to the completion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our Class A common stock is entitled to one vote per share, and each holder of our Class B common stock is entitled</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20 votes per share, on all matters submitted to a vote of the stockholders. The holders of our Class A and Class B common stock will generally vote together as a single class on all matters submitted to a vote of our stockholders, unless otherwise required by Delaware law or our amended and restated certificate of incorporation. Delaware law could require either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320" w:top="144" w:right="379" w:bottom="1440" w:gutter="0" w:footer="0" w:header="0"/>
        </w:sectPr>
      </w:pPr>
    </w:p>
    <w:bookmarkStart w:id="182" w:name="page183"/>
    <w:bookmarkEnd w:id="18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or Class B common stock to vote separately as a single class in the following circumstances:</w:t>
      </w:r>
    </w:p>
    <w:p>
      <w:pPr>
        <w:spacing w:after="0" w:line="171" w:lineRule="exact"/>
        <w:rPr>
          <w:sz w:val="20"/>
          <w:szCs w:val="20"/>
          <w:color w:val="auto"/>
        </w:rPr>
      </w:pPr>
    </w:p>
    <w:p>
      <w:pPr>
        <w:ind w:left="660" w:right="2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61" w:lineRule="exact"/>
        <w:rPr>
          <w:sz w:val="20"/>
          <w:szCs w:val="20"/>
          <w:color w:val="auto"/>
        </w:rPr>
      </w:pPr>
    </w:p>
    <w:p>
      <w:pPr>
        <w:ind w:right="1800"/>
        <w:spacing w:after="0" w:line="446" w:lineRule="auto"/>
        <w:rPr>
          <w:sz w:val="20"/>
          <w:szCs w:val="20"/>
          <w:color w:val="auto"/>
        </w:rPr>
      </w:pPr>
      <w:r>
        <w:rPr>
          <w:rFonts w:ascii="Arial" w:cs="Arial" w:eastAsia="Arial" w:hAnsi="Arial"/>
          <w:sz w:val="18"/>
          <w:szCs w:val="18"/>
          <w:color w:val="auto"/>
        </w:rPr>
        <w:t xml:space="preserve">Our amended and restated certificate of incorporation will not provide for cumulative voting for the election of directors. </w:t>
      </w:r>
      <w:r>
        <w:rPr>
          <w:rFonts w:ascii="Arial" w:cs="Arial" w:eastAsia="Arial" w:hAnsi="Arial"/>
          <w:sz w:val="18"/>
          <w:szCs w:val="18"/>
          <w:b w:val="1"/>
          <w:bCs w:val="1"/>
          <w:i w:val="1"/>
          <w:iCs w:val="1"/>
          <w:color w:val="auto"/>
        </w:rPr>
        <w:t>Dividend Rights</w:t>
      </w:r>
    </w:p>
    <w:p>
      <w:pPr>
        <w:ind w:right="20"/>
        <w:spacing w:after="0" w:line="277" w:lineRule="auto"/>
        <w:rPr>
          <w:sz w:val="20"/>
          <w:szCs w:val="20"/>
          <w:color w:val="auto"/>
        </w:rPr>
      </w:pPr>
      <w:r>
        <w:rPr>
          <w:rFonts w:ascii="Arial" w:cs="Arial" w:eastAsia="Arial" w:hAnsi="Arial"/>
          <w:sz w:val="18"/>
          <w:szCs w:val="18"/>
          <w:color w:val="auto"/>
        </w:rPr>
        <w:t>The holders of our Class A and Class B common stock are entitled to receive dividends as may be declared from time to time by our board of directors out of legally available funds. See the section titled “Dividend Policy”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completion of this offering, except for certain permitted transfers further described in our amended and restated certificate of incorporation, including estate planning or charitable transfers where exclusive voting control with respect to the shares of Class B common stock is retained by the transferring holder, transfers from one Founder to the other Founder, and transfers to affiliates or certain other related entities of the transferring holder.</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outstanding shares of our Class B common stock will convert automatically into shares of our Class A common stock at 5:00 p.m. New York City time on a date fixed by our board of directors that is not less than 60 days nor more than 180 days following the date the aggregate number of shares of our Class B common stock then outstanding ceases to represent at least 5% of the aggregate number of all shares of our common stock then outstanding. In addition, each share of Class B common stock held by our Founders (or any of such Founders’ permitted transferees, other than the other Founder) will automatically convert into one share of Class A common stock at 5:00 p.m. New York City time on a date fixed by our board of directors that is not less than 60 nor more than 180 days following the death or disability of such Founder.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Once converted into Class A common stock, the Class B common stock may not be reissued.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Class A and Class B common stock will be entitled to share ratably in the net assets legally available for distribution to stockholders after the payment of all of our debts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44" w:right="359" w:bottom="1440" w:gutter="0" w:footer="0" w:header="0"/>
        </w:sectPr>
      </w:pPr>
    </w:p>
    <w:bookmarkStart w:id="183" w:name="page184"/>
    <w:bookmarkEnd w:id="18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of our Class A and Class B common stock have no preemptive, conversion (except as noted above), or subscription rights, and there are no redemption or sinking fund provisions applicable to our Class A common stock or Class B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our Class A and Class B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Immediately prior to the completion of this offering, all of our currently outstanding shares of redeemable convertible preferred stock will convert into Class B common stock, and we will not have any shares of redeemable convertible preferred stock outstanding, whereupon our restated certificate of incorporation will be amended and restated to delete all references to such shares of redeemable convertible preferred stock. From and after the completion of this offering, our board of directors will have the authority, without further action by our stockholders,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 Amendment</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this offering, our board of directors amended our 2011 Plan to provide for outstanding equity awards granted thereunder to be exercisable for or settle in shares of Class A common stock, or, if provided by the administrator, shares of Class B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March 31, 2021, and after giving effect to the Transactions, we had outstanding options to purchase an aggregate of 6,736,002 shares of our Class A common stock, with a weighted-average exercise price of $9.64 per share, and 1,034,500 shares of our Class B common stock, with a weighted-average exercise price of $20.17 per share, in each case pursuant to our 2011 Plan. After March 31, 2021, we issued options to purchase an addition 71,700 shares of our Class A common stock pursuant to our 2011 Plan, at an exercise price of $52.80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07" w:lineRule="exact"/>
        <w:rPr>
          <w:sz w:val="20"/>
          <w:szCs w:val="20"/>
          <w:color w:val="auto"/>
        </w:rPr>
      </w:pPr>
    </w:p>
    <w:p>
      <w:pPr>
        <w:jc w:val="both"/>
        <w:ind w:right="900"/>
        <w:spacing w:after="0" w:line="271" w:lineRule="auto"/>
        <w:rPr>
          <w:sz w:val="20"/>
          <w:szCs w:val="20"/>
          <w:color w:val="auto"/>
        </w:rPr>
      </w:pPr>
      <w:r>
        <w:rPr>
          <w:rFonts w:ascii="Arial" w:cs="Arial" w:eastAsia="Arial" w:hAnsi="Arial"/>
          <w:sz w:val="18"/>
          <w:szCs w:val="18"/>
          <w:color w:val="auto"/>
        </w:rPr>
        <w:t>As of March 31, 2021, and after giving effect to the Transactions, we had outstanding RSUs representing the right to receive upon vesting 41,917 shares of our Class A common stock. After March 31, 2021, we issued additional RSUs pursuant to our 2011 Plan representing the right to receive upon vesting 552,788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44" w:right="359" w:bottom="1440" w:gutter="0" w:footer="0" w:header="0"/>
        </w:sectPr>
      </w:pPr>
    </w:p>
    <w:bookmarkStart w:id="184" w:name="page185"/>
    <w:bookmarkEnd w:id="18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Upon the completion of this offering, certain holders of our Class B common stock and Class A common stock will be entitled to rights with respect to the registration of their shares under the Securities Act. These registration rights are contained in the Investors’ Rights Agreement. We and certain holders of our Class A common stock and convertible preferred stock are parties to the Investors’ Rights Agreement. The registration rights set forth in the Investors’ Rights Agreement terminate upon the earlier to occur of (1) three years following the completion of this offering, and (2) with respect to any particular stockholder, such earlier time after the completion of this offering, at which (x) such stockholder can sell all of its Registrable Securities, as defined in the Investors’ Rights Agreement, in compliance with Rule 144(b)(1), or (y) such stockholder holds 1% or less of our outstanding common stock and such stockholder is able to sell all of its Registrable Securities, without restriction pursuant to Rule 144 during any three-month period. We will pay the registration expenses (other than any underwriting discounts and selling commissions) of the holders of the shares registered for sale pursuant to the registrations described below, including the reasonable fees of one counsel for the selling holders not to exceed $25,000. However, we will not be required to bear the expenses in connection with the exercise of the demand registration rights of a registration if the request is subsequently withdrawn at the request of the selling stockholders holding a majority of securities to be registered, subject to specified exceptions. In an underwritten public offering, the underwriters have the right, subject to specified conditions, to limit the number of shares such holders may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Upon the completion of this offering, the holders of up to approximately 19,074,276 shares of our Class B common stock will be entitled to certain demand registration rights. At any time beginning six months after the completion of this offering, the holders of at least 55% of these shares then outstanding can request that we register the offer and sale of their shares on a registration statement on Form S-1 if we are eligible to file a registration statement on Form S-1 so long as the request covers at least that number of shares with an anticipated offering price, net of underwriting discounts and commissions, of at least $15.0 million. We are obligated to effect only two such registrations. If we determine that it would materially impede, delay or interfere with any material pending or proposed transaction or require disclosure of material non-public information that that, if disclosed, would be materially harmful to the company and its stockholders, we have the right to defer such registration, not more than once in any 12-month period, for a period of up to 90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20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Upon the completion of this offering, the holders of up to approximately 19,074,276 shares of our Class B common stock will be entitled to certain Form S-3 registration rights. The holders of Registrable Securities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commissions) of at least</w:t>
      </w:r>
    </w:p>
    <w:p>
      <w:pPr>
        <w:ind w:right="20"/>
        <w:spacing w:after="0" w:line="268" w:lineRule="auto"/>
        <w:rPr>
          <w:sz w:val="20"/>
          <w:szCs w:val="20"/>
          <w:color w:val="auto"/>
        </w:rPr>
      </w:pPr>
      <w:r>
        <w:rPr>
          <w:rFonts w:ascii="Arial" w:cs="Arial" w:eastAsia="Arial" w:hAnsi="Arial"/>
          <w:sz w:val="18"/>
          <w:szCs w:val="18"/>
          <w:color w:val="auto"/>
        </w:rPr>
        <w:t>$5.0 million. These stockholders may make an unlimited number of requests for registration on Form S-3; however, we will not be required to effect a registration on Form S-3 if we have effected two such registrations within the 12-month period preceding the date of the request. In addition, if we determine that it would be materially detrimental to us and our stockholders to effect such a registration, we have the right to defer such registration, not more than once in any 12-month period, for a period of up to 90 days. Lastly, we will not be required to effect a demand registration on Form S-3 if we give notice to such stockholders of our bona fide intention to file a registration statement within 120 days of receipt of a request for registration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320" w:top="144" w:right="379" w:bottom="1440" w:gutter="0" w:footer="0" w:header="0"/>
        </w:sectPr>
      </w:pPr>
    </w:p>
    <w:bookmarkStart w:id="185" w:name="page186"/>
    <w:bookmarkEnd w:id="18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If we propose to register the offer and sale of our common stock under the Securities Act, in connection with the public offering of such common stock, the holders of up to approximately 19,074,276 shares of our Class B common stock will be entitled to certain “piggyback” registration rights allowing the holders to include their shares in such registration, subject to certain marketing and other limitations, which, in the case of an underwritten offering, will be in the sole discretion of the underwriters. As a result, whenever we propose to file a registration statement under the Securities Act, other than with respect to (1) a demand registration described above, (2) a registration related solely to a company stock plan, (3) a registration relating to a corporate reorganization or transaction under Rule 145 of the Securities Act, (4) a registration on any form that does not include substantially the same information as would be required to be included in a registration statement covering the public offering of our common stock, or (5)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each of which will become effective immediately prior to the completion of this offering,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 w:right="339" w:bottom="1440" w:gutter="0" w:footer="0" w:header="0"/>
        </w:sectPr>
      </w:pPr>
    </w:p>
    <w:bookmarkStart w:id="186" w:name="page187"/>
    <w:bookmarkEnd w:id="18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Class Stock</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As described above in the subsection titled “—Class A and Class B Common Stock—Voting Rights,” our amended and restated certificate of incorporation will continue to provide for a dual class common stock structure, which will provide our Founders and current investors with significant influence over all matters requiring stockholder approval, including the election of directors and significant corporate transactions, such as a merger or other sale of our company or its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0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only be called by an officer of our company pursuant to a resolution adopted by a majority of our board of directors then in office or the chairperson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will provide that from and after the date holders of our Class B common stock hold less than 50% of the voting power of our capital stock, no action may be taken by our stockholders by written consent.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Proposals and Nominations</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Effective upon the completion of this offering, our board of directors will be divided into three classes, divided as nearly as equal in number as possible.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the then outstanding capital stock will be able to elect all of our directors. Our amended and certificate of incorporation will provide for the removal of any of our directors only for cause and require a stockholder vote by the holders of a majority of the voting power of the then outstanding capital stock. For more information on the classified board, see the section titled “Management—Classified Board of Directors.”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44" w:right="359" w:bottom="1440" w:gutter="0" w:footer="0" w:header="0"/>
        </w:sectPr>
      </w:pPr>
    </w:p>
    <w:bookmarkStart w:id="187" w:name="page188"/>
    <w:bookmarkEnd w:id="18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filling vacancies may discourage a third party from making a tender offer or otherwise attempting to obtain control of us because it generally makes it more difficult for stockholders to replace a majority of the directors.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0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Any amendment of the above provisions in our amended and restated certificate of incorporation would require approval by holders of at least 66 2/3% of the voting power of all of the then outstanding capital stock entitled to vote generally in the election of directors, voting together as a single class. In addition, the affirmative vote of holders of at least 80% of the shares of Class B common stock outstanding at the time of such vote, voting as a separate series, is required to amend or repeal, or adopt any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 w:right="339" w:bottom="1440" w:gutter="0" w:footer="0" w:header="0"/>
        </w:sectPr>
      </w:pPr>
    </w:p>
    <w:bookmarkStart w:id="188" w:name="page189"/>
    <w:bookmarkEnd w:id="18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100"/>
        <w:spacing w:after="0" w:line="446" w:lineRule="auto"/>
        <w:rPr>
          <w:sz w:val="20"/>
          <w:szCs w:val="20"/>
          <w:color w:val="auto"/>
        </w:rPr>
      </w:pPr>
      <w:r>
        <w:rPr>
          <w:rFonts w:ascii="Arial" w:cs="Arial" w:eastAsia="Arial" w:hAnsi="Arial"/>
          <w:sz w:val="18"/>
          <w:szCs w:val="18"/>
          <w:color w:val="auto"/>
        </w:rPr>
        <w:t xml:space="preserve">our amended and restated certificate of incorporation relating to the rights and preferences of our common stock. </w:t>
      </w:r>
      <w:r>
        <w:rPr>
          <w:rFonts w:ascii="Arial" w:cs="Arial" w:eastAsia="Arial" w:hAnsi="Arial"/>
          <w:sz w:val="18"/>
          <w:szCs w:val="18"/>
          <w:b w:val="1"/>
          <w:bCs w:val="1"/>
          <w:color w:val="auto"/>
        </w:rPr>
        <w:t>Limitation on Liability and Indemnification</w:t>
      </w:r>
    </w:p>
    <w:p>
      <w:pPr>
        <w:spacing w:after="0" w:line="277" w:lineRule="auto"/>
        <w:rPr>
          <w:sz w:val="20"/>
          <w:szCs w:val="20"/>
          <w:color w:val="auto"/>
        </w:rPr>
      </w:pPr>
      <w:r>
        <w:rPr>
          <w:rFonts w:ascii="Arial" w:cs="Arial" w:eastAsia="Arial" w:hAnsi="Arial"/>
          <w:sz w:val="18"/>
          <w:szCs w:val="18"/>
          <w:color w:val="auto"/>
        </w:rPr>
        <w:t>For a discussion of limitation on liability and indemnification, see the section titled “Management—Limitation on Liability and Indemnification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and Class B common stock will be American Stock Transfer &amp; Trust Company, LLC. The transfer agent’s address is 6201 15th Avenue, Brooklyn, New York 11219.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has been approved for listing on the Nasdaq Global Select Market under the symbol “DUOL.”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144" w:right="499" w:bottom="1440" w:gutter="0" w:footer="0" w:header="0"/>
        </w:sectPr>
      </w:pPr>
    </w:p>
    <w:bookmarkStart w:id="189" w:name="page190"/>
    <w:bookmarkEnd w:id="18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207" w:lineRule="exact"/>
        <w:rPr>
          <w:sz w:val="20"/>
          <w:szCs w:val="20"/>
          <w:color w:val="auto"/>
        </w:rPr>
      </w:pPr>
    </w:p>
    <w:p>
      <w:pPr>
        <w:jc w:val="both"/>
        <w:ind w:right="320"/>
        <w:spacing w:after="0" w:line="269" w:lineRule="auto"/>
        <w:rPr>
          <w:sz w:val="20"/>
          <w:szCs w:val="20"/>
          <w:color w:val="auto"/>
        </w:rPr>
      </w:pPr>
      <w:r>
        <w:rPr>
          <w:rFonts w:ascii="Arial" w:cs="Arial" w:eastAsia="Arial" w:hAnsi="Arial"/>
          <w:sz w:val="18"/>
          <w:szCs w:val="18"/>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Upon the completion of this offering, based on the number of shares of our common stock outstanding as of March 31, 2021, we will have a total of 11,293,655 shares of our Class A common stock and 24,598,497 shares of our Class B common stock outstanding, assuming the occurrence of the Transactions as if such Transactions had occurred as of March 31, 2021. Of these shares, all of the Class A common stock sold in this offering by us, plus any shares sold by us upon exercise, if any, of the underwriters’ option to purchase shares of Class A common stock, will be freely tradable in the public market without restriction or further registration under the Securities Act, unless these shares are purchased by one of our “affiliates,” as that term is defined in Rule 144.</w:t>
      </w:r>
    </w:p>
    <w:p>
      <w:pPr>
        <w:spacing w:after="0" w:line="15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remaining shares of Class A and Class B common stock will be, and shares of Class A and Class B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(the “lock-up period”), except with the prior written consent of Goldman Sachs &amp; Co. LLC.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certain shares may automatically be released pursuant to the following conditions:</w:t>
      </w:r>
    </w:p>
    <w:p>
      <w:pPr>
        <w:spacing w:after="0" w:line="171" w:lineRule="exact"/>
        <w:rPr>
          <w:sz w:val="20"/>
          <w:szCs w:val="20"/>
          <w:color w:val="auto"/>
        </w:rPr>
      </w:pPr>
    </w:p>
    <w:p>
      <w:pPr>
        <w:ind w:left="660" w:hanging="328"/>
        <w:spacing w:after="0" w:line="252"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holder is a current employee, contractor or consultant of the company (excluding any of our officers or directors), then up to 25% of such holder’s shares of Class A common stock and securities convertible into or exchangeable for shares of Class A common stock held as of the date of this prospectus (including any vested and exercisable stock options as of such date (Vested Securities) but excluding any unvested convertible securities, stock options, restricted stock units or other equity awards issued by us (Unvested Securities)) may be sold in the public market for a 7-consecutive trading day period beginning at the commencement of trading on the first day on which shares of our Class A common stock trade on Nasdaq (up to approximately 1.6 million shares of our Class A common stock held by such employees, contractors or consultants will be released pursuant to this provision);</w:t>
      </w:r>
    </w:p>
    <w:p>
      <w:pPr>
        <w:spacing w:after="0" w:line="152"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holder is a current or former employee, contractor or consultant of the company (excluding any of our officers or directors), the lock-up period shall terminate immediately prior to the commencement of trading on the third trading day after we publish our second quarterly financial results following this offering (the Second Quarterly Earnings Date);</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holder is an officer or director of the company, 30% of such holder’s shares of Class A common stock and securities convertible into or exchangeable for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 w:right="339" w:bottom="1440" w:gutter="0" w:footer="0" w:header="0"/>
        </w:sectPr>
      </w:pPr>
    </w:p>
    <w:bookmarkStart w:id="190" w:name="page191"/>
    <w:bookmarkEnd w:id="19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20"/>
        <w:spacing w:after="0" w:line="252" w:lineRule="auto"/>
        <w:rPr>
          <w:sz w:val="20"/>
          <w:szCs w:val="20"/>
          <w:color w:val="auto"/>
        </w:rPr>
      </w:pPr>
      <w:r>
        <w:rPr>
          <w:rFonts w:ascii="Arial" w:cs="Arial" w:eastAsia="Arial" w:hAnsi="Arial"/>
          <w:sz w:val="18"/>
          <w:szCs w:val="18"/>
          <w:color w:val="auto"/>
        </w:rPr>
        <w:t>stock (including Vested Securities but excluding Unvested Securities) shall be released from the lock-up period immediately prior to the commencement of trading on the third trading day (any such date, the Price-Based Early Release Date) immediately following the date the following conditions are met (such date, the Measurement Date): (1) the close of trading on the Second Quarterly Earnings Date and (2) the last reported closing price of our Class A common stock is greater than the final offering price per share set forth on the cover page of this prospectus for any 10 trading days (including the Measurement Date) out of any 15-consecutive trading day period (the Measurement Period), provided that the holder will not be entitled to any incremental release of securities pursuant to the conditions described below;</w:t>
      </w:r>
    </w:p>
    <w:p>
      <w:pPr>
        <w:spacing w:after="0" w:line="153" w:lineRule="exact"/>
        <w:rPr>
          <w:sz w:val="20"/>
          <w:szCs w:val="20"/>
          <w:color w:val="auto"/>
        </w:rPr>
      </w:pPr>
    </w:p>
    <w:p>
      <w:pPr>
        <w:ind w:left="660" w:hanging="328"/>
        <w:spacing w:after="0" w:line="25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holder elects to sell shares in this offering and does so sell at least 10% but no less than 20% of the aggregate number of their shares of Class A common stock and securities convertible into or exchangeable for shares of Class A common stock (including Vested Securities but excluding Unvested Securities) held as of the date set forth on the cover page of this prospectus, the lock-up period shall terminate as to 20% of such holder’s shares (measured as of the date of this prospectus and including Vested Securities but excluding Unvested Securities); and</w:t>
      </w:r>
    </w:p>
    <w:p>
      <w:pPr>
        <w:spacing w:after="0" w:line="151" w:lineRule="exact"/>
        <w:rPr>
          <w:rFonts w:ascii="Arial" w:cs="Arial" w:eastAsia="Arial" w:hAnsi="Arial"/>
          <w:sz w:val="18"/>
          <w:szCs w:val="18"/>
          <w:color w:val="auto"/>
        </w:rPr>
      </w:pPr>
    </w:p>
    <w:p>
      <w:pPr>
        <w:ind w:left="660" w:right="140" w:hanging="328"/>
        <w:spacing w:after="0" w:line="25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holder elects to sell shares in this offering and does so sell at least 20% of number of the aggregate number of their shares of Class A common stock and securities convertible into or exchangeable for shares of Class A common stock (including Vested Securities but excluding Unvested Securities) held as of the date set forth on the cover page of this prospectus, the lock-up period shall terminate as to 30% of such holder’s shares (measured as of the date of this prospectus and including Vested Securities but excluding Unvested Securities).</w:t>
      </w:r>
    </w:p>
    <w:p>
      <w:pPr>
        <w:spacing w:after="0" w:line="16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For the avoidance of doubt, the Measurement Period may begin prior to the Second Quarterly Earnings Date. In addition, we may, in our discretion, extend the date of the Price-Based Early Release Date as reasonably needed for administrative processing or to the extent such release date would occur during one of our blackout periods, in which case we will publicly announce the date of the Price-Based Early Release Date following the close of trading on the day that is at least two trading days prior to such date.</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restrictions on our officers, directors, and other holders, including the selling stockholders, set forth above are subject to certain exceptions, including with respect to: (i) transfers as a bona fide gift or gifts or charitable contribution, or for bona fide estate planning purposes; (ii) transfers to any immediate family member, to any trust for the direct or indirect benefit of the holder or the immediate family thereof, or to a trustor, trustee or beneficiary of the trust or to the estate of a beneficiary of such trust; (iii) transfers upon death or by will, testamentary document or intestate succession; (iv) transfers of securities acquired in this offering or in open market transactions after the closing date of this offering; (v) transfers to another corporation, partnership, limited liability company, or other business entity that is an affiliate, or to any investment fund or other entity controlled or managed by the holder or affiliates of the holder, or as part of a distribution by the holder to its stockholders, controlled by, managing or managed by or under common control with the holder or an affiliate, or as part of a distribution, transfer, or disposition to partners, members, stockholders or other equity holders or to the estate thereof; (vi) transfers to us in connection with the vesting or settlement of restricted stock units or the “net” or “cashless” exercise of options, warrants or other rights to purchase shares of our Class A common stock pursuant to equity awards granted under an equity incentive plan, stock purchase plan or other equity award plan, provided that any shares of Class A common stock received by the holder upon such vesting, settlement or exercise shall otherwise remain subject to the lock-up period; (vii) transfers to us in connection with the repurchase of shares of our Class A common stock issued pursuant to equity awards granted under an equity incentive plan, stock purchase plan or other equity award plan provided that such repurchase is in connection with the termination of the holder’s relationship with us; (viii) transfers pursuant to a bona fide third-party tender offer, merger, consolidation or other similar transaction made to all holders of shares of Class A common stock involving a change of control that is approved by our board of directors or the majority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320" w:top="144" w:right="379" w:bottom="1440" w:gutter="0" w:footer="0" w:header="0"/>
        </w:sectPr>
      </w:pPr>
    </w:p>
    <w:bookmarkStart w:id="191" w:name="page192"/>
    <w:bookmarkEnd w:id="19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voting power of our outstanding capital stock, provided that, in the event that such tender offer, merger, consolidation or other similar transaction is not completed, the holder’s shares shall remain subject to the lock-up period; (ix) transfers in connection with the conversion or reclassification of our outstanding preferred stock or other capital stock, provided that any such shares of Class A Common Stock or securities convertible into or exchangeable for shares of Class A common stock received upon such conversion or reclassification shall remain subject to the lock-up period; (x) transfers by operation of law, such as pursuant to a qualified domestic order, divorce settlement, divorce settlement or other related court order and (xi) transfers to the underwriters pursuant to the terms of the underwriting agreement. Notwithstanding anything to the contrary above, in the case of clauses (i) through (iii) and (v) above, any such transfer shall not involve a disposition for value and the transferee shall agree to be subject to the lock-up period; in the case of (i) through (v) above, no filing under the Exchange Act or other public filing, report or announcement reporting a reduction in beneficial ownership of shares of Class A common stock shall be required or voluntarily made during the lock-up period; in the case of any transfers pursuant to clauses (vi), (vii), and (x) above, no filing under the Exchange Act or other public filing, report or announcement reporting a reduction in beneficial ownership of shares of Class A common stock shall be voluntarily made during the lock-up period and any filing that is required under the Exchange Act to be made during the lock-up period shall include a statement in such report to the effect that such transfer relates to the circumstances described in such clauses.</w:t>
      </w:r>
    </w:p>
    <w:p>
      <w:pPr>
        <w:spacing w:after="0" w:line="16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restrictions set forth above applicable to us are subject to certain exceptions, including with respect to: (i) the shares to be sold in this offering; (ii) any shares of Class A or Class B common stock issued upon the reclassification and exchange of common stock in connection with this offering outstanding on the date set forth on the cover page of this prospectus and as described in this prospectus; (iii) any shares of Class A or Class B common stock or any securities or other awards convertible into, exercisable for, or that represent the right to receive Class A or Class B common stock pursuant to our equity incentive plans or employee stock purchase plans that are described in this prospectus (the Company’s Plans) or otherwise in equity compensation arrangements described in this prospectus or any shares of Class A or Class B common stock issuable upon the conversion, exercise or settlement of such awards; (iv) any shares of Class A common stock issuable upon the conversion or exchange of convertible or exchangeable securities or the exercise of warrants or options (including net exercise, conversion or settlement and in respect of tax withholding payments due upon the exercise of options or the vesting of equity-based awards) or the settlement of RSUs or other equity awards (including net settlement and in respect of tax withholding payments), in each case outstanding on or prior to the date set forth on the cover page of this prospectus or as otherwise contemplated by any lock-up letter entered into in connection with this offering by our securityholders; (v) facilitating the establishment of a trading plan on behalf of a securityholder, officer or director of ours pursuant to Rule 10b5-1 under the Exchange Act; (vi) the entry into an agreement providing for the issuance by us of shares of Class A or Class B common stock or any security convertible into or exercisable for shares of Class A or Class B common stock in connection with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(vii) the entry into any agreement providing for the issuance of shares of Class A or Class B common stock or any security convertible into or exercisable for shares of Class A or Class B common stock in connection with joint ventures, commercial relationships or other strategic transactions, and the issuance of any such securities pursuant to any such agreement; (viii) the filing of any registration statement on Form S-8 or a successor form thereto relating to the resale of securities as contemplated by any lock-up letter signed in connection with this offering or the Company’s Plans or any assumed employee benefit plan contemplated by clause (vi); and (ix) up to 323,500 shares of Class A common stock to support organizations who are committed to helping people around the world access better educational opportunities (see “Business—People and Culture” for more information); provided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144" w:right="359" w:bottom="1440" w:gutter="0" w:footer="0" w:header="0"/>
        </w:sectPr>
      </w:pPr>
    </w:p>
    <w:bookmarkStart w:id="192" w:name="page193"/>
    <w:bookmarkEnd w:id="19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case of clauses (vi) and (vii), the aggregate number of shares of Class A and Class B common stock that we may sell or issue or agree to sell or issue pursuant to clauses (vi) and (vii) shall not exceed 10% of the total number of shares of Class A and Class B common stock issued and outstanding immediately following the completion of this offering; and provided further that, in the case of clauses (iii), (iv), (vi) and (vii), the recipient of such securities shall have executed a lock-up letter on or prior to the date of issuance of such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3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or</w:t>
      </w:r>
    </w:p>
    <w:p>
      <w:pPr>
        <w:spacing w:after="0" w:line="171"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Global Select Market during the four calendar weeks preceding the filing of a notice on Form 144 with respect to such sale.</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07"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144" w:right="359" w:bottom="1440" w:gutter="0" w:footer="0" w:header="0"/>
        </w:sectPr>
      </w:pPr>
    </w:p>
    <w:bookmarkStart w:id="193" w:name="page194"/>
    <w:bookmarkEnd w:id="19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our amended and restated investors’ rights agreement, the holders of up to 17,668,163 shares of our Class B common stock or their respective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of the shares of our Class A and Class B common stock issuable or reserved for issuance under our 2011 Plan, 2021 Plan, and ESPP. Shares covered by such registration statement will be eligible for sale in the public market, subject to the Rule 144 limitations and vesting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60"/>
          </w:cols>
          <w:pgMar w:left="320" w:top="144" w:right="419" w:bottom="1440" w:gutter="0" w:footer="0" w:header="0"/>
        </w:sectPr>
      </w:pPr>
    </w:p>
    <w:bookmarkStart w:id="194" w:name="page195"/>
    <w:bookmarkEnd w:id="19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39"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7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7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 w:right="339" w:bottom="1440" w:gutter="0" w:footer="0" w:header="0"/>
        </w:sectPr>
      </w:pPr>
    </w:p>
    <w:bookmarkStart w:id="195" w:name="page196"/>
    <w:bookmarkEnd w:id="19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Class A common stock and the partners in such partnerships should consult their tax advisors regarding the US federal income tax consequences to them.</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3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5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144" w:right="359" w:bottom="1440" w:gutter="0" w:footer="0" w:header="0"/>
        </w:sectPr>
      </w:pPr>
    </w:p>
    <w:bookmarkStart w:id="196" w:name="page197"/>
    <w:bookmarkEnd w:id="19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14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130" w:lineRule="exact"/>
        <w:rPr>
          <w:sz w:val="20"/>
          <w:szCs w:val="20"/>
          <w:color w:val="auto"/>
        </w:rPr>
      </w:pPr>
    </w:p>
    <w:p>
      <w:pPr>
        <w:ind w:left="660" w:hanging="328"/>
        <w:spacing w:after="0" w:line="256"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4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5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4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56" w:lineRule="exact"/>
        <w:rPr>
          <w:sz w:val="20"/>
          <w:szCs w:val="20"/>
          <w:color w:val="auto"/>
        </w:rPr>
      </w:pPr>
    </w:p>
    <w:p>
      <w:pPr>
        <w:ind w:right="380"/>
        <w:spacing w:after="0" w:line="446" w:lineRule="auto"/>
        <w:rPr>
          <w:sz w:val="20"/>
          <w:szCs w:val="20"/>
          <w:color w:val="auto"/>
        </w:rPr>
      </w:pPr>
      <w:r>
        <w:rPr>
          <w:rFonts w:ascii="Arial" w:cs="Arial" w:eastAsia="Arial" w:hAnsi="Arial"/>
          <w:sz w:val="18"/>
          <w:szCs w:val="18"/>
          <w:color w:val="auto"/>
        </w:rPr>
        <w:t xml:space="preserve">Non-US Holders should consult their tax advisors regarding potentially applicable income tax treaties that may provide for different rules. </w:t>
      </w:r>
      <w:r>
        <w:rPr>
          <w:rFonts w:ascii="Arial" w:cs="Arial" w:eastAsia="Arial" w:hAnsi="Arial"/>
          <w:sz w:val="18"/>
          <w:szCs w:val="18"/>
          <w:b w:val="1"/>
          <w:bCs w:val="1"/>
          <w:color w:val="auto"/>
        </w:rPr>
        <w:t>Information Reporting and Backup Withholding</w:t>
      </w:r>
    </w:p>
    <w:p>
      <w:pPr>
        <w:ind w:right="300"/>
        <w:spacing w:after="0" w:line="277"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4" w:right="359" w:bottom="1440" w:gutter="0" w:footer="0" w:header="0"/>
        </w:sectPr>
      </w:pPr>
    </w:p>
    <w:bookmarkStart w:id="197" w:name="page198"/>
    <w:bookmarkEnd w:id="19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w:t>
      </w:r>
    </w:p>
    <w:p>
      <w:pPr>
        <w:ind w:firstLine="8"/>
        <w:spacing w:after="0" w:line="267" w:lineRule="auto"/>
        <w:tabs>
          <w:tab w:leader="none" w:pos="2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6"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320" w:top="144" w:right="379" w:bottom="1440" w:gutter="0" w:footer="0" w:header="0"/>
        </w:sectPr>
      </w:pPr>
    </w:p>
    <w:bookmarkStart w:id="198" w:name="page199"/>
    <w:bookmarkEnd w:id="19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We, the selling stockholders and the underwriters named below have entered into an underwriting agreement with respect to the shares of our Class A common stock being offered. Subject to certain conditions, each underwriter has severally agreed to purchase the number of shares of our Class A common stock indicated in the following table. Goldman Sachs &amp; Co. LLC is acting as representative of the underwriters.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Underwriters</w:t>
            </w:r>
          </w:p>
        </w:tc>
        <w:tc>
          <w:tcPr>
            <w:tcW w:w="100" w:type="dxa"/>
            <w:vAlign w:val="bottom"/>
            <w:tcBorders>
              <w:bottom w:val="single" w:sz="8" w:color="DBDBDB"/>
            </w:tcBorders>
          </w:tcPr>
          <w:p>
            <w:pPr>
              <w:spacing w:after="0"/>
              <w:rPr>
                <w:sz w:val="16"/>
                <w:szCs w:val="16"/>
                <w:color w:val="auto"/>
              </w:rPr>
            </w:pPr>
          </w:p>
        </w:tc>
        <w:tc>
          <w:tcPr>
            <w:tcW w:w="1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 of Shares</w:t>
            </w:r>
          </w:p>
        </w:tc>
      </w:tr>
      <w:tr>
        <w:trPr>
          <w:trHeight w:val="223"/>
        </w:trPr>
        <w:tc>
          <w:tcPr>
            <w:tcW w:w="9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Goldman Sachs &amp; Co. LLC</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1,858,626</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Allen &amp; Company LLC</w:t>
            </w:r>
          </w:p>
        </w:tc>
        <w:tc>
          <w:tcPr>
            <w:tcW w:w="1560" w:type="dxa"/>
            <w:vAlign w:val="bottom"/>
          </w:tcPr>
          <w:p>
            <w:pPr>
              <w:jc w:val="right"/>
              <w:spacing w:after="0"/>
              <w:rPr>
                <w:sz w:val="20"/>
                <w:szCs w:val="20"/>
                <w:color w:val="auto"/>
              </w:rPr>
            </w:pPr>
            <w:r>
              <w:rPr>
                <w:rFonts w:ascii="Arial" w:cs="Arial" w:eastAsia="Arial" w:hAnsi="Arial"/>
                <w:sz w:val="18"/>
                <w:szCs w:val="18"/>
                <w:color w:val="auto"/>
              </w:rPr>
              <w:t>796,554</w:t>
            </w:r>
          </w:p>
        </w:tc>
      </w:tr>
      <w:tr>
        <w:trPr>
          <w:trHeight w:val="229"/>
        </w:trPr>
        <w:tc>
          <w:tcPr>
            <w:tcW w:w="9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BofA Securities, Inc.</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663,795</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Barclays Capital Inc.</w:t>
            </w:r>
          </w:p>
        </w:tc>
        <w:tc>
          <w:tcPr>
            <w:tcW w:w="1560" w:type="dxa"/>
            <w:vAlign w:val="bottom"/>
          </w:tcPr>
          <w:p>
            <w:pPr>
              <w:jc w:val="right"/>
              <w:spacing w:after="0"/>
              <w:rPr>
                <w:sz w:val="20"/>
                <w:szCs w:val="20"/>
                <w:color w:val="auto"/>
              </w:rPr>
            </w:pPr>
            <w:r>
              <w:rPr>
                <w:rFonts w:ascii="Arial" w:cs="Arial" w:eastAsia="Arial" w:hAnsi="Arial"/>
                <w:sz w:val="18"/>
                <w:szCs w:val="18"/>
                <w:color w:val="auto"/>
              </w:rPr>
              <w:t>459,550</w:t>
            </w:r>
          </w:p>
        </w:tc>
      </w:tr>
      <w:tr>
        <w:trPr>
          <w:trHeight w:val="230"/>
        </w:trPr>
        <w:tc>
          <w:tcPr>
            <w:tcW w:w="9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Evercore Group L.L.C.</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459,550</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William Blair &amp; Company, L.L.C.</w:t>
            </w:r>
          </w:p>
        </w:tc>
        <w:tc>
          <w:tcPr>
            <w:tcW w:w="1560" w:type="dxa"/>
            <w:vAlign w:val="bottom"/>
          </w:tcPr>
          <w:p>
            <w:pPr>
              <w:jc w:val="right"/>
              <w:spacing w:after="0"/>
              <w:rPr>
                <w:sz w:val="20"/>
                <w:szCs w:val="20"/>
                <w:color w:val="auto"/>
              </w:rPr>
            </w:pPr>
            <w:r>
              <w:rPr>
                <w:rFonts w:ascii="Arial" w:cs="Arial" w:eastAsia="Arial" w:hAnsi="Arial"/>
                <w:sz w:val="18"/>
                <w:szCs w:val="18"/>
                <w:color w:val="auto"/>
              </w:rPr>
              <w:t>255,306</w:t>
            </w:r>
          </w:p>
        </w:tc>
      </w:tr>
      <w:tr>
        <w:trPr>
          <w:trHeight w:val="229"/>
        </w:trPr>
        <w:tc>
          <w:tcPr>
            <w:tcW w:w="9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KeyBanc Capital Markets Inc.</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153,183</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JMP Securities LLC</w:t>
            </w:r>
          </w:p>
        </w:tc>
        <w:tc>
          <w:tcPr>
            <w:tcW w:w="1560" w:type="dxa"/>
            <w:vAlign w:val="bottom"/>
          </w:tcPr>
          <w:p>
            <w:pPr>
              <w:jc w:val="right"/>
              <w:spacing w:after="0"/>
              <w:rPr>
                <w:sz w:val="20"/>
                <w:szCs w:val="20"/>
                <w:color w:val="auto"/>
              </w:rPr>
            </w:pPr>
            <w:r>
              <w:rPr>
                <w:rFonts w:ascii="Arial" w:cs="Arial" w:eastAsia="Arial" w:hAnsi="Arial"/>
                <w:sz w:val="18"/>
                <w:szCs w:val="18"/>
                <w:color w:val="auto"/>
              </w:rPr>
              <w:t>153,183</w:t>
            </w:r>
          </w:p>
        </w:tc>
      </w:tr>
      <w:tr>
        <w:trPr>
          <w:trHeight w:val="229"/>
        </w:trPr>
        <w:tc>
          <w:tcPr>
            <w:tcW w:w="9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Piper Sandler &amp; Co.</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153,183</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Raymond James &amp; Associates, Inc.</w:t>
            </w:r>
          </w:p>
        </w:tc>
        <w:tc>
          <w:tcPr>
            <w:tcW w:w="1560" w:type="dxa"/>
            <w:vAlign w:val="bottom"/>
          </w:tcPr>
          <w:p>
            <w:pPr>
              <w:jc w:val="right"/>
              <w:spacing w:after="0"/>
              <w:rPr>
                <w:sz w:val="20"/>
                <w:szCs w:val="20"/>
                <w:color w:val="auto"/>
              </w:rPr>
            </w:pPr>
            <w:r>
              <w:rPr>
                <w:rFonts w:ascii="Arial" w:cs="Arial" w:eastAsia="Arial" w:hAnsi="Arial"/>
                <w:sz w:val="18"/>
                <w:szCs w:val="18"/>
                <w:color w:val="auto"/>
              </w:rPr>
              <w:t>153,183</w:t>
            </w:r>
          </w:p>
        </w:tc>
      </w:tr>
      <w:tr>
        <w:trPr>
          <w:trHeight w:val="254"/>
        </w:trPr>
        <w:tc>
          <w:tcPr>
            <w:tcW w:w="96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5,106,113</w:t>
            </w:r>
          </w:p>
        </w:tc>
      </w:tr>
      <w:tr>
        <w:trPr>
          <w:trHeight w:val="20"/>
        </w:trPr>
        <w:tc>
          <w:tcPr>
            <w:tcW w:w="95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underwriters are committed to take and pay for all of the shares of our Class A common stock being offered, if any are taken, other than the shares covered by the option described below unless and until this option is exercised.</w:t>
      </w:r>
    </w:p>
    <w:p>
      <w:pPr>
        <w:spacing w:after="0" w:line="14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underwriters have an option to buy up to an additional 765,916 shares of our Class A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 company and the selling stockholders. Such amounts are shown assuming both no exercise and full exercise of the underwriters’ option to purchase 765,916 additional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Paid by 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79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Per Share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5.814</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21,511,800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25,964,836</w:t>
            </w: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Paid by the Selling Stockholders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8"/>
        </w:trPr>
        <w:tc>
          <w:tcPr>
            <w:tcW w:w="258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24"/>
                <w:szCs w:val="2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79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Per Share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5.814</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8,175,141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8,175,141</w:t>
            </w:r>
          </w:p>
        </w:tc>
      </w:tr>
    </w:tbl>
    <w:p>
      <w:pPr>
        <w:spacing w:after="0" w:line="269"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$3.4884 per share from the initial public offering price. After the initial offering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 w:right="339" w:bottom="1440" w:gutter="0" w:footer="0" w:header="0"/>
        </w:sectPr>
      </w:pPr>
    </w:p>
    <w:bookmarkStart w:id="199" w:name="page200"/>
    <w:bookmarkEnd w:id="19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currently anticipate that up to 1% of the shares of Class A common stock offered hereby will, at our request, be offered to retail investors through Robinhood Financial, LLC, as a selling group member, via its online brokerage platform. Robinhood Financial is not affiliated with the company. Purchases through the Robinhood platform will be subject to the terms, conditions and requirements set by Robinhood. Any purchase of our Class A common stock in this offering through the Robinhood platform will be at the same initial public offering price, and at the same time, as any other purchases in this offering, including purchases by institutions and other large investors. The Robinhood platform and information on the Robinhood application do not form a part of this prospectus.</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except with the prior written consent of Goldman Sachs &amp; Co. LLC. See “Shares Eligible for Future Sale” for a discussion of certain early release and other exceptions and transfer restrictions.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Prior to the offering, there has been no public market for shares of our Class A common stock. The initial public offering price has been negotiated among the company and the representative.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has been approved for listing on the Nasdaq Global Select Market under the symbol “DUOL.”</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320" w:top="144" w:right="359" w:bottom="1440" w:gutter="0" w:footer="0" w:header="0"/>
        </w:sectPr>
      </w:pPr>
    </w:p>
    <w:bookmarkStart w:id="200" w:name="page201"/>
    <w:bookmarkEnd w:id="20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sold by or for the account of such underwriter in stabilizing or short covering transactions.</w:t>
      </w:r>
    </w:p>
    <w:p>
      <w:pPr>
        <w:spacing w:after="0" w:line="1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shares of our Class A common stock, and together with the imposition of the penalty bid, may stabilize, maintain or otherwise affect the market price of the shares. As a result, the price of the shares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$4.0 million. We will reimburse the underwriters for their expenses related to the review of this offering by the Financial Industry Regulatory Authority, Inc. (FINRA) in an amount up to $40,000. In accordance with FINRA Rule 5110, this reimbursed fee is deemed underwriting compensation for this offering. In addition, the underwriters are expected to reimburse us for up to approximately $1.3 million (or $1.5 million if the underwriters exercise their option to purchase additional shares of Class A common stock in full) of our expenses in connection with this offering.</w:t>
      </w:r>
    </w:p>
    <w:p>
      <w:pPr>
        <w:spacing w:after="0" w:line="1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of 1933.</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One of the underwriters and its employees will have an indirect economic interest in approximately 3,438 shares of our Class B common stock received upon the automatic conversion of shares of our preferred stock originally acquired in a private placement. The difference between the price paid for such shares in the private placement and the public offering price in this offering will be deemed to be underwriting compensation in connection with this offering.</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relation to each EEA Member State (each a Relevant Member State), no shares of our Class A common stock have been offered or will be offered pursuant to the offering to the public in that Relevant Member State prior to the publication of a prospectus in relation to the shares which has been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4" w:right="359" w:bottom="1440" w:gutter="0" w:footer="0" w:header="0"/>
        </w:sectPr>
      </w:pPr>
    </w:p>
    <w:bookmarkStart w:id="201" w:name="page202"/>
    <w:bookmarkEnd w:id="20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36"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left="340" w:right="480"/>
        <w:spacing w:after="0" w:line="256" w:lineRule="auto"/>
        <w:rPr>
          <w:sz w:val="20"/>
          <w:szCs w:val="20"/>
          <w:color w:val="auto"/>
        </w:rPr>
      </w:pPr>
      <w:r>
        <w:rPr>
          <w:rFonts w:ascii="Arial" w:cs="Arial" w:eastAsia="Arial" w:hAnsi="Arial"/>
          <w:sz w:val="18"/>
          <w:szCs w:val="18"/>
          <w:color w:val="auto"/>
        </w:rPr>
        <w:t>provided that no such offer of the shares shall require the company and/or selling stockholders or any underwriters to publish a prospectus pursuant to Article 3 of the Prospectus Regulation or supplement a prospectus pursuant to Article 23 of the Prospectus Regulation.</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136"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171" w:lineRule="exact"/>
        <w:rPr>
          <w:rFonts w:ascii="Arial" w:cs="Arial" w:eastAsia="Arial" w:hAnsi="Arial"/>
          <w:sz w:val="18"/>
          <w:szCs w:val="18"/>
          <w:color w:val="auto"/>
        </w:rPr>
      </w:pPr>
    </w:p>
    <w:p>
      <w:pPr>
        <w:ind w:left="660" w:right="20" w:hanging="328"/>
        <w:spacing w:after="0" w:line="252" w:lineRule="auto"/>
        <w:tabs>
          <w:tab w:leader="none" w:pos="6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66"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shares in the offering.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320" w:top="144" w:right="399" w:bottom="1440" w:gutter="0" w:footer="0" w:header="0"/>
        </w:sectPr>
      </w:pPr>
    </w:p>
    <w:bookmarkStart w:id="202" w:name="page203"/>
    <w:bookmarkEnd w:id="20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36"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right="1000" w:hanging="328"/>
        <w:spacing w:after="0" w:line="261" w:lineRule="auto"/>
        <w:tabs>
          <w:tab w:leader="none" w:pos="6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provided that no such offer of the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5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Each person in the UK who acquires any shares in the offering or to whom any offer is made will be deemed to have represented, acknowledged and agreed to and with the company, the underwriters and their affiliates that it meets the criteria outlined in this section.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document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144" w:right="359" w:bottom="1440" w:gutter="0" w:footer="0" w:header="0"/>
        </w:sectPr>
      </w:pPr>
    </w:p>
    <w:bookmarkStart w:id="203" w:name="page204"/>
    <w:bookmarkEnd w:id="20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07"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6"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w:t>
      </w:r>
    </w:p>
    <w:p>
      <w:pPr>
        <w:spacing w:after="0" w:line="3" w:lineRule="exact"/>
        <w:rPr>
          <w:sz w:val="20"/>
          <w:szCs w:val="20"/>
          <w:color w:val="auto"/>
        </w:rPr>
      </w:pPr>
    </w:p>
    <w:p>
      <w:pPr>
        <w:ind w:right="20" w:firstLine="8"/>
        <w:spacing w:after="0" w:line="269" w:lineRule="auto"/>
        <w:tabs>
          <w:tab w:leader="none" w:pos="27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 w:right="339" w:bottom="1440" w:gutter="0" w:footer="0" w:header="0"/>
        </w:sectPr>
      </w:pPr>
    </w:p>
    <w:bookmarkStart w:id="204" w:name="page205"/>
    <w:bookmarkEnd w:id="20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80"/>
          </w:cols>
          <w:pgMar w:left="320" w:top="144" w:right="399" w:bottom="1440" w:gutter="0" w:footer="0" w:header="0"/>
        </w:sectPr>
      </w:pPr>
    </w:p>
    <w:bookmarkStart w:id="205" w:name="page206"/>
    <w:bookmarkEnd w:id="20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0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Menlo Park, California. Skadden, Arps, Slate, Meagher &amp; Flom LLP, New York, New York, has acted as counsel for the underwriters in connection with certain legal matters related to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financial statements as of December 31, 2020 and 2019, and for each of the two years in the period ended December 31, 2020, included in this registration statement,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www.Duolingo.com,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144" w:right="359" w:bottom="1440" w:gutter="0" w:footer="0" w:header="0"/>
        </w:sectPr>
      </w:pPr>
    </w:p>
    <w:bookmarkStart w:id="206" w:name="page207"/>
    <w:bookmarkEnd w:id="20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Audited Consolidated Financial Statements as of December 31, 2020 and 2019 and for the two years then ended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top w:val="single" w:sz="8" w:color="auto"/>
            </w:tcBorders>
          </w:tcPr>
          <w:p>
            <w:pPr>
              <w:spacing w:after="0"/>
              <w:rPr>
                <w:sz w:val="21"/>
                <w:szCs w:val="21"/>
                <w:color w:val="auto"/>
              </w:rPr>
            </w:pPr>
          </w:p>
        </w:tc>
        <w:tc>
          <w:tcPr>
            <w:tcW w:w="8400" w:type="dxa"/>
            <w:vAlign w:val="bottom"/>
            <w:tcBorders>
              <w:top w:val="single" w:sz="8" w:color="auto"/>
            </w:tcBorders>
            <w:gridSpan w:val="7"/>
          </w:tcPr>
          <w:p>
            <w:pPr>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8400" w:type="dxa"/>
            <w:vAlign w:val="bottom"/>
            <w:gridSpan w:val="7"/>
          </w:tcPr>
          <w:p>
            <w:pPr>
              <w:spacing w:after="0" w:line="180" w:lineRule="exact"/>
              <w:rPr>
                <w:rFonts w:ascii="Arial" w:cs="Arial" w:eastAsia="Arial" w:hAnsi="Arial"/>
                <w:sz w:val="18"/>
                <w:szCs w:val="18"/>
                <w:color w:val="0000FF"/>
              </w:rPr>
            </w:pPr>
            <w:hyperlink w:anchor="page207">
              <w:r>
                <w:rPr>
                  <w:rFonts w:ascii="Arial" w:cs="Arial" w:eastAsia="Arial" w:hAnsi="Arial"/>
                  <w:sz w:val="18"/>
                  <w:szCs w:val="18"/>
                  <w:color w:val="0000FF"/>
                </w:rPr>
                <w:t>Report of Independent Registered Public Accounting Firm</w:t>
              </w:r>
            </w:hyperlink>
          </w:p>
        </w:tc>
        <w:tc>
          <w:tcPr>
            <w:tcW w:w="2820" w:type="dxa"/>
            <w:vAlign w:val="bottom"/>
            <w:gridSpan w:val="3"/>
          </w:tcPr>
          <w:p>
            <w:pPr>
              <w:ind w:left="1880"/>
              <w:spacing w:after="0" w:line="180" w:lineRule="exact"/>
              <w:rPr>
                <w:rFonts w:ascii="Arial" w:cs="Arial" w:eastAsia="Arial" w:hAnsi="Arial"/>
                <w:sz w:val="18"/>
                <w:szCs w:val="18"/>
                <w:color w:val="0000FF"/>
              </w:rPr>
            </w:pPr>
            <w:hyperlink w:anchor="page207">
              <w:r>
                <w:rPr>
                  <w:rFonts w:ascii="Arial" w:cs="Arial" w:eastAsia="Arial" w:hAnsi="Arial"/>
                  <w:sz w:val="18"/>
                  <w:szCs w:val="18"/>
                  <w:color w:val="0000FF"/>
                </w:rPr>
                <w:t>F-2</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4"/>
          </w:tcPr>
          <w:p>
            <w:pPr>
              <w:spacing w:after="0"/>
              <w:rPr>
                <w:rFonts w:ascii="Arial" w:cs="Arial" w:eastAsia="Arial" w:hAnsi="Arial"/>
                <w:sz w:val="18"/>
                <w:szCs w:val="18"/>
                <w:color w:val="0000FF"/>
              </w:rPr>
            </w:pPr>
            <w:hyperlink w:anchor="page208">
              <w:r>
                <w:rPr>
                  <w:rFonts w:ascii="Arial" w:cs="Arial" w:eastAsia="Arial" w:hAnsi="Arial"/>
                  <w:sz w:val="18"/>
                  <w:szCs w:val="18"/>
                  <w:color w:val="0000FF"/>
                </w:rPr>
                <w:t>Consolidated Balance Sheets</w:t>
              </w:r>
            </w:hyperlink>
          </w:p>
        </w:tc>
        <w:tc>
          <w:tcPr>
            <w:tcW w:w="3800" w:type="dxa"/>
            <w:vAlign w:val="bottom"/>
            <w:gridSpan w:val="3"/>
          </w:tcPr>
          <w:p>
            <w:pPr>
              <w:spacing w:after="0"/>
              <w:rPr>
                <w:sz w:val="18"/>
                <w:szCs w:val="18"/>
                <w:color w:val="auto"/>
              </w:rPr>
            </w:pPr>
          </w:p>
        </w:tc>
        <w:tc>
          <w:tcPr>
            <w:tcW w:w="2820" w:type="dxa"/>
            <w:vAlign w:val="bottom"/>
            <w:gridSpan w:val="3"/>
          </w:tcPr>
          <w:p>
            <w:pPr>
              <w:ind w:left="1880"/>
              <w:spacing w:after="0"/>
              <w:rPr>
                <w:rFonts w:ascii="Arial" w:cs="Arial" w:eastAsia="Arial" w:hAnsi="Arial"/>
                <w:sz w:val="18"/>
                <w:szCs w:val="18"/>
                <w:color w:val="0000FF"/>
              </w:rPr>
            </w:pPr>
            <w:hyperlink w:anchor="page208">
              <w:r>
                <w:rPr>
                  <w:rFonts w:ascii="Arial" w:cs="Arial" w:eastAsia="Arial" w:hAnsi="Arial"/>
                  <w:sz w:val="18"/>
                  <w:szCs w:val="18"/>
                  <w:color w:val="0000FF"/>
                </w:rPr>
                <w:t>F-3</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5"/>
          </w:tcPr>
          <w:p>
            <w:pPr>
              <w:spacing w:after="0"/>
              <w:rPr>
                <w:rFonts w:ascii="Arial" w:cs="Arial" w:eastAsia="Arial" w:hAnsi="Arial"/>
                <w:sz w:val="18"/>
                <w:szCs w:val="18"/>
                <w:color w:val="0000FF"/>
                <w:w w:val="99"/>
              </w:rPr>
            </w:pPr>
            <w:hyperlink w:anchor="page209">
              <w:r>
                <w:rPr>
                  <w:rFonts w:ascii="Arial" w:cs="Arial" w:eastAsia="Arial" w:hAnsi="Arial"/>
                  <w:sz w:val="18"/>
                  <w:szCs w:val="18"/>
                  <w:color w:val="0000FF"/>
                  <w:w w:val="99"/>
                </w:rPr>
                <w:t>Consolidated Statements of Operations and Comprehensive Loss</w:t>
              </w:r>
            </w:hyperlink>
          </w:p>
        </w:tc>
        <w:tc>
          <w:tcPr>
            <w:tcW w:w="3160" w:type="dxa"/>
            <w:vAlign w:val="bottom"/>
            <w:gridSpan w:val="2"/>
          </w:tcPr>
          <w:p>
            <w:pPr>
              <w:spacing w:after="0"/>
              <w:rPr>
                <w:sz w:val="18"/>
                <w:szCs w:val="18"/>
                <w:color w:val="auto"/>
              </w:rPr>
            </w:pPr>
          </w:p>
        </w:tc>
        <w:tc>
          <w:tcPr>
            <w:tcW w:w="2820" w:type="dxa"/>
            <w:vAlign w:val="bottom"/>
            <w:gridSpan w:val="3"/>
          </w:tcPr>
          <w:p>
            <w:pPr>
              <w:ind w:left="1880"/>
              <w:spacing w:after="0"/>
              <w:rPr>
                <w:rFonts w:ascii="Arial" w:cs="Arial" w:eastAsia="Arial" w:hAnsi="Arial"/>
                <w:sz w:val="18"/>
                <w:szCs w:val="18"/>
                <w:color w:val="0000FF"/>
              </w:rPr>
            </w:pPr>
            <w:hyperlink w:anchor="page209">
              <w:r>
                <w:rPr>
                  <w:rFonts w:ascii="Arial" w:cs="Arial" w:eastAsia="Arial" w:hAnsi="Arial"/>
                  <w:sz w:val="18"/>
                  <w:szCs w:val="18"/>
                  <w:color w:val="0000FF"/>
                </w:rPr>
                <w:t>F-4</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7"/>
          </w:tcPr>
          <w:p>
            <w:pPr>
              <w:spacing w:after="0"/>
              <w:rPr>
                <w:rFonts w:ascii="Arial" w:cs="Arial" w:eastAsia="Arial" w:hAnsi="Arial"/>
                <w:sz w:val="18"/>
                <w:szCs w:val="18"/>
                <w:color w:val="0000FF"/>
              </w:rPr>
            </w:pPr>
            <w:hyperlink w:anchor="page210">
              <w:r>
                <w:rPr>
                  <w:rFonts w:ascii="Arial" w:cs="Arial" w:eastAsia="Arial" w:hAnsi="Arial"/>
                  <w:sz w:val="18"/>
                  <w:szCs w:val="18"/>
                  <w:color w:val="0000FF"/>
                </w:rPr>
                <w:t>Consolidated Statements of Convertible Preferred Stock and Stockholders' Deficit</w:t>
              </w:r>
            </w:hyperlink>
          </w:p>
        </w:tc>
        <w:tc>
          <w:tcPr>
            <w:tcW w:w="2820" w:type="dxa"/>
            <w:vAlign w:val="bottom"/>
            <w:gridSpan w:val="3"/>
          </w:tcPr>
          <w:p>
            <w:pPr>
              <w:ind w:left="1880"/>
              <w:spacing w:after="0"/>
              <w:rPr>
                <w:rFonts w:ascii="Arial" w:cs="Arial" w:eastAsia="Arial" w:hAnsi="Arial"/>
                <w:sz w:val="18"/>
                <w:szCs w:val="18"/>
                <w:color w:val="0000FF"/>
              </w:rPr>
            </w:pPr>
            <w:hyperlink w:anchor="page210">
              <w:r>
                <w:rPr>
                  <w:rFonts w:ascii="Arial" w:cs="Arial" w:eastAsia="Arial" w:hAnsi="Arial"/>
                  <w:sz w:val="18"/>
                  <w:szCs w:val="18"/>
                  <w:color w:val="0000FF"/>
                </w:rPr>
                <w:t>F-5</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gridSpan w:val="6"/>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Consolidated Statements of Cash Flows</w:t>
              </w:r>
            </w:hyperlink>
          </w:p>
        </w:tc>
        <w:tc>
          <w:tcPr>
            <w:tcW w:w="1900" w:type="dxa"/>
            <w:vAlign w:val="bottom"/>
          </w:tcPr>
          <w:p>
            <w:pPr>
              <w:spacing w:after="0"/>
              <w:rPr>
                <w:sz w:val="18"/>
                <w:szCs w:val="18"/>
                <w:color w:val="auto"/>
              </w:rPr>
            </w:pPr>
          </w:p>
        </w:tc>
        <w:tc>
          <w:tcPr>
            <w:tcW w:w="2820" w:type="dxa"/>
            <w:vAlign w:val="bottom"/>
            <w:gridSpan w:val="3"/>
          </w:tcPr>
          <w:p>
            <w:pPr>
              <w:ind w:left="1880"/>
              <w:spacing w:after="0"/>
              <w:rPr>
                <w:rFonts w:ascii="Arial" w:cs="Arial" w:eastAsia="Arial" w:hAnsi="Arial"/>
                <w:sz w:val="18"/>
                <w:szCs w:val="18"/>
                <w:color w:val="0000FF"/>
              </w:rPr>
            </w:pPr>
            <w:hyperlink w:anchor="page211">
              <w:r>
                <w:rPr>
                  <w:rFonts w:ascii="Arial" w:cs="Arial" w:eastAsia="Arial" w:hAnsi="Arial"/>
                  <w:sz w:val="18"/>
                  <w:szCs w:val="18"/>
                  <w:color w:val="0000FF"/>
                </w:rPr>
                <w:t>F-6</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gridSpan w:val="7"/>
          </w:tcPr>
          <w:p>
            <w:pPr>
              <w:spacing w:after="0"/>
              <w:rPr>
                <w:rFonts w:ascii="Arial" w:cs="Arial" w:eastAsia="Arial" w:hAnsi="Arial"/>
                <w:sz w:val="18"/>
                <w:szCs w:val="18"/>
                <w:color w:val="0000FF"/>
              </w:rPr>
            </w:pPr>
            <w:hyperlink w:anchor="page212">
              <w:r>
                <w:rPr>
                  <w:rFonts w:ascii="Arial" w:cs="Arial" w:eastAsia="Arial" w:hAnsi="Arial"/>
                  <w:sz w:val="18"/>
                  <w:szCs w:val="18"/>
                  <w:color w:val="0000FF"/>
                </w:rPr>
                <w:t>Notes to the Consolidated Financial Statements</w:t>
              </w:r>
            </w:hyperlink>
          </w:p>
        </w:tc>
        <w:tc>
          <w:tcPr>
            <w:tcW w:w="2820" w:type="dxa"/>
            <w:vAlign w:val="bottom"/>
            <w:gridSpan w:val="3"/>
          </w:tcPr>
          <w:p>
            <w:pPr>
              <w:ind w:left="1880"/>
              <w:spacing w:after="0"/>
              <w:rPr>
                <w:rFonts w:ascii="Arial" w:cs="Arial" w:eastAsia="Arial" w:hAnsi="Arial"/>
                <w:sz w:val="18"/>
                <w:szCs w:val="18"/>
                <w:color w:val="0000FF"/>
              </w:rPr>
            </w:pPr>
            <w:hyperlink w:anchor="page212">
              <w:r>
                <w:rPr>
                  <w:rFonts w:ascii="Arial" w:cs="Arial" w:eastAsia="Arial" w:hAnsi="Arial"/>
                  <w:sz w:val="18"/>
                  <w:szCs w:val="18"/>
                  <w:color w:val="0000FF"/>
                </w:rPr>
                <w:t>F-7</w:t>
              </w:r>
            </w:hyperlink>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Index to the Unaudited Interim Condensed Consolidated Financial Statements as of March 31, 2021 and for the three months ended March 31, 2020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320" w:type="dxa"/>
            <w:vAlign w:val="bottom"/>
            <w:gridSpan w:val="6"/>
          </w:tcPr>
          <w:p>
            <w:pPr>
              <w:spacing w:after="0"/>
              <w:rPr>
                <w:rFonts w:ascii="Arial" w:cs="Arial" w:eastAsia="Arial" w:hAnsi="Arial"/>
                <w:sz w:val="18"/>
                <w:szCs w:val="18"/>
                <w:color w:val="0000FF"/>
              </w:rPr>
            </w:pPr>
            <w:hyperlink w:anchor="page232">
              <w:r>
                <w:rPr>
                  <w:rFonts w:ascii="Arial" w:cs="Arial" w:eastAsia="Arial" w:hAnsi="Arial"/>
                  <w:sz w:val="18"/>
                  <w:szCs w:val="18"/>
                  <w:color w:val="0000FF"/>
                </w:rPr>
                <w:t>Unaudited Condensed Consolidated Balance Sheets</w:t>
              </w:r>
            </w:hyperlink>
          </w:p>
        </w:tc>
        <w:tc>
          <w:tcPr>
            <w:tcW w:w="1900" w:type="dxa"/>
            <w:vAlign w:val="bottom"/>
            <w:gridSpan w:val="3"/>
          </w:tcPr>
          <w:p>
            <w:pPr>
              <w:ind w:left="960"/>
              <w:spacing w:after="0"/>
              <w:rPr>
                <w:rFonts w:ascii="Arial" w:cs="Arial" w:eastAsia="Arial" w:hAnsi="Arial"/>
                <w:sz w:val="18"/>
                <w:szCs w:val="18"/>
                <w:color w:val="0000FF"/>
              </w:rPr>
            </w:pPr>
            <w:hyperlink w:anchor="page232">
              <w:r>
                <w:rPr>
                  <w:rFonts w:ascii="Arial" w:cs="Arial" w:eastAsia="Arial" w:hAnsi="Arial"/>
                  <w:sz w:val="18"/>
                  <w:szCs w:val="18"/>
                  <w:color w:val="0000FF"/>
                </w:rPr>
                <w:t>F-26</w:t>
              </w:r>
            </w:hyperlink>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4"/>
          </w:tcPr>
          <w:p>
            <w:pPr>
              <w:spacing w:after="0"/>
              <w:rPr>
                <w:rFonts w:ascii="Arial" w:cs="Arial" w:eastAsia="Arial" w:hAnsi="Arial"/>
                <w:sz w:val="18"/>
                <w:szCs w:val="18"/>
                <w:color w:val="0000FF"/>
                <w:w w:val="99"/>
              </w:rPr>
            </w:pPr>
            <w:hyperlink w:anchor="page232">
              <w:r>
                <w:rPr>
                  <w:rFonts w:ascii="Arial" w:cs="Arial" w:eastAsia="Arial" w:hAnsi="Arial"/>
                  <w:sz w:val="18"/>
                  <w:szCs w:val="18"/>
                  <w:color w:val="0000FF"/>
                  <w:w w:val="99"/>
                </w:rPr>
                <w:t>Unaudited Condensed Consolidated Statements of Operations and Comprehensive Loss</w:t>
              </w:r>
            </w:hyperlink>
          </w:p>
        </w:tc>
        <w:tc>
          <w:tcPr>
            <w:tcW w:w="2240" w:type="dxa"/>
            <w:vAlign w:val="bottom"/>
            <w:gridSpan w:val="2"/>
          </w:tcPr>
          <w:p>
            <w:pPr>
              <w:spacing w:after="0"/>
              <w:rPr>
                <w:sz w:val="18"/>
                <w:szCs w:val="18"/>
                <w:color w:val="auto"/>
              </w:rPr>
            </w:pPr>
          </w:p>
        </w:tc>
        <w:tc>
          <w:tcPr>
            <w:tcW w:w="1900" w:type="dxa"/>
            <w:vAlign w:val="bottom"/>
            <w:gridSpan w:val="3"/>
          </w:tcPr>
          <w:p>
            <w:pPr>
              <w:ind w:left="960"/>
              <w:spacing w:after="0"/>
              <w:rPr>
                <w:rFonts w:ascii="Arial" w:cs="Arial" w:eastAsia="Arial" w:hAnsi="Arial"/>
                <w:sz w:val="18"/>
                <w:szCs w:val="18"/>
                <w:color w:val="0000FF"/>
              </w:rPr>
            </w:pPr>
            <w:hyperlink w:anchor="page208">
              <w:r>
                <w:rPr>
                  <w:rFonts w:ascii="Arial" w:cs="Arial" w:eastAsia="Arial" w:hAnsi="Arial"/>
                  <w:sz w:val="18"/>
                  <w:szCs w:val="18"/>
                  <w:color w:val="0000FF"/>
                </w:rPr>
                <w:t>F-</w:t>
              </w:r>
            </w:hyperlink>
            <w:hyperlink w:anchor="page232">
              <w:r>
                <w:rPr>
                  <w:rFonts w:ascii="Arial" w:cs="Arial" w:eastAsia="Arial" w:hAnsi="Arial"/>
                  <w:sz w:val="18"/>
                  <w:szCs w:val="18"/>
                  <w:color w:val="0000FF"/>
                </w:rPr>
                <w:t>27</w:t>
              </w:r>
            </w:hyperlink>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gridSpan w:val="6"/>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Unaudited Condensed Consolidated Statements of Convertible Preferred Stock and Stockholders' Deficit</w:t>
              </w:r>
            </w:hyperlink>
          </w:p>
        </w:tc>
        <w:tc>
          <w:tcPr>
            <w:tcW w:w="1900" w:type="dxa"/>
            <w:vAlign w:val="bottom"/>
            <w:gridSpan w:val="3"/>
          </w:tcPr>
          <w:p>
            <w:pPr>
              <w:ind w:left="960"/>
              <w:spacing w:after="0"/>
              <w:rPr>
                <w:rFonts w:ascii="Arial" w:cs="Arial" w:eastAsia="Arial" w:hAnsi="Arial"/>
                <w:sz w:val="18"/>
                <w:szCs w:val="18"/>
                <w:color w:val="0000FF"/>
              </w:rPr>
            </w:pPr>
            <w:hyperlink w:anchor="page210">
              <w:r>
                <w:rPr>
                  <w:rFonts w:ascii="Arial" w:cs="Arial" w:eastAsia="Arial" w:hAnsi="Arial"/>
                  <w:sz w:val="18"/>
                  <w:szCs w:val="18"/>
                  <w:color w:val="0000FF"/>
                </w:rPr>
                <w:t>F-</w:t>
              </w:r>
            </w:hyperlink>
            <w:hyperlink w:anchor="page233">
              <w:r>
                <w:rPr>
                  <w:rFonts w:ascii="Arial" w:cs="Arial" w:eastAsia="Arial" w:hAnsi="Arial"/>
                  <w:sz w:val="18"/>
                  <w:szCs w:val="18"/>
                  <w:color w:val="0000FF"/>
                </w:rPr>
                <w:t>28</w:t>
              </w:r>
            </w:hyperlink>
          </w:p>
        </w:tc>
      </w:tr>
      <w:tr>
        <w:trPr>
          <w:trHeight w:val="20"/>
        </w:trPr>
        <w:tc>
          <w:tcPr>
            <w:tcW w:w="2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gridSpan w:val="5"/>
          </w:tcPr>
          <w:p>
            <w:pPr>
              <w:spacing w:after="0"/>
              <w:rPr>
                <w:rFonts w:ascii="Arial" w:cs="Arial" w:eastAsia="Arial" w:hAnsi="Arial"/>
                <w:sz w:val="18"/>
                <w:szCs w:val="18"/>
                <w:color w:val="0000FF"/>
              </w:rPr>
            </w:pPr>
            <w:hyperlink w:anchor="page234">
              <w:r>
                <w:rPr>
                  <w:rFonts w:ascii="Arial" w:cs="Arial" w:eastAsia="Arial" w:hAnsi="Arial"/>
                  <w:sz w:val="18"/>
                  <w:szCs w:val="18"/>
                  <w:color w:val="0000FF"/>
                </w:rPr>
                <w:t>Unaudited Condensed Consolidated Statements of Cash Flows</w:t>
              </w:r>
            </w:hyperlink>
          </w:p>
        </w:tc>
        <w:tc>
          <w:tcPr>
            <w:tcW w:w="980" w:type="dxa"/>
            <w:vAlign w:val="bottom"/>
          </w:tcPr>
          <w:p>
            <w:pPr>
              <w:spacing w:after="0"/>
              <w:rPr>
                <w:sz w:val="18"/>
                <w:szCs w:val="18"/>
                <w:color w:val="auto"/>
              </w:rPr>
            </w:pPr>
          </w:p>
        </w:tc>
        <w:tc>
          <w:tcPr>
            <w:tcW w:w="1900" w:type="dxa"/>
            <w:vAlign w:val="bottom"/>
            <w:gridSpan w:val="3"/>
          </w:tcPr>
          <w:p>
            <w:pPr>
              <w:ind w:left="960"/>
              <w:spacing w:after="0"/>
              <w:rPr>
                <w:rFonts w:ascii="Arial" w:cs="Arial" w:eastAsia="Arial" w:hAnsi="Arial"/>
                <w:sz w:val="18"/>
                <w:szCs w:val="18"/>
                <w:color w:val="0000FF"/>
              </w:rPr>
            </w:pPr>
            <w:hyperlink w:anchor="page211">
              <w:r>
                <w:rPr>
                  <w:rFonts w:ascii="Arial" w:cs="Arial" w:eastAsia="Arial" w:hAnsi="Arial"/>
                  <w:sz w:val="18"/>
                  <w:szCs w:val="18"/>
                  <w:color w:val="0000FF"/>
                </w:rPr>
                <w:t>F-</w:t>
              </w:r>
            </w:hyperlink>
            <w:hyperlink w:anchor="page234">
              <w:r>
                <w:rPr>
                  <w:rFonts w:ascii="Arial" w:cs="Arial" w:eastAsia="Arial" w:hAnsi="Arial"/>
                  <w:sz w:val="18"/>
                  <w:szCs w:val="18"/>
                  <w:color w:val="0000FF"/>
                </w:rPr>
                <w:t>29</w:t>
              </w:r>
            </w:hyperlink>
          </w:p>
        </w:tc>
      </w:tr>
      <w:tr>
        <w:trPr>
          <w:trHeight w:val="20"/>
        </w:trPr>
        <w:tc>
          <w:tcPr>
            <w:tcW w:w="2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gridSpan w:val="6"/>
          </w:tcPr>
          <w:p>
            <w:pPr>
              <w:spacing w:after="0"/>
              <w:rPr>
                <w:rFonts w:ascii="Arial" w:cs="Arial" w:eastAsia="Arial" w:hAnsi="Arial"/>
                <w:sz w:val="18"/>
                <w:szCs w:val="18"/>
                <w:color w:val="0000FF"/>
              </w:rPr>
            </w:pPr>
            <w:hyperlink w:anchor="page235">
              <w:r>
                <w:rPr>
                  <w:rFonts w:ascii="Arial" w:cs="Arial" w:eastAsia="Arial" w:hAnsi="Arial"/>
                  <w:sz w:val="18"/>
                  <w:szCs w:val="18"/>
                  <w:color w:val="0000FF"/>
                </w:rPr>
                <w:t>Notes to the Unaudited Condensed Consolidated Financial Statements</w:t>
              </w:r>
            </w:hyperlink>
          </w:p>
        </w:tc>
        <w:tc>
          <w:tcPr>
            <w:tcW w:w="1900" w:type="dxa"/>
            <w:vAlign w:val="bottom"/>
            <w:gridSpan w:val="3"/>
          </w:tcPr>
          <w:p>
            <w:pPr>
              <w:ind w:left="960"/>
              <w:spacing w:after="0"/>
              <w:rPr>
                <w:rFonts w:ascii="Arial" w:cs="Arial" w:eastAsia="Arial" w:hAnsi="Arial"/>
                <w:sz w:val="18"/>
                <w:szCs w:val="18"/>
                <w:color w:val="0000FF"/>
              </w:rPr>
            </w:pPr>
            <w:hyperlink w:anchor="page212">
              <w:r>
                <w:rPr>
                  <w:rFonts w:ascii="Arial" w:cs="Arial" w:eastAsia="Arial" w:hAnsi="Arial"/>
                  <w:sz w:val="18"/>
                  <w:szCs w:val="18"/>
                  <w:color w:val="0000FF"/>
                </w:rPr>
                <w:t>F-</w:t>
              </w:r>
            </w:hyperlink>
            <w:hyperlink w:anchor="page235">
              <w:r>
                <w:rPr>
                  <w:rFonts w:ascii="Arial" w:cs="Arial" w:eastAsia="Arial" w:hAnsi="Arial"/>
                  <w:sz w:val="18"/>
                  <w:szCs w:val="18"/>
                  <w:color w:val="0000FF"/>
                </w:rPr>
                <w:t>30</w:t>
              </w:r>
            </w:hyperlink>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20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4" w:right="339" w:bottom="1440" w:gutter="0" w:footer="0" w:header="0"/>
        </w:sectPr>
      </w:pPr>
    </w:p>
    <w:bookmarkStart w:id="207" w:name="page208"/>
    <w:bookmarkEnd w:id="20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080"/>
        <w:spacing w:after="0" w:line="45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Duolingo,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audited the accompanying consolidated balance sheets of Duolingo, Inc. and subsidiaries (the “Company”) as of December 31, 2020 and 2019, the related consolidated statements of operations and comprehensive loss, convertible preferred stock and stockholders’ deficit, and cash flows, for the years ended December 31, 2020 and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ended December 31, 2020 and 2019,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0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As discussed in Notes 2 and 6 to the financial statements, the Company has changed its method of accounting for leases due to the adoption of Financial Accounting Standards Board Accounting Standards Update No. 2016-02, Leases (Topic 842), using the modified retrospective approach. Our opinion is not modified with respect to this matter.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144" w:right="399" w:bottom="1440" w:gutter="0" w:footer="0" w:header="0"/>
        </w:sectPr>
      </w:pPr>
    </w:p>
    <w:bookmarkStart w:id="208" w:name="page209"/>
    <w:bookmarkEnd w:id="20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59,843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78,923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8,073</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r>
      <w:tr>
        <w:trPr>
          <w:trHeight w:val="223"/>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 term obligation under operating leases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9,242</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73,821</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 (Note 10)</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Convertible preferred stock, $.0001 par value</w:t>
            </w:r>
            <w:r>
              <w:rPr>
                <w:rFonts w:ascii="Arial" w:cs="Arial" w:eastAsia="Arial" w:hAnsi="Arial"/>
                <w:sz w:val="18"/>
                <w:szCs w:val="18"/>
                <w:color w:val="auto"/>
              </w:rPr>
              <w:t>; 18,247 shares issued and outstanding at</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137,686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182,609</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2019 and 19,074 shares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deficit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$.0001 par value; 42,800 authorized shares; 12,406 issued and outstanding at</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2019 and 12,794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(83,976)</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 w:right="339" w:bottom="1440" w:gutter="0" w:footer="0" w:header="0"/>
        </w:sectPr>
      </w:pPr>
    </w:p>
    <w:bookmarkStart w:id="209" w:name="page210"/>
    <w:bookmarkEnd w:id="20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34,983</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43,713</w:t>
            </w:r>
          </w:p>
        </w:tc>
      </w:tr>
      <w:tr>
        <w:trPr>
          <w:trHeight w:val="229"/>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Impairment of capitalized software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64,148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131,720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(16,011)</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(15,708)</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(15,776)</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ind w:left="20"/>
              <w:spacing w:after="0" w:line="197" w:lineRule="exact"/>
              <w:rPr>
                <w:sz w:val="20"/>
                <w:szCs w:val="20"/>
                <w:color w:val="auto"/>
              </w:rPr>
            </w:pPr>
            <w:r>
              <w:rPr>
                <w:rFonts w:ascii="Arial" w:cs="Arial" w:eastAsia="Arial" w:hAnsi="Arial"/>
                <w:sz w:val="18"/>
                <w:szCs w:val="18"/>
                <w:color w:val="auto"/>
              </w:rPr>
              <w:t>Basic and diluted net loss per share attributable to common stockholders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 w:right="339" w:bottom="1440" w:gutter="0" w:footer="0" w:header="0"/>
        </w:sectPr>
      </w:pPr>
    </w:p>
    <w:bookmarkStart w:id="210" w:name="page211"/>
    <w:bookmarkEnd w:id="21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Convertible Preferred Stock</w:t>
            </w:r>
          </w:p>
        </w:tc>
        <w:tc>
          <w:tcPr>
            <w:tcW w:w="206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160" w:type="dxa"/>
            <w:vAlign w:val="bottom"/>
            <w:gridSpan w:val="6"/>
            <w:vMerge w:val="continue"/>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continue"/>
          </w:tcPr>
          <w:p>
            <w:pPr>
              <w:spacing w:after="0"/>
              <w:rPr>
                <w:sz w:val="11"/>
                <w:szCs w:val="11"/>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BALANCE—January 1, 2019</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17,489</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107,838</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12,110</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6,011</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(80,918)</w:t>
            </w:r>
          </w:p>
        </w:tc>
        <w:tc>
          <w:tcPr>
            <w:tcW w:w="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(74,906)</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Cumulative effect of adoption of ASC 842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88"/>
        </w:trPr>
        <w:tc>
          <w:tcPr>
            <w:tcW w:w="40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Issuance of Series F convertible preferred</w:t>
            </w: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0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stock, net $153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Borders>
              <w:right w:val="single" w:sz="8" w:color="auto"/>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94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29"/>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Common stock repurchased and retired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(95,003)</w:t>
            </w: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right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shd w:val="clear" w:color="auto" w:fill="DBDBDB"/>
          </w:tcPr>
          <w:p>
            <w:pPr>
              <w:ind w:left="180"/>
              <w:spacing w:after="0" w:line="155" w:lineRule="exact"/>
              <w:rPr>
                <w:sz w:val="20"/>
                <w:szCs w:val="20"/>
                <w:color w:val="auto"/>
              </w:rPr>
            </w:pPr>
            <w:r>
              <w:rPr>
                <w:rFonts w:ascii="Arial" w:cs="Arial" w:eastAsia="Arial" w:hAnsi="Arial"/>
                <w:sz w:val="17"/>
                <w:szCs w:val="17"/>
                <w:color w:val="auto"/>
              </w:rPr>
              <w:t>Issuance of Series G and H convertible</w:t>
            </w: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tcBorders>
              <w:right w:val="single" w:sz="8" w:color="auto"/>
            </w:tcBorders>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preferred stock, net $76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44,923</w:t>
            </w:r>
          </w:p>
        </w:tc>
        <w:tc>
          <w:tcPr>
            <w:tcW w:w="100" w:type="dxa"/>
            <w:vAlign w:val="bottom"/>
            <w:tcBorders>
              <w:right w:val="single" w:sz="8" w:color="auto"/>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94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29"/>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(15,776)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48"/>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BALANCE—December 31, 2020</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12,794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(110,779)</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(80,691)</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 w:right="339" w:bottom="1440" w:gutter="0" w:footer="0" w:header="0"/>
        </w:sectPr>
      </w:pPr>
    </w:p>
    <w:bookmarkStart w:id="211" w:name="page212"/>
    <w:bookmarkEnd w:id="21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79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Impairment of capitalized software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17,031</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Changes in:</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28,485</w:t>
            </w: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(10,445)</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Deferred cost of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6,213</w:t>
            </w:r>
          </w:p>
        </w:tc>
      </w:tr>
      <w:tr>
        <w:trPr>
          <w:trHeight w:val="230"/>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Noncurrent assets and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2,152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17,708</w:t>
            </w: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Maturities of investments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(3,376)</w:t>
            </w: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2,431</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(4,014)</w:t>
            </w: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Net proceeds from issuance of convertible preferred stock</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44,923</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30,970</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46,953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60,647</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 Beginning of year</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24,290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59,843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98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included in accrued expenses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 w:right="339" w:bottom="1440" w:gutter="0" w:footer="0" w:header="0"/>
        </w:sectPr>
      </w:pPr>
    </w:p>
    <w:bookmarkStart w:id="212" w:name="page213"/>
    <w:bookmarkEnd w:id="21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Duolingo, Inc. (the “Company”) was formed on August 18, 2011 and the Duolingo app was launched to the general public on June 19,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Pittsburgh, Pennsylvania.</w:t>
      </w:r>
    </w:p>
    <w:p>
      <w:pPr>
        <w:spacing w:after="0" w:line="18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subsidiaries over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control. All intercompany transactions and balances have been eliminated.</w:t>
      </w:r>
    </w:p>
    <w:p>
      <w:pPr>
        <w:spacing w:after="0" w:line="9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Consolidated Financial Statements have been prepared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(“GAAP”) from the Company’s accounting records and reflect the consolidated financial position and results of operations for the fiscal years ended December 31, 2019 and 2020. Unless otherwise specified, all dollar amounts in this section are presented in thousands.</w:t>
      </w:r>
    </w:p>
    <w:p>
      <w:pPr>
        <w:spacing w:after="0" w:line="107"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32"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w:t>
      </w:r>
    </w:p>
    <w:p>
      <w:pPr>
        <w:spacing w:after="0" w:line="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44" w:right="359" w:bottom="1440" w:gutter="0" w:footer="0" w:header="0"/>
        </w:sectPr>
      </w:pPr>
    </w:p>
    <w:bookmarkStart w:id="213" w:name="page214"/>
    <w:bookmarkEnd w:id="21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novel coronavirus, or COVID-19, pandemic has created, and may continue to create, significant uncertainty in macroeconomic conditions. The full extent to which the COVID-19 pandemic will directly or indirectly impact the global economy, the lasting social effects, and impact on the Company’s business, results of operations, and financial condition will depend on future developments that are highly uncertain and cannot be accurately predicted. As of the date of issuance of the financial statements, the Company is not aware of any specific event of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 As events continue to evolve and additional information becomes available, the Company’s estimates and assumptions may change materially in future periods.</w:t>
      </w:r>
    </w:p>
    <w:p>
      <w:pPr>
        <w:spacing w:after="0" w:line="134"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has three predominant sources of revenue; time-based subscriptions, in-app advertising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third parties, and the Duolingo English Test. See Footnote 3 for further discussion.</w:t>
      </w:r>
    </w:p>
    <w:p>
      <w:pPr>
        <w:spacing w:after="0" w:line="9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Revenue is recognized over the life of the subscription, or in the case of Duolingo English Test, revenue is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test is proctored. The Company classifies deferred revenue as a short-term liability on the consolidated balance sheets as the longest subscription plan is for twelve months, and Duolingo English Test purchases must be taken within 90 days.</w:t>
      </w:r>
    </w:p>
    <w:p>
      <w:pPr>
        <w:spacing w:after="0" w:line="11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revenue predominantly consists of third-party payment processing fees charged by various distribution channel</w:t>
      </w:r>
      <w:r>
        <w:rPr>
          <w:rFonts w:ascii="Arial" w:cs="Arial" w:eastAsia="Arial" w:hAnsi="Arial"/>
          <w:sz w:val="18"/>
          <w:szCs w:val="18"/>
          <w:b w:val="1"/>
          <w:bCs w:val="1"/>
          <w:color w:val="auto"/>
        </w:rPr>
        <w:t xml:space="preserve"> </w:t>
      </w:r>
      <w:r>
        <w:rPr>
          <w:rFonts w:ascii="Arial" w:cs="Arial" w:eastAsia="Arial" w:hAnsi="Arial"/>
          <w:sz w:val="18"/>
          <w:szCs w:val="18"/>
          <w:color w:val="auto"/>
        </w:rPr>
        <w:t>and hosting fees. To a much lesser extent, includes wages and share-based compensation for certain employees in the capacity of customer support, amortization of revenue generating capitalized software, and depreciation of certain property and equipment.</w:t>
      </w:r>
    </w:p>
    <w:p>
      <w:pPr>
        <w:spacing w:after="0" w:line="11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Deferred Cost of Revenue—</w:t>
      </w:r>
      <w:r>
        <w:rPr>
          <w:rFonts w:ascii="Arial" w:cs="Arial" w:eastAsia="Arial" w:hAnsi="Arial"/>
          <w:sz w:val="18"/>
          <w:szCs w:val="18"/>
          <w:color w:val="auto"/>
        </w:rPr>
        <w:t>Deferred cost of revenue includes third-party payment processing fees amortized over the subscription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 to the revenue 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12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20,428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54,833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59,843</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unadjusted, quoted prices in active markets for identical assets or liabilities at the measurement date.</w:t>
      </w:r>
    </w:p>
    <w:p>
      <w:pPr>
        <w:spacing w:after="0" w:line="12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—The Company adopted ASC 326, Credit Losses, on January 1, 2020. Accounts receivables are reported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at the outstanding principal amount adjusted for any allowance for credit losses and any charge offs. The Company provides an allowance for credit losses to reduce trade receivables to their estimated net realizable value equal to the amount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 w:right="339" w:bottom="1440" w:gutter="0" w:footer="0" w:header="0"/>
        </w:sectPr>
      </w:pPr>
    </w:p>
    <w:bookmarkStart w:id="214" w:name="page215"/>
    <w:bookmarkEnd w:id="21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expected to be collected. This allowance is estimated based on historical collection experience, the aging of receivables, specific current and expected future macro-economic and market conditions, and assessments of the current creditworthiness and economic status of customers. Under previous guidance, judgments were made as to the Company’s ability to collect outstanding receivables and provided allowances for a portion of receivables when collection became doubtful. The Company considers a receivable delinquent if it is unpaid after the term of the related invoice has expired. Balances that are still outstanding after management has used reasonable collection efforts are written off. The Company reviews its allowance for credit losses on a quarterly basis. As of December 31, 2019 and 2020, the Company has not recorded a reserve given the Company’s lack of historical write offs.</w:t>
      </w:r>
    </w:p>
    <w:p>
      <w:pPr>
        <w:spacing w:after="0" w:line="12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—The Company classified its debt securities as available-for-sale and reported them at fair value. Interest income was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as earned and included accretion of discounts and amortization of premiums using the effective yield method and was recorded in other income within the statements of operations. During 2019, the Company sold all their investments.</w:t>
      </w:r>
    </w:p>
    <w:p>
      <w:pPr>
        <w:spacing w:after="0" w:line="116"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is stated at cost, less accumulated depreciation. Depreciation is computed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w:t>
            </w:r>
          </w:p>
        </w:tc>
        <w:tc>
          <w:tcPr>
            <w:tcW w:w="5380" w:type="dxa"/>
            <w:vAlign w:val="bottom"/>
            <w:tcBorders>
              <w:bottom w:val="single" w:sz="8" w:color="auto"/>
            </w:tcBorders>
          </w:tcPr>
          <w:p>
            <w:pPr>
              <w:jc w:val="center"/>
              <w:ind w:left="2396"/>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5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Furniture, fixtures and equipment</w:t>
            </w:r>
          </w:p>
        </w:tc>
        <w:tc>
          <w:tcPr>
            <w:tcW w:w="5380" w:type="dxa"/>
            <w:vAlign w:val="bottom"/>
            <w:shd w:val="clear" w:color="auto" w:fill="DBDBDB"/>
          </w:tcPr>
          <w:p>
            <w:pPr>
              <w:jc w:val="center"/>
              <w:ind w:left="2396"/>
              <w:spacing w:after="0"/>
              <w:rPr>
                <w:sz w:val="20"/>
                <w:szCs w:val="20"/>
                <w:color w:val="auto"/>
              </w:rPr>
            </w:pPr>
            <w:r>
              <w:rPr>
                <w:rFonts w:ascii="Arial" w:cs="Arial" w:eastAsia="Arial" w:hAnsi="Arial"/>
                <w:sz w:val="18"/>
                <w:szCs w:val="18"/>
                <w:color w:val="auto"/>
                <w:w w:val="99"/>
              </w:rPr>
              <w:t>5 to 7 years</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380" w:type="dxa"/>
            <w:vAlign w:val="bottom"/>
          </w:tcPr>
          <w:p>
            <w:pPr>
              <w:jc w:val="center"/>
              <w:ind w:left="2396"/>
              <w:spacing w:after="0"/>
              <w:rPr>
                <w:sz w:val="20"/>
                <w:szCs w:val="20"/>
                <w:color w:val="auto"/>
              </w:rPr>
            </w:pPr>
            <w:r>
              <w:rPr>
                <w:rFonts w:ascii="Arial" w:cs="Arial" w:eastAsia="Arial" w:hAnsi="Arial"/>
                <w:sz w:val="18"/>
                <w:szCs w:val="18"/>
                <w:color w:val="auto"/>
                <w:w w:val="99"/>
              </w:rPr>
              <w:t>4 to 6 years</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lesser of the life of the lease or the estimated useful life of the leasehold improvements.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maintenance and repairs that do not extend the assets’ useful life are expensed as incurred.</w:t>
      </w:r>
    </w:p>
    <w:p>
      <w:pPr>
        <w:spacing w:after="0" w:line="163"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Capitalized software</w:t>
      </w:r>
      <w:r>
        <w:rPr>
          <w:rFonts w:ascii="Arial" w:cs="Arial" w:eastAsia="Arial" w:hAnsi="Arial"/>
          <w:sz w:val="18"/>
          <w:szCs w:val="18"/>
          <w:color w:val="auto"/>
        </w:rPr>
        <w:t>—The Company develops software for internal use and capitalizes the software development costs incurred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—The Company reviews its long-lived assets for impairment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The Company recorded a $1,228 charge, which represents an impairment to write-off the capitalization of an internal-use software project prior to being launched to the user base during the year ended December 31, 2019. No assets were impaired during the year ended December 31, 2020.</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provides for income taxes in accordance with the asset and liability method. Under this method,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differences,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 w:right="339" w:bottom="1440" w:gutter="0" w:footer="0" w:header="0"/>
        </w:sectPr>
      </w:pPr>
    </w:p>
    <w:bookmarkStart w:id="215" w:name="page216"/>
    <w:bookmarkEnd w:id="21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second step is to measure the tax benefit as the largest amount that is 50% likely of being realized upon settlement with a taxing authority. There were no amounts recorded at December 31, 2019 and 2020 related to uncertain tax positions.</w:t>
      </w:r>
    </w:p>
    <w:p>
      <w:pPr>
        <w:spacing w:after="0" w:line="121"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—The functional currency of the Company and its subsidiaries is the United States dollar. Transactions denominated in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currencies other than the functional currency are 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Other Comprehensive Loss</w:t>
      </w:r>
      <w:r>
        <w:rPr>
          <w:rFonts w:ascii="Arial" w:cs="Arial" w:eastAsia="Arial" w:hAnsi="Arial"/>
          <w:sz w:val="18"/>
          <w:szCs w:val="18"/>
          <w:color w:val="auto"/>
        </w:rPr>
        <w:t>—Comprehensive loss is defined as net income and all other non-owner changes in stockholders’ deficit.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comprehensive loss results from items deferred from recognition into the statements of operations. The Company follows the provisions of 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for the reporting and display of comprehensive loss and its components. The Company’s accumulated other comprehensive loss consists of the unrealized loss on investments. Accumulated other comprehensive loss is separately presented on the Company’s balance sheet as part of stockholders’ deficit.</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accounts for equity-based compensation using the fair value method as set forth in the ASC</w:t>
      </w:r>
      <w:r>
        <w:rPr>
          <w:rFonts w:ascii="Arial" w:cs="Arial" w:eastAsia="Arial" w:hAnsi="Arial"/>
          <w:sz w:val="18"/>
          <w:szCs w:val="18"/>
          <w:b w:val="1"/>
          <w:bCs w:val="1"/>
          <w:color w:val="auto"/>
        </w:rPr>
        <w:t xml:space="preserve"> </w:t>
      </w:r>
      <w:r>
        <w:rPr>
          <w:rFonts w:ascii="Arial" w:cs="Arial" w:eastAsia="Arial" w:hAnsi="Arial"/>
          <w:sz w:val="18"/>
          <w:szCs w:val="18"/>
          <w:color w:val="auto"/>
        </w:rPr>
        <w:t>718, Compensation—Stock Compensation, which requires the measurement and recognition of compensation expense for all share-based payment awards based on estimated fair values. This method 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a liquid market and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133"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Company accounts for certain assets and liabilities at fair value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guidance applicable to fair value measurements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144" w:right="379" w:bottom="1440" w:gutter="0" w:footer="0" w:header="0"/>
        </w:sectPr>
      </w:pPr>
    </w:p>
    <w:bookmarkStart w:id="216" w:name="page217"/>
    <w:bookmarkEnd w:id="21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carrying values of cash, cash equivalents, accounts receivable, accounts payable, and accrued expenses are deemed to be reasonable estimates of their fair values because of their short-term nature.</w:t>
      </w:r>
    </w:p>
    <w:p>
      <w:pPr>
        <w:spacing w:after="0" w:line="12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expenses are incurred as the Company maintains and enhances its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evaluates and develops other potential applications. Such expenses include compensation of engineering, product design and testing personnel, including share-based compensation, materials, travel and direct costs associated with the design and required testing of our platform and depreciation of certain property and equipment.</w:t>
      </w:r>
    </w:p>
    <w:p>
      <w:pPr>
        <w:spacing w:after="0" w:line="12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and depreciation of certain property and equipment. Advertising costs were approximately $9,642 and $27,352 for the years ended December 31, 2019 and 2020, respectively.</w:t>
      </w:r>
    </w:p>
    <w:p>
      <w:pPr>
        <w:spacing w:after="0" w:line="12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 primarily consists of employee related compensation (including share-based compensation) for management and administrative functions, including our finance and accounting, legal, and people teams. General and administrative expense also includes certain professional services fees, general corporate and director and officer insurance, facilities costs, and other general overhead costs that support our operations, and depreciation of certain property and equipment.</w:t>
      </w:r>
    </w:p>
    <w:p>
      <w:pPr>
        <w:spacing w:after="0" w:line="121"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49"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majority of our revenue comes through our subscriptions and advertising revenue streams and payments are made to Duolingo through service providers. The top two service providers, Apple and Google, accounted for 52.8% and 29.6% of total Accounts receivable as of December 31, 2019, respectively and the top three, Apple, Google and Stripe, accounted for 47.8%, 28.9% and 13.8% as of December 31, 2020, respectively.</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 service providers, Apple, Google and Facebook, processed 55.2%, 23.5% and 10.0% of total revenue for the year ended December 31, 2019 and two service providers, Apple and Google, processed 51.3% and 26.9% of total revenue for the year ended December 31, 2020.</w:t>
      </w:r>
    </w:p>
    <w:p>
      <w:pPr>
        <w:spacing w:after="0" w:line="121"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Contingencie</w:t>
      </w:r>
      <w:r>
        <w:rPr>
          <w:rFonts w:ascii="Arial" w:cs="Arial" w:eastAsia="Arial" w:hAnsi="Arial"/>
          <w:sz w:val="18"/>
          <w:szCs w:val="18"/>
          <w:color w:val="auto"/>
        </w:rPr>
        <w:t>s—The Company records accruals for contingencies and legal proceedings expected to be incurred in connection with a loss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contingency when it is probable that a liability has been incurred and the amount can be reasonably estimated.</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Segment</w:t>
      </w:r>
      <w:r>
        <w:rPr>
          <w:rFonts w:ascii="Arial" w:cs="Arial" w:eastAsia="Arial" w:hAnsi="Arial"/>
          <w:sz w:val="18"/>
          <w:szCs w:val="18"/>
          <w:color w:val="auto"/>
        </w:rPr>
        <w:t>—The Company operates as a single operating segment. The chief operating decision maker of the Company is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who makes resource allocation decisions and assesses performance based on financial information presented on a consolidated basis, accompanied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 w:right="359" w:bottom="1440" w:gutter="0" w:footer="0" w:header="0"/>
        </w:sectPr>
      </w:pPr>
    </w:p>
    <w:bookmarkStart w:id="217" w:name="page218"/>
    <w:bookmarkEnd w:id="21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disaggregated information of our revenue. Accordingly, the Company has determined that it has a single reportable segment and operating segment structure, and operates as one reporting unit.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(ASU 2016-02)</w:t>
      </w:r>
      <w:r>
        <w:rPr>
          <w:rFonts w:ascii="Arial" w:cs="Arial" w:eastAsia="Arial" w:hAnsi="Arial"/>
          <w:sz w:val="18"/>
          <w:szCs w:val="18"/>
          <w:color w:val="auto"/>
        </w:rPr>
        <w:t>. ASU 2016-02 requires virtually all leases, other than leases that meet the definition of a short-term lease,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balance sheet with a right-of-use (ROU) asset and corresponding lease liability. Leases will be classified as either operating or finance leases based on certain criteria. This classification will determine the timing and presentation of expenses on the income statement, as well as the presentation of related cash flows. The Company adopted this on January 1, 2019 using the modified retrospective approach. As an accounting policy election, the Company elected to exclude short term leases (initial term of 12 months or less) from the balance sheet and to account for non-lease and lease components separately for all asset classes. The Company recognized $5,798 of ROU assets related to operating leases in Operating lease right-of-use assets and $6,380 of corresponding lease liabilities, of which $187 is included in Accrued expenses and other liabilities and $6,193 is included in Long term obligation under operating leases on the consolidated balance sheets. The Company also recorded a Cumulative effect of adoption of new accounting standard to accumulated deficit of $363 .</w:t>
      </w:r>
    </w:p>
    <w:p>
      <w:pPr>
        <w:spacing w:after="0" w:line="137"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(ASU 2016-13)</w:t>
      </w:r>
      <w:r>
        <w:rPr>
          <w:rFonts w:ascii="Arial" w:cs="Arial" w:eastAsia="Arial" w:hAnsi="Arial"/>
          <w:sz w:val="18"/>
          <w:szCs w:val="18"/>
          <w:color w:val="auto"/>
        </w:rPr>
        <w:t>, which modifies the measurement of expected credit losses of certain financial instruments. This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will be effective for private companies for fiscal years beginning after December 15, 2021, but early adoption is permitted. The Company adopted this guidance on January 1, 2020 and it did not have an impact on its consolidated financial statements and related disclosures upon adoption.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 Not Yet Adopted</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 (ASU 2018-15)</w:t>
      </w:r>
      <w:r>
        <w:rPr>
          <w:rFonts w:ascii="Arial" w:cs="Arial" w:eastAsia="Arial" w:hAnsi="Arial"/>
          <w:sz w:val="18"/>
          <w:szCs w:val="18"/>
          <w:color w:val="auto"/>
        </w:rPr>
        <w:t>.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hosting arrangement that is a service contract with the requirements for capitalizing implementation costs incurred to develop or obtain internal-use software. This new guidance will be effective for fiscal years beginning after December 15, 2020. The adoption of this ASU will not have a significant impact on the Company’s consolidated financial statements and related disclosures upon adoption.</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consolidated financial statements and related disclosures.</w:t>
      </w:r>
    </w:p>
    <w:p>
      <w:pPr>
        <w:spacing w:after="0" w:line="110"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 w:right="339" w:bottom="1440" w:gutter="0" w:footer="0" w:header="0"/>
        </w:sectPr>
      </w:pPr>
    </w:p>
    <w:bookmarkStart w:id="218" w:name="page219"/>
    <w:bookmarkEnd w:id="21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recorded net of taxes assessed by a government authority that are both imposed on and concurrent with specific revenue transactions between us and our users.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5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not been proctored nor expired.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89"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and geographical regions, which most closely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 w:right="339" w:bottom="1440" w:gutter="0" w:footer="0" w:header="0"/>
        </w:sectPr>
      </w:pPr>
    </w:p>
    <w:bookmarkStart w:id="219" w:name="page220"/>
    <w:bookmarkEnd w:id="21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54,848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Point in time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15,912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Information regarding revenue by stream:</w:t>
            </w: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Borders>
              <w:bottom w:val="single" w:sz="8" w:color="DBDBDB"/>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54,848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Advertising</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14,118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27,043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Duolingo English Test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15,155</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Other(1)</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Other revenue is mainly comprised of in app purchases of virtual goods.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regarding geography of revenue is based upon the location where the users are located or, in the case of the Duolingo English Test, where the tests are taken: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33,307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70,978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Rest of World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37,453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90,718</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Customers located in the United States accounted for 47% and 44% of total revenue for the year ended December 31, 2019 and 2020, respectively. No other country accounted for 10% or more of revenue for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revenues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9,034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Amount from beginning balance recognized into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(26,307)</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(45,814)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(91,193)</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Deferral of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balance—December 31</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 w:right="339" w:bottom="1440" w:gutter="0" w:footer="0" w:header="0"/>
        </w:sectPr>
      </w:pPr>
    </w:p>
    <w:bookmarkStart w:id="220" w:name="page221"/>
    <w:bookmarkEnd w:id="22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as of December 31, 2019 and 2020:</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400" w:type="dxa"/>
            <w:vAlign w:val="bottom"/>
            <w:tcBorders>
              <w:bottom w:val="single" w:sz="8" w:color="DBDBDB"/>
            </w:tcBorders>
          </w:tcPr>
          <w:p>
            <w:pPr>
              <w:spacing w:after="0"/>
              <w:rPr>
                <w:sz w:val="24"/>
                <w:szCs w:val="24"/>
                <w:color w:val="auto"/>
              </w:rPr>
            </w:pPr>
          </w:p>
        </w:tc>
        <w:tc>
          <w:tcPr>
            <w:tcW w:w="758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3"/>
              <w:spacing w:after="0"/>
              <w:rPr>
                <w:sz w:val="20"/>
                <w:szCs w:val="20"/>
                <w:color w:val="auto"/>
              </w:rPr>
            </w:pPr>
            <w:r>
              <w:rPr>
                <w:rFonts w:ascii="Arial" w:cs="Arial" w:eastAsia="Arial" w:hAnsi="Arial"/>
                <w:sz w:val="18"/>
                <w:szCs w:val="18"/>
                <w:color w:val="auto"/>
                <w:w w:val="97"/>
              </w:rPr>
              <w:t>7,536</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Furniture, fixtures and equipment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97"/>
              </w:rPr>
              <w:t>1,959</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property and equipment</w:t>
            </w:r>
          </w:p>
        </w:tc>
        <w:tc>
          <w:tcPr>
            <w:tcW w:w="98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center"/>
              <w:ind w:left="513"/>
              <w:spacing w:after="0"/>
              <w:rPr>
                <w:sz w:val="20"/>
                <w:szCs w:val="20"/>
                <w:color w:val="auto"/>
              </w:rPr>
            </w:pPr>
            <w:r>
              <w:rPr>
                <w:rFonts w:ascii="Arial" w:cs="Arial" w:eastAsia="Arial" w:hAnsi="Arial"/>
                <w:sz w:val="18"/>
                <w:szCs w:val="18"/>
                <w:color w:val="auto"/>
                <w:w w:val="97"/>
              </w:rPr>
              <w:t>9,495</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3"/>
              <w:spacing w:after="0"/>
              <w:rPr>
                <w:sz w:val="20"/>
                <w:szCs w:val="20"/>
                <w:color w:val="auto"/>
              </w:rPr>
            </w:pPr>
            <w:r>
              <w:rPr>
                <w:rFonts w:ascii="Arial" w:cs="Arial" w:eastAsia="Arial" w:hAnsi="Arial"/>
                <w:sz w:val="18"/>
                <w:szCs w:val="18"/>
                <w:color w:val="auto"/>
              </w:rPr>
              <w:t>(3,067)</w:t>
            </w: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property and equipment, net</w:t>
            </w:r>
          </w:p>
        </w:tc>
        <w:tc>
          <w:tcPr>
            <w:tcW w:w="980" w:type="dxa"/>
            <w:vAlign w:val="bottom"/>
            <w:tcBorders>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center"/>
              <w:ind w:left="513"/>
              <w:spacing w:after="0"/>
              <w:rPr>
                <w:sz w:val="20"/>
                <w:szCs w:val="20"/>
                <w:color w:val="auto"/>
              </w:rPr>
            </w:pPr>
            <w:r>
              <w:rPr>
                <w:rFonts w:ascii="Arial" w:cs="Arial" w:eastAsia="Arial" w:hAnsi="Arial"/>
                <w:sz w:val="18"/>
                <w:szCs w:val="18"/>
                <w:color w:val="auto"/>
                <w:w w:val="97"/>
              </w:rPr>
              <w:t>6,428</w:t>
            </w:r>
          </w:p>
        </w:tc>
      </w:tr>
      <w:tr>
        <w:trPr>
          <w:trHeight w:val="20"/>
        </w:trPr>
        <w:tc>
          <w:tcPr>
            <w:tcW w:w="400" w:type="dxa"/>
            <w:vAlign w:val="bottom"/>
            <w:tcBorders>
              <w:top w:val="single" w:sz="8" w:color="DBDBDB"/>
            </w:tcBorders>
          </w:tcPr>
          <w:p>
            <w:pPr>
              <w:spacing w:after="0" w:line="20" w:lineRule="exact"/>
              <w:rPr>
                <w:sz w:val="1"/>
                <w:szCs w:val="1"/>
                <w:color w:val="auto"/>
              </w:rPr>
            </w:pPr>
          </w:p>
        </w:tc>
        <w:tc>
          <w:tcPr>
            <w:tcW w:w="75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Depreciation expense was $527 and $1,624 in 2019 and 2020, respectively, and is predominately included within general and administrative, with nominal amounts in Cost of revenues, Research and development and Sales and marketing in the Company’s consolidated statement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CAPITALIZED SOFTWARE,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Capitalized software consists of the following as of December 31, 2019 and 2020:</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400" w:type="dxa"/>
            <w:vAlign w:val="bottom"/>
            <w:tcBorders>
              <w:bottom w:val="single" w:sz="8" w:color="DBDBDB"/>
            </w:tcBorders>
          </w:tcPr>
          <w:p>
            <w:pPr>
              <w:spacing w:after="0"/>
              <w:rPr>
                <w:sz w:val="24"/>
                <w:szCs w:val="24"/>
                <w:color w:val="auto"/>
              </w:rPr>
            </w:pPr>
          </w:p>
        </w:tc>
        <w:tc>
          <w:tcPr>
            <w:tcW w:w="758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98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7,444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5"/>
              <w:spacing w:after="0"/>
              <w:rPr>
                <w:sz w:val="20"/>
                <w:szCs w:val="20"/>
                <w:color w:val="auto"/>
              </w:rPr>
            </w:pPr>
            <w:r>
              <w:rPr>
                <w:rFonts w:ascii="Arial" w:cs="Arial" w:eastAsia="Arial" w:hAnsi="Arial"/>
                <w:sz w:val="18"/>
                <w:szCs w:val="18"/>
                <w:color w:val="auto"/>
                <w:w w:val="97"/>
              </w:rPr>
              <w:t>8,181</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(5,885)</w:t>
            </w: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980" w:type="dxa"/>
            <w:vAlign w:val="bottom"/>
            <w:tcBorders>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7"/>
              </w:rPr>
              <w:t>1,791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center"/>
              <w:ind w:left="515"/>
              <w:spacing w:after="0"/>
              <w:rPr>
                <w:sz w:val="20"/>
                <w:szCs w:val="20"/>
                <w:color w:val="auto"/>
              </w:rPr>
            </w:pPr>
            <w:r>
              <w:rPr>
                <w:rFonts w:ascii="Arial" w:cs="Arial" w:eastAsia="Arial" w:hAnsi="Arial"/>
                <w:sz w:val="18"/>
                <w:szCs w:val="18"/>
                <w:color w:val="auto"/>
                <w:w w:val="97"/>
              </w:rPr>
              <w:t>2,296</w:t>
            </w:r>
          </w:p>
        </w:tc>
      </w:tr>
      <w:tr>
        <w:trPr>
          <w:trHeight w:val="20"/>
        </w:trPr>
        <w:tc>
          <w:tcPr>
            <w:tcW w:w="400" w:type="dxa"/>
            <w:vAlign w:val="bottom"/>
            <w:tcBorders>
              <w:top w:val="single" w:sz="8" w:color="DBDBDB"/>
            </w:tcBorders>
          </w:tcPr>
          <w:p>
            <w:pPr>
              <w:spacing w:after="0" w:line="20" w:lineRule="exact"/>
              <w:rPr>
                <w:sz w:val="1"/>
                <w:szCs w:val="1"/>
                <w:color w:val="auto"/>
              </w:rPr>
            </w:pPr>
          </w:p>
        </w:tc>
        <w:tc>
          <w:tcPr>
            <w:tcW w:w="75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Amortization expense of $724 and $632 is recorded in the statements of operations in 2019 and 2020, respectively. For the year ended December 31, 2019, the Company recorded an impairment to write-off the capitalization of an internal-use software project prior to being launched to the user base. The associated amounts have been removed from the gross capitalized software balance and accumulated amortization in the table above.</w:t>
      </w:r>
    </w:p>
    <w:p>
      <w:pPr>
        <w:spacing w:after="0" w:line="15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Amortization expense is included within the following financial statement line items within the Company’s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As discussed in Note 2, “Accounting Policies”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on January 1, 2019. ASC 842 requires a lessee to recognize assets and liabilities on the balance sheet for all leases, with the result being the recognition of a right-of-use (ROU) asset and a corresponding lease liability. The lease liability is equal to the present value of the minimum lease payments for the term of the lease using the discount rate determined at lease commencement and including any optional renewal periods that were determined to be reasonably certain to be exercised. The ROU asset is equal to the initial measurement of the lease liability plus any lease payments made to the lessor at or before the commencement date and any unamortized initial indirect costs incurred by the lessee, less any unamortized lease incentives received. ROU assets are periodically reviewed for impairment whenever events or changes in circumstances arise. During the years ended December 31, 2019 and 2020, the Company incurred no impairment charges on ROU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 w:right="339" w:bottom="1440" w:gutter="0" w:footer="0" w:header="0"/>
        </w:sectPr>
      </w:pPr>
    </w:p>
    <w:bookmarkStart w:id="221" w:name="page222"/>
    <w:bookmarkEnd w:id="22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Company occupies certain facilities with lease agreements which may contain lease escalation clauses and purchase and renewal options. At the inception of a contract, the Company determines whether the arrangement is or contains a lease. A lease is determined to exist if there is an identified asset, the Company has the right to obtain substantially all of the economic benefits from the use of the identified asset, and also the right to direct the use of the asset. Once a lease is determined to exist, the Company determines the lease classification at lease commencement. Leases are classified as operating or finance leases based on specific criteria. The Company determined that it only has operating leases. Operating lease expense is recognized on a straight-line basis on the consolidated statements of operations in general and administrative expenses. On the consolidated statements of changes in cash flows, payments for operating leases, including the interest component, are included in operating activities.</w:t>
      </w:r>
    </w:p>
    <w:p>
      <w:pPr>
        <w:spacing w:after="0" w:line="15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has entered into various operating leases for its office space expiring between fiscal 2021 and 2035.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49"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During 2016, the Company moved into new office space under an operating lease that expires on May 31, 2030. The lease for the Company's office space provides the ability for the Company to cancel the lease with at least twelve months prior written notice; this ability starts on October 31, 2025. Additionally there is a five year extension option in the lease which the company has not included in the lease term. The remaining payments related to this lease agreement as of December 31, 2020 are approximately $9,568.</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November 2019, the Company signed a new lease for contiguous space. The term of the newly executed lease is 127 months beginning on November 1, 2019 and expiring on May 31, 2030. The lease for the company's office space provides the ability for the Company to cancel the lease with at least twelve months prior written notice starting October 31, 2025. Additionally there is a five year extension option in the lease which the company has not included in the lease term. The remaining payments related to this lease agreement as of December 31, 2020 are approximately $2,380.</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Company applied ASC 842 to all existing leases at January 1, 2019 using the modified retrospective approach. As a result, prior period amounts have not been adjusted and continue to be reported in accordance with the Company’s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has elected to separate lease and non-lease components for all asset classes, did not elect to use hindsight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lease term, and made an accounting policy election for short-term leases which does not require the capitalization of leases with terms of 12 months or less at lease commencement.</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adoption of ASC 842 on January 1, 2019, the Company recognized $5,798 of ROU assets related to operating leases in Operating lease right-of-use assets and $6,380 of corresponding lease liabilities, of which $187 is included in Accrued expenses and other liabilities and $6,193 is included in Obligation under operating leases on the consolidated balance sheets. The difference is attributable to the deferred rent and tenant improvement allowance balance as of December 31, 2018 that reduced the ROU asset balance on January 1, 2019, of which $581 was removed from Long-term liabilities on the consolidated balance sheets. The Company also recorded a Cumulative effect of adoption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 w:right="339" w:bottom="1440" w:gutter="0" w:footer="0" w:header="0"/>
        </w:sectPr>
      </w:pPr>
    </w:p>
    <w:bookmarkStart w:id="222" w:name="page223"/>
    <w:bookmarkEnd w:id="22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accounting standard to accumulated deficit of $363. See Note 2, “Summary of Significant Accounting Policies” for further information on the impact of adoption.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components of lease cost for the years ended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jc w:val="right"/>
              <w:ind w:right="135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580" w:type="dxa"/>
            <w:vAlign w:val="bottom"/>
            <w:tcBorders>
              <w:bottom w:val="single" w:sz="8" w:color="DBDBDB"/>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2020</w:t>
            </w:r>
          </w:p>
        </w:tc>
      </w:tr>
      <w:tr>
        <w:trPr>
          <w:trHeight w:val="223"/>
        </w:trPr>
        <w:tc>
          <w:tcPr>
            <w:tcW w:w="6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cost</w:t>
            </w: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1,721</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5"/>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3"/>
              <w:spacing w:after="0"/>
              <w:rPr>
                <w:sz w:val="20"/>
                <w:szCs w:val="20"/>
                <w:color w:val="auto"/>
              </w:rPr>
            </w:pPr>
            <w:r>
              <w:rPr>
                <w:rFonts w:ascii="Arial" w:cs="Arial" w:eastAsia="Arial" w:hAnsi="Arial"/>
                <w:sz w:val="18"/>
                <w:szCs w:val="18"/>
                <w:color w:val="auto"/>
              </w:rPr>
              <w:t>1,624</w:t>
            </w:r>
          </w:p>
        </w:tc>
      </w:tr>
      <w:tr>
        <w:trPr>
          <w:trHeight w:val="229"/>
        </w:trPr>
        <w:tc>
          <w:tcPr>
            <w:tcW w:w="6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480" w:type="dxa"/>
            <w:vAlign w:val="bottom"/>
          </w:tcPr>
          <w:p>
            <w:pPr>
              <w:spacing w:after="0"/>
              <w:rPr>
                <w:sz w:val="19"/>
                <w:szCs w:val="19"/>
                <w:color w:val="auto"/>
              </w:rPr>
            </w:pP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9 years, 7 months</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 years, 11 months</w:t>
            </w:r>
          </w:p>
        </w:tc>
      </w:tr>
      <w:tr>
        <w:trPr>
          <w:trHeight w:val="229"/>
        </w:trPr>
        <w:tc>
          <w:tcPr>
            <w:tcW w:w="6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Weighted-average discount rate</w:t>
            </w:r>
          </w:p>
        </w:tc>
        <w:tc>
          <w:tcPr>
            <w:tcW w:w="480" w:type="dxa"/>
            <w:vAlign w:val="bottom"/>
            <w:shd w:val="clear" w:color="auto" w:fill="DBDBDB"/>
          </w:tcPr>
          <w:p>
            <w:pPr>
              <w:spacing w:after="0"/>
              <w:rPr>
                <w:sz w:val="19"/>
                <w:szCs w:val="19"/>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r>
    </w:tbl>
    <w:p>
      <w:pPr>
        <w:spacing w:after="0" w:line="26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Short-term lease cost of $235 and $317 and is recorded in the statements of operations in 2019 and 2020, respectively. The following table reconciles future minimum undiscounted rental commitments for operating leases to operating lease liabilities record on the consolidated balance sheet as of December 31, 2020:</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540" w:type="dxa"/>
            <w:vAlign w:val="bottom"/>
            <w:tcBorders>
              <w:top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30"/>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9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w:t>
            </w:r>
          </w:p>
        </w:tc>
      </w:tr>
      <w:tr>
        <w:trPr>
          <w:trHeight w:val="223"/>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undiscounted lease payments</w:t>
            </w: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12,471</w:t>
            </w:r>
          </w:p>
        </w:tc>
      </w:tr>
      <w:tr>
        <w:trPr>
          <w:trHeight w:val="230"/>
        </w:trPr>
        <w:tc>
          <w:tcPr>
            <w:tcW w:w="9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Present value adjustment</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r>
      <w:tr>
        <w:trPr>
          <w:trHeight w:val="248"/>
        </w:trPr>
        <w:tc>
          <w:tcPr>
            <w:tcW w:w="9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9,242</w:t>
            </w:r>
          </w:p>
        </w:tc>
      </w:tr>
      <w:tr>
        <w:trPr>
          <w:trHeight w:val="20"/>
        </w:trPr>
        <w:tc>
          <w:tcPr>
            <w:tcW w:w="966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Current lease liabilities of $974 and $1,111 are presented within Accrued expenses and other liabilities while non-current lease liabilities of $9,242 and $8,131 are presented within the obligation under operating leases, net on the consolidated balance sheets for the years ended December 31, 2019 and 2020 respectively.</w:t>
      </w:r>
    </w:p>
    <w:p>
      <w:pPr>
        <w:spacing w:after="0" w:line="114"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had no income tax provision during the year ended 2019. The Company has incurred $68 provision for income taxes for the year ended December 31, 2020, of which $26 was related to foreign income taxes and $42 for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 w:right="339" w:bottom="1440" w:gutter="0" w:footer="0" w:header="0"/>
        </w:sectPr>
      </w:pPr>
    </w:p>
    <w:bookmarkStart w:id="223" w:name="page224"/>
    <w:bookmarkEnd w:id="22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deferred tax assets (liabilities) as of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20,479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20,912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Equity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4,936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DTA</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Sales tax / VAT reserve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(23,851)</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(26,236)</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37"/>
        </w:trPr>
        <w:tc>
          <w:tcPr>
            <w:tcW w:w="798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ROU asset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DTL</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37"/>
        </w:trPr>
        <w:tc>
          <w:tcPr>
            <w:tcW w:w="7980" w:type="dxa"/>
            <w:vAlign w:val="bottom"/>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has provided a valuation allowance for the net deferred tax asset as it is not more likely than not that the asset will be realized. The movement in valuation allowance of $2,385 is primarily related to the generation of additional net operating losses and research and development credits.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activity in our valuation allowance for the years ended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4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3"/>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(20,602)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(23,851)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Valuation allowances established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(2,928)</w:t>
            </w:r>
          </w:p>
        </w:tc>
      </w:tr>
      <w:tr>
        <w:trPr>
          <w:trHeight w:val="230"/>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Release of valuation allowances</w:t>
            </w:r>
          </w:p>
        </w:tc>
        <w:tc>
          <w:tcPr>
            <w:tcW w:w="38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Ending balance—December 31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(26,236)</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 w:right="339" w:bottom="1440" w:gutter="0" w:footer="0" w:header="0"/>
        </w:sectPr>
      </w:pPr>
    </w:p>
    <w:bookmarkStart w:id="224" w:name="page225"/>
    <w:bookmarkEnd w:id="22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amounts computed by applying the federal statutory rate as follows for the periods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60" w:type="dxa"/>
            <w:vAlign w:val="bottom"/>
            <w:gridSpan w:val="2"/>
          </w:tcPr>
          <w:p>
            <w:pPr>
              <w:ind w:left="8440"/>
              <w:spacing w:after="0"/>
              <w:rPr>
                <w:sz w:val="20"/>
                <w:szCs w:val="20"/>
                <w:color w:val="auto"/>
              </w:rPr>
            </w:pPr>
            <w:r>
              <w:rPr>
                <w:rFonts w:ascii="Arial" w:cs="Arial" w:eastAsia="Arial" w:hAnsi="Arial"/>
                <w:sz w:val="14"/>
                <w:szCs w:val="14"/>
                <w:b w:val="1"/>
                <w:bCs w:val="1"/>
                <w:color w:val="auto"/>
                <w:w w:val="96"/>
              </w:rPr>
              <w:t>2019</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9"/>
        </w:trPr>
        <w:tc>
          <w:tcPr>
            <w:tcW w:w="7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Federal statutory rate</w:t>
            </w:r>
          </w:p>
        </w:tc>
        <w:tc>
          <w:tcPr>
            <w:tcW w:w="1020" w:type="dxa"/>
            <w:vAlign w:val="bottom"/>
            <w:tcBorders>
              <w:top w:val="single" w:sz="8" w:color="auto"/>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State taxes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1.8</w:t>
            </w:r>
          </w:p>
        </w:tc>
      </w:tr>
      <w:tr>
        <w:trPr>
          <w:trHeight w:val="22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Meals and entertainment</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(0.9)</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Commuter benefits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3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(18.4)</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GILTI</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2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permanent adjustments</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(0.3)</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10.2</w:t>
            </w:r>
          </w:p>
        </w:tc>
      </w:tr>
      <w:tr>
        <w:trPr>
          <w:trHeight w:val="22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(13.2)</w:t>
            </w:r>
          </w:p>
        </w:tc>
      </w:tr>
      <w:tr>
        <w:trPr>
          <w:trHeight w:val="250"/>
        </w:trPr>
        <w:tc>
          <w:tcPr>
            <w:tcW w:w="77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5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Effective income tax rate</w:t>
            </w:r>
          </w:p>
        </w:tc>
        <w:tc>
          <w:tcPr>
            <w:tcW w:w="780" w:type="dxa"/>
            <w:vAlign w:val="bottom"/>
            <w:gridSpan w:val="2"/>
            <w:shd w:val="clear" w:color="auto" w:fill="DBDBDB"/>
          </w:tcPr>
          <w:p>
            <w:pPr>
              <w:ind w:left="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2019 and 2020 effective tax rate is less than the statutory rate primarily as a result of the valuation allowance for net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uncertain tax benefits have been recorded in 2019 or 2020, respectfully.</w:t>
      </w:r>
    </w:p>
    <w:p>
      <w:pPr>
        <w:spacing w:after="0" w:line="18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On December 22, 2017, the US government enacted comprehensive tax legislation under the Tax Cuts and Jobs Act (the “Tax Act”), which, among other things, included a provision designed to tax Global Intangible Low Tax Income (“GILTI”) earned by non-US corporate subsidiaries of US shareholders starting in 2018. Due to operations of a foreign subsidiary beginning in 2020, the Company has elected to account for any future GILTI tax liabilities as period costs and will expense those liabilities in the period incurred.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income taxes for the year ended December 31, 2020.</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has approximately $82,231 in federal net operating loss carryforwards and approximately $41,096 in state net operating loss carryforwards. Certain of these loss carryforwards have an indefinite life and other amounts are available to offset future taxable income through 2040. The Company has approximately $4,936 in federal general business credits that are available to offset future taxable income through 2040. The Company is in the process of completing an IRC Section 382 and 383 analysis for 2020 and will update the deferred tax assets for any changes in the NOLs and R&amp;D tax credit once the analysis is complete. Any future ownership changes could also impact the utilization of the NOLs and R&amp;D tax credits.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years through the 2020 tax year remain subject to examination by federal and state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 w:right="339" w:bottom="1440" w:gutter="0" w:footer="0" w:header="0"/>
        </w:sectPr>
      </w:pPr>
    </w:p>
    <w:bookmarkStart w:id="225" w:name="page226"/>
    <w:bookmarkEnd w:id="22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is comprised of the following as of December 31, 2019 and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December 31, 2019</w:t>
            </w:r>
          </w:p>
        </w:tc>
        <w:tc>
          <w:tcPr>
            <w:tcW w:w="1500" w:type="dxa"/>
            <w:vAlign w:val="bottom"/>
            <w:tcBorders>
              <w:bottom w:val="single" w:sz="8" w:color="auto"/>
            </w:tcBorders>
            <w:gridSpan w:val="3"/>
          </w:tcPr>
          <w:p>
            <w:pPr>
              <w:ind w:left="1040"/>
              <w:spacing w:after="0"/>
              <w:rPr>
                <w:sz w:val="20"/>
                <w:szCs w:val="20"/>
                <w:color w:val="auto"/>
              </w:rPr>
            </w:pPr>
            <w:r>
              <w:rPr>
                <w:rFonts w:ascii="Arial" w:cs="Arial" w:eastAsia="Arial" w:hAnsi="Arial"/>
                <w:sz w:val="13"/>
                <w:szCs w:val="13"/>
                <w:b w:val="1"/>
                <w:bCs w:val="1"/>
                <w:color w:val="auto"/>
              </w:rPr>
              <w:t>Shares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Per share price</w:t>
            </w:r>
          </w:p>
        </w:tc>
        <w:tc>
          <w:tcPr>
            <w:tcW w:w="200" w:type="dxa"/>
            <w:vAlign w:val="bottom"/>
          </w:tcPr>
          <w:p>
            <w:pPr>
              <w:spacing w:after="0"/>
              <w:rPr>
                <w:sz w:val="9"/>
                <w:szCs w:val="9"/>
                <w:color w:val="auto"/>
              </w:rPr>
            </w:pPr>
          </w:p>
        </w:tc>
        <w:tc>
          <w:tcPr>
            <w:tcW w:w="1120" w:type="dxa"/>
            <w:vAlign w:val="bottom"/>
            <w:gridSpan w:val="2"/>
          </w:tcPr>
          <w:p>
            <w:pPr>
              <w:ind w:left="100"/>
              <w:spacing w:after="0" w:line="108" w:lineRule="exact"/>
              <w:rPr>
                <w:sz w:val="20"/>
                <w:szCs w:val="20"/>
                <w:color w:val="auto"/>
              </w:rPr>
            </w:pPr>
            <w:r>
              <w:rPr>
                <w:rFonts w:ascii="Arial" w:cs="Arial" w:eastAsia="Arial" w:hAnsi="Arial"/>
                <w:sz w:val="12"/>
                <w:szCs w:val="12"/>
                <w:b w:val="1"/>
                <w:bCs w:val="1"/>
                <w:color w:val="auto"/>
              </w:rPr>
              <w:t>Aggregate</w:t>
            </w: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jc w:val="center"/>
              <w:ind w:right="58"/>
              <w:spacing w:after="0" w:line="108" w:lineRule="exact"/>
              <w:rPr>
                <w:sz w:val="20"/>
                <w:szCs w:val="20"/>
                <w:color w:val="auto"/>
              </w:rPr>
            </w:pPr>
            <w:r>
              <w:rPr>
                <w:rFonts w:ascii="Arial" w:cs="Arial" w:eastAsia="Arial" w:hAnsi="Arial"/>
                <w:sz w:val="12"/>
                <w:szCs w:val="12"/>
                <w:b w:val="1"/>
                <w:bCs w:val="1"/>
                <w:color w:val="auto"/>
              </w:rPr>
              <w:t>Carrying value of</w:t>
            </w:r>
          </w:p>
        </w:tc>
        <w:tc>
          <w:tcPr>
            <w:tcW w:w="0" w:type="dxa"/>
            <w:vAlign w:val="bottom"/>
          </w:tcPr>
          <w:p>
            <w:pPr>
              <w:spacing w:after="0"/>
              <w:rPr>
                <w:sz w:val="1"/>
                <w:szCs w:val="1"/>
                <w:color w:val="auto"/>
              </w:rPr>
            </w:pPr>
          </w:p>
        </w:tc>
      </w:tr>
      <w:tr>
        <w:trPr>
          <w:trHeight w:val="122"/>
        </w:trPr>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Series</w:t>
            </w:r>
          </w:p>
        </w:tc>
        <w:tc>
          <w:tcPr>
            <w:tcW w:w="120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Authorized</w:t>
            </w:r>
          </w:p>
        </w:tc>
        <w:tc>
          <w:tcPr>
            <w:tcW w:w="10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80"/>
              <w:spacing w:after="0" w:line="122" w:lineRule="exact"/>
              <w:rPr>
                <w:sz w:val="20"/>
                <w:szCs w:val="20"/>
                <w:color w:val="auto"/>
              </w:rPr>
            </w:pPr>
            <w:r>
              <w:rPr>
                <w:rFonts w:ascii="Arial" w:cs="Arial" w:eastAsia="Arial" w:hAnsi="Arial"/>
                <w:sz w:val="13"/>
                <w:szCs w:val="13"/>
                <w:b w:val="1"/>
                <w:bCs w:val="1"/>
                <w:color w:val="auto"/>
              </w:rPr>
              <w:t>liquidation</w:t>
            </w:r>
          </w:p>
        </w:tc>
        <w:tc>
          <w:tcPr>
            <w:tcW w:w="140" w:type="dxa"/>
            <w:vAlign w:val="bottom"/>
          </w:tcPr>
          <w:p>
            <w:pPr>
              <w:spacing w:after="0"/>
              <w:rPr>
                <w:sz w:val="10"/>
                <w:szCs w:val="10"/>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96"/>
              </w:rPr>
              <w:t>Funds received</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8"/>
              </w:rPr>
              <w:t>Fees incurred</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38"/>
              <w:spacing w:after="0" w:line="122" w:lineRule="exact"/>
              <w:rPr>
                <w:sz w:val="20"/>
                <w:szCs w:val="20"/>
                <w:color w:val="auto"/>
              </w:rPr>
            </w:pPr>
            <w:r>
              <w:rPr>
                <w:rFonts w:ascii="Arial" w:cs="Arial" w:eastAsia="Arial" w:hAnsi="Arial"/>
                <w:sz w:val="13"/>
                <w:szCs w:val="13"/>
                <w:b w:val="1"/>
                <w:bCs w:val="1"/>
                <w:color w:val="auto"/>
                <w:w w:val="96"/>
              </w:rPr>
              <w:t>convertible preferred</w:t>
            </w:r>
          </w:p>
        </w:tc>
        <w:tc>
          <w:tcPr>
            <w:tcW w:w="0" w:type="dxa"/>
            <w:vAlign w:val="bottom"/>
          </w:tcPr>
          <w:p>
            <w:pPr>
              <w:spacing w:after="0"/>
              <w:rPr>
                <w:sz w:val="1"/>
                <w:szCs w:val="1"/>
                <w:color w:val="auto"/>
              </w:rPr>
            </w:pPr>
          </w:p>
        </w:tc>
      </w:tr>
      <w:tr>
        <w:trPr>
          <w:trHeight w:val="175"/>
        </w:trPr>
        <w:tc>
          <w:tcPr>
            <w:tcW w:w="1820" w:type="dxa"/>
            <w:vAlign w:val="bottom"/>
            <w:tcBorders>
              <w:bottom w:val="single" w:sz="8" w:color="DBDBDB"/>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4"/>
              </w:rPr>
              <w:t>stock</w:t>
            </w:r>
          </w:p>
        </w:tc>
        <w:tc>
          <w:tcPr>
            <w:tcW w:w="0" w:type="dxa"/>
            <w:vAlign w:val="bottom"/>
          </w:tcPr>
          <w:p>
            <w:pPr>
              <w:spacing w:after="0"/>
              <w:rPr>
                <w:sz w:val="1"/>
                <w:szCs w:val="1"/>
                <w:color w:val="auto"/>
              </w:rPr>
            </w:pPr>
          </w:p>
        </w:tc>
      </w:tr>
      <w:tr>
        <w:trPr>
          <w:trHeight w:val="223"/>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B</w:t>
            </w:r>
          </w:p>
        </w:tc>
        <w:tc>
          <w:tcPr>
            <w:tcW w:w="12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D</w:t>
            </w:r>
          </w:p>
        </w:tc>
        <w:tc>
          <w:tcPr>
            <w:tcW w:w="12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29"/>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138,300</w:t>
            </w:r>
          </w:p>
        </w:tc>
        <w:tc>
          <w:tcPr>
            <w:tcW w:w="10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138,300</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137,686</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820" w:type="dxa"/>
            <w:vAlign w:val="bottom"/>
            <w:vMerge w:val="continue"/>
          </w:tcPr>
          <w:p>
            <w:pPr>
              <w:spacing w:after="0"/>
              <w:rPr>
                <w:sz w:val="24"/>
                <w:szCs w:val="24"/>
                <w:color w:val="auto"/>
              </w:rPr>
            </w:pPr>
          </w:p>
        </w:tc>
        <w:tc>
          <w:tcPr>
            <w:tcW w:w="150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color w:val="auto"/>
              </w:rPr>
              <w:t>Shares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Aggregate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8"/>
              <w:spacing w:after="0" w:line="140" w:lineRule="exact"/>
              <w:rPr>
                <w:sz w:val="20"/>
                <w:szCs w:val="20"/>
                <w:color w:val="auto"/>
              </w:rPr>
            </w:pPr>
            <w:r>
              <w:rPr>
                <w:rFonts w:ascii="Arial" w:cs="Arial" w:eastAsia="Arial" w:hAnsi="Arial"/>
                <w:sz w:val="13"/>
                <w:szCs w:val="13"/>
                <w:b w:val="1"/>
                <w:bCs w:val="1"/>
                <w:color w:val="auto"/>
                <w:w w:val="97"/>
              </w:rPr>
              <w:t>Carrying value of</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Series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Per share price</w:t>
            </w:r>
          </w:p>
        </w:tc>
        <w:tc>
          <w:tcPr>
            <w:tcW w:w="20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liquidation</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38"/>
              <w:spacing w:after="0"/>
              <w:rPr>
                <w:sz w:val="20"/>
                <w:szCs w:val="20"/>
                <w:color w:val="auto"/>
              </w:rPr>
            </w:pPr>
            <w:r>
              <w:rPr>
                <w:rFonts w:ascii="Arial" w:cs="Arial" w:eastAsia="Arial" w:hAnsi="Arial"/>
                <w:sz w:val="13"/>
                <w:szCs w:val="13"/>
                <w:b w:val="1"/>
                <w:bCs w:val="1"/>
                <w:color w:val="auto"/>
                <w:w w:val="96"/>
              </w:rPr>
              <w:t>convertible preferred</w:t>
            </w:r>
          </w:p>
        </w:tc>
        <w:tc>
          <w:tcPr>
            <w:tcW w:w="0" w:type="dxa"/>
            <w:vAlign w:val="bottom"/>
          </w:tcPr>
          <w:p>
            <w:pPr>
              <w:spacing w:after="0"/>
              <w:rPr>
                <w:sz w:val="1"/>
                <w:szCs w:val="1"/>
                <w:color w:val="auto"/>
              </w:rPr>
            </w:pPr>
          </w:p>
        </w:tc>
      </w:tr>
      <w:tr>
        <w:trPr>
          <w:trHeight w:val="197"/>
        </w:trPr>
        <w:tc>
          <w:tcPr>
            <w:tcW w:w="1820" w:type="dxa"/>
            <w:vAlign w:val="bottom"/>
            <w:tcBorders>
              <w:bottom w:val="single" w:sz="8" w:color="DBDBDB"/>
            </w:tcBorders>
            <w:vMerge w:val="continue"/>
          </w:tcPr>
          <w:p>
            <w:pPr>
              <w:spacing w:after="0"/>
              <w:rPr>
                <w:sz w:val="17"/>
                <w:szCs w:val="17"/>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Authorized</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at issuance</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preference</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6"/>
              </w:rPr>
              <w:t>Funds received</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98"/>
              </w:rPr>
              <w:t>Fees incurred</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4"/>
              </w:rPr>
              <w:t>stock</w:t>
            </w:r>
          </w:p>
        </w:tc>
        <w:tc>
          <w:tcPr>
            <w:tcW w:w="0" w:type="dxa"/>
            <w:vAlign w:val="bottom"/>
          </w:tcPr>
          <w:p>
            <w:pPr>
              <w:spacing w:after="0"/>
              <w:rPr>
                <w:sz w:val="1"/>
                <w:szCs w:val="1"/>
                <w:color w:val="auto"/>
              </w:rPr>
            </w:pPr>
          </w:p>
        </w:tc>
      </w:tr>
      <w:tr>
        <w:trPr>
          <w:trHeight w:val="223"/>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B</w:t>
            </w:r>
          </w:p>
        </w:tc>
        <w:tc>
          <w:tcPr>
            <w:tcW w:w="12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D</w:t>
            </w:r>
          </w:p>
        </w:tc>
        <w:tc>
          <w:tcPr>
            <w:tcW w:w="12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F</w:t>
            </w:r>
          </w:p>
        </w:tc>
        <w:tc>
          <w:tcPr>
            <w:tcW w:w="12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November 2019, the Company completed the Series F Convertible Preferred Stock (Series F) financing and issued 758 shares of Series F preferred stock to accredited investors for $39.57 per share, generating gross proceeds of $30,000 and incurring issuance costs of $153, which were recorded as a reduction to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 w:right="339" w:bottom="1440" w:gutter="0" w:footer="0" w:header="0"/>
        </w:sectPr>
      </w:pPr>
    </w:p>
    <w:bookmarkStart w:id="226" w:name="page227"/>
    <w:bookmarkEnd w:id="22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color w:val="auto"/>
        </w:rPr>
        <w:t>In April 2020, the Company completed the Series G Convertible Preferred Stock (Series G) financing and issued 241 shares of Series G preferred stock to accredited investors for $41.38 per share, generating gross proceeds of $10,000 and incurring issuance costs of $24, which were recorded as a reduction to the carrying value of the convertible preferred stock.</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November 2020, the Company completed the Series H Convertible Preferred Stock (Series H) financing and issued 586 shares of Series H preferred stock to accredited investors for $59.77 per share, generating gross proceeds of $35,000 and incurring issuance costs of $52, which were recorded as a reduction to the carrying value of the convertible preferred stock.</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117"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Company has a stock incentive plan whereby the Board of Directors may grant stock options or restricted stock units (RSUs)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 November of 2020, the Board approved the amended and restated Plan, which provides for, among other things, the ability of the Company to grant RSUs. Each RSU award vests based upon the satisfaction, during the term of the RSUs, of two requirements: length of service and a liquidity event defined as a change in control or a qualified IPO.</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compensation expense has been included for RSUs as the vesting conditions are not probable. As of December 31, 2020, the Company had granted 34 RSUs, with a weighted-average grant date fair value of $38.08.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320" w:top="144" w:right="399" w:bottom="1440" w:gutter="0" w:footer="0" w:header="0"/>
        </w:sectPr>
      </w:pPr>
    </w:p>
    <w:bookmarkStart w:id="227" w:name="page228"/>
    <w:bookmarkEnd w:id="22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2020 and 2019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DBDBDB"/>
            </w:tcBorders>
          </w:tcPr>
          <w:p>
            <w:pPr>
              <w:spacing w:after="0"/>
              <w:rPr>
                <w:sz w:val="15"/>
                <w:szCs w:val="15"/>
                <w:color w:val="auto"/>
              </w:rPr>
            </w:pPr>
          </w:p>
        </w:tc>
        <w:tc>
          <w:tcPr>
            <w:tcW w:w="15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2019</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4,899</w:t>
            </w: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540" w:type="dxa"/>
            <w:vAlign w:val="bottom"/>
          </w:tcPr>
          <w:p>
            <w:pPr>
              <w:jc w:val="right"/>
              <w:spacing w:after="0"/>
              <w:rPr>
                <w:sz w:val="20"/>
                <w:szCs w:val="20"/>
                <w:color w:val="auto"/>
              </w:rPr>
            </w:pPr>
            <w:r>
              <w:rPr>
                <w:rFonts w:ascii="Arial" w:cs="Arial" w:eastAsia="Arial" w:hAnsi="Arial"/>
                <w:sz w:val="18"/>
                <w:szCs w:val="18"/>
                <w:color w:val="auto"/>
              </w:rPr>
              <w:t>6,507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51,488</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Repurchased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3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December 31, 2020</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4,190</w:t>
            </w:r>
          </w:p>
        </w:tc>
        <w:tc>
          <w:tcPr>
            <w:tcW w:w="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5.65</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6.04</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137,142</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total weighted-average grant date fair value of options granted was $4.27 and $9.77 and for the years ended December 31, 2019 and 2020, respectively. The total intrinsic value of options exercised was approximately $6,058 during the year ended December 31, 2020. There were 1,491 and 475 options available for grant at December 31, 2019 and 2020, respectively.</w:t>
      </w:r>
    </w:p>
    <w:p>
      <w:pPr>
        <w:spacing w:after="0" w:line="1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of December 31, 2020, there was approximately $27,966 of unrecognized compensation cost related to stock options granted under the plan. That cost is expected to be recognized over a weighted-average period of approximately three years. The amount of unrecognized compensation expense for RSUs as of December 31, 2020 was $1,311 with a weighted-average remaining contractual life of 3.67 years, for a total unrecognized compensation expense of $29,276.</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November 18, 2020, a secondary sale transaction was completed between certain founders and employees of the Company and a new investor. The investor purchased 468 shares of common stock at a purchase price of $59.77 per share, which was deemed in excess of the fair market value of the common stock of $38.08 per share on the date of purchase. The Company did not arrange these transactions but did waive its right of first refusal in order to permit such transactions. Further, the Company did not receive any proceeds from these transactions. Stock-based compensation expenses of $10,158 were recognized in the consolidated statements of operations and comprehensive loss within general and administrative expense for the year ended December 31, 2020, to reflect the difference in the Company’s fair market value of its common stock and the purchase price.</w:t>
      </w:r>
    </w:p>
    <w:p>
      <w:pPr>
        <w:spacing w:after="0" w:line="1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Compensation expense is recognized over the service period, which approximates the vesting period. Total compensation expense was $3,725 and $17,031 in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 w:right="339" w:bottom="1440" w:gutter="0" w:footer="0" w:header="0"/>
        </w:sectPr>
      </w:pPr>
    </w:p>
    <w:bookmarkStart w:id="228" w:name="page229"/>
    <w:bookmarkEnd w:id="22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expense is included in the consolidated statements of operations as shown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DBDBDB"/>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13,904</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17,031</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Nominal amounts of stock based compensation expense was capitalized into capitalized software for the years ended December 31, 2019 and 2020.</w:t>
      </w:r>
    </w:p>
    <w:p>
      <w:pPr>
        <w:spacing w:after="0" w:line="1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Borders>
              <w:bottom w:val="single" w:sz="8" w:color="DBDBDB"/>
            </w:tcBorders>
          </w:tcPr>
          <w:p>
            <w:pPr>
              <w:spacing w:after="0"/>
              <w:rPr>
                <w:sz w:val="16"/>
                <w:szCs w:val="16"/>
                <w:color w:val="auto"/>
              </w:rPr>
            </w:pPr>
          </w:p>
        </w:tc>
        <w:tc>
          <w:tcPr>
            <w:tcW w:w="244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218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23"/>
        </w:trPr>
        <w:tc>
          <w:tcPr>
            <w:tcW w:w="6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25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1.60–2.52%</w:t>
            </w:r>
          </w:p>
        </w:tc>
        <w:tc>
          <w:tcPr>
            <w:tcW w:w="2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0.32–0.68%</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2540" w:type="dxa"/>
            <w:vAlign w:val="bottom"/>
            <w:gridSpan w:val="2"/>
          </w:tcPr>
          <w:p>
            <w:pPr>
              <w:ind w:left="1580"/>
              <w:spacing w:after="0"/>
              <w:rPr>
                <w:sz w:val="20"/>
                <w:szCs w:val="20"/>
                <w:color w:val="auto"/>
              </w:rPr>
            </w:pPr>
            <w:r>
              <w:rPr>
                <w:rFonts w:ascii="Arial" w:cs="Arial" w:eastAsia="Arial" w:hAnsi="Arial"/>
                <w:sz w:val="18"/>
                <w:szCs w:val="18"/>
                <w:color w:val="auto"/>
              </w:rPr>
              <w:t>5.97 years</w:t>
            </w:r>
          </w:p>
        </w:tc>
        <w:tc>
          <w:tcPr>
            <w:tcW w:w="2180" w:type="dxa"/>
            <w:vAlign w:val="bottom"/>
          </w:tcPr>
          <w:p>
            <w:pPr>
              <w:jc w:val="right"/>
              <w:spacing w:after="0"/>
              <w:rPr>
                <w:sz w:val="20"/>
                <w:szCs w:val="20"/>
                <w:color w:val="auto"/>
              </w:rPr>
            </w:pPr>
            <w:r>
              <w:rPr>
                <w:rFonts w:ascii="Arial" w:cs="Arial" w:eastAsia="Arial" w:hAnsi="Arial"/>
                <w:sz w:val="18"/>
                <w:szCs w:val="18"/>
                <w:color w:val="auto"/>
              </w:rPr>
              <w:t>6.01 years</w:t>
            </w:r>
          </w:p>
        </w:tc>
      </w:tr>
      <w:tr>
        <w:trPr>
          <w:trHeight w:val="230"/>
        </w:trPr>
        <w:tc>
          <w:tcPr>
            <w:tcW w:w="6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volatility</w:t>
            </w:r>
          </w:p>
        </w:tc>
        <w:tc>
          <w:tcPr>
            <w:tcW w:w="25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43.57 –46.65%</w:t>
            </w:r>
          </w:p>
        </w:tc>
        <w:tc>
          <w:tcPr>
            <w:tcW w:w="2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45.50 –49.38%</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5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1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of common stock</w:t>
            </w:r>
          </w:p>
        </w:tc>
        <w:tc>
          <w:tcPr>
            <w:tcW w:w="2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$7.48 - $14.42</w:t>
            </w:r>
          </w:p>
        </w:tc>
        <w:tc>
          <w:tcPr>
            <w:tcW w:w="100" w:type="dxa"/>
            <w:vAlign w:val="bottom"/>
            <w:shd w:val="clear" w:color="auto" w:fill="DBDBDB"/>
          </w:tcPr>
          <w:p>
            <w:pPr>
              <w:spacing w:after="0"/>
              <w:rPr>
                <w:sz w:val="19"/>
                <w:szCs w:val="19"/>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$14.42 - $38.08</w:t>
            </w:r>
          </w:p>
        </w:tc>
      </w:tr>
    </w:tbl>
    <w:p>
      <w:pPr>
        <w:spacing w:after="0" w:line="256"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risk-free interest rate is based on the US treasury yield curve in effect as of the grant date. When establishing the expected life assumptions, the Company annually reviews historical employee exercise behavior of option grants and other economic data impacting the period the stock options are expected to remain outstanding. Expected volatility is determined using a benchmark index of similar public companies. The Company based the assumed dividend yield on its expectation of not paying dividends in the foreseeable future. Because the Company’s common stock is not yet publicly traded, the Company must estimate the fair value of common stock. The Board estimates the fair value of the common stock at the time awards are granted based on factors such as valuations of comparable companies, the status of the Company’s development and sales efforts, revenue growth, and additional objective and subjective factors relating to the Company’s business.</w:t>
      </w:r>
    </w:p>
    <w:p>
      <w:pPr>
        <w:spacing w:after="0" w:line="120"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w:t>
      </w:r>
    </w:p>
    <w:p>
      <w:pPr>
        <w:spacing w:after="0" w:line="98" w:lineRule="exact"/>
        <w:rPr>
          <w:sz w:val="20"/>
          <w:szCs w:val="20"/>
          <w:color w:val="auto"/>
        </w:rPr>
      </w:pPr>
    </w:p>
    <w:p>
      <w:pPr>
        <w:jc w:val="both"/>
        <w:ind w:right="220"/>
        <w:spacing w:after="0" w:line="284" w:lineRule="auto"/>
        <w:rPr>
          <w:sz w:val="20"/>
          <w:szCs w:val="20"/>
          <w:color w:val="auto"/>
        </w:rPr>
      </w:pPr>
      <w:r>
        <w:rPr>
          <w:rFonts w:ascii="Arial" w:cs="Arial" w:eastAsia="Arial" w:hAnsi="Arial"/>
          <w:sz w:val="18"/>
          <w:szCs w:val="18"/>
          <w:b w:val="1"/>
          <w:bCs w:val="1"/>
          <w:color w:val="auto"/>
        </w:rPr>
        <w:t xml:space="preserve">Sales and use and value-added tax (VAT) </w:t>
      </w:r>
      <w:r>
        <w:rPr>
          <w:rFonts w:ascii="Arial" w:cs="Arial" w:eastAsia="Arial" w:hAnsi="Arial"/>
          <w:sz w:val="18"/>
          <w:szCs w:val="18"/>
          <w:color w:val="auto"/>
        </w:rPr>
        <w:t>- The Company determined that it was required to pay sales and use and VAT taxes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16"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 The Company has determined that there were no transactions with related parties as of or during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 w:right="339" w:bottom="1440" w:gutter="0" w:footer="0" w:header="0"/>
        </w:sectPr>
      </w:pPr>
    </w:p>
    <w:bookmarkStart w:id="229" w:name="page230"/>
    <w:bookmarkEnd w:id="22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420" w:type="dxa"/>
            <w:vAlign w:val="bottom"/>
          </w:tcPr>
          <w:p>
            <w:pPr>
              <w:ind w:left="80"/>
              <w:spacing w:after="0"/>
              <w:rPr>
                <w:sz w:val="20"/>
                <w:szCs w:val="20"/>
                <w:color w:val="auto"/>
              </w:rPr>
            </w:pPr>
            <w:r>
              <w:rPr>
                <w:rFonts w:ascii="Arial" w:cs="Arial" w:eastAsia="Arial" w:hAnsi="Arial"/>
                <w:sz w:val="18"/>
                <w:szCs w:val="18"/>
                <w:b w:val="1"/>
                <w:bCs w:val="1"/>
                <w:color w:val="auto"/>
              </w:rPr>
              <w:t>ACCRUED EXPENSES AND OTHER LIABILITIES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5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3"/>
        </w:trPr>
        <w:tc>
          <w:tcPr>
            <w:tcW w:w="560" w:type="dxa"/>
            <w:vAlign w:val="bottom"/>
            <w:tcBorders>
              <w:bottom w:val="single" w:sz="8" w:color="DBDBDB"/>
            </w:tcBorders>
          </w:tcPr>
          <w:p>
            <w:pPr>
              <w:spacing w:after="0"/>
              <w:rPr>
                <w:sz w:val="15"/>
                <w:szCs w:val="15"/>
                <w:color w:val="auto"/>
              </w:rPr>
            </w:pPr>
          </w:p>
        </w:tc>
        <w:tc>
          <w:tcPr>
            <w:tcW w:w="742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Sales and VAT tax accrual</w:t>
            </w:r>
          </w:p>
        </w:tc>
        <w:tc>
          <w:tcPr>
            <w:tcW w:w="1000" w:type="dxa"/>
            <w:vAlign w:val="bottom"/>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2,301</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Marketing related accruals</w:t>
            </w:r>
          </w:p>
        </w:tc>
        <w:tc>
          <w:tcPr>
            <w:tcW w:w="10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Obligations under current leases</w:t>
            </w:r>
          </w:p>
        </w:tc>
        <w:tc>
          <w:tcPr>
            <w:tcW w:w="10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1,111</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Employee related benefits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7420" w:type="dxa"/>
            <w:vAlign w:val="bottom"/>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2,820</w:t>
            </w:r>
          </w:p>
        </w:tc>
      </w:tr>
      <w:tr>
        <w:trPr>
          <w:trHeight w:val="223"/>
        </w:trPr>
        <w:tc>
          <w:tcPr>
            <w:tcW w:w="560" w:type="dxa"/>
            <w:vAlign w:val="bottom"/>
          </w:tcPr>
          <w:p>
            <w:pPr>
              <w:ind w:left="20"/>
              <w:spacing w:after="0"/>
              <w:rPr>
                <w:sz w:val="20"/>
                <w:szCs w:val="20"/>
                <w:color w:val="auto"/>
              </w:rPr>
            </w:pPr>
            <w:r>
              <w:rPr>
                <w:rFonts w:ascii="Arial" w:cs="Arial" w:eastAsia="Arial" w:hAnsi="Arial"/>
                <w:sz w:val="18"/>
                <w:szCs w:val="18"/>
                <w:color w:val="auto"/>
              </w:rPr>
              <w:t>Total</w:t>
            </w:r>
          </w:p>
        </w:tc>
        <w:tc>
          <w:tcPr>
            <w:tcW w:w="742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r>
      <w:tr>
        <w:trPr>
          <w:trHeight w:val="21"/>
        </w:trPr>
        <w:tc>
          <w:tcPr>
            <w:tcW w:w="5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Plan provides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$1,014 and $1,796 and during 2019 and 2020, respectively. The Company did not make any discretionary matching or profit sharing contributions during 2019 or 2020.</w:t>
      </w:r>
    </w:p>
    <w:p>
      <w:pPr>
        <w:spacing w:after="0" w:line="118"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are considered to be potential common stock equivalents but have been excluded from the calculation of diluted net loss per share attributable to common stockholders as their effect is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188"/>
        </w:trPr>
        <w:tc>
          <w:tcPr>
            <w:tcW w:w="7980" w:type="dxa"/>
            <w:vAlign w:val="bottom"/>
          </w:tcPr>
          <w:p>
            <w:pPr>
              <w:ind w:left="18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Since the Company was in a net loss position for the year ended December 31, 2019 and 2020, there is no difference between the number of shares used to calculate basic and diluted loss per share. The potential shares of common stock that were excluded from the computation of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 w:right="339" w:bottom="1440" w:gutter="0" w:footer="0" w:header="0"/>
        </w:sectPr>
      </w:pPr>
    </w:p>
    <w:bookmarkStart w:id="230" w:name="page231"/>
    <w:bookmarkEnd w:id="23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common stockholders for the period presented because including them would have been antidilutive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Number of Shares</w:t>
            </w:r>
          </w:p>
        </w:tc>
      </w:tr>
      <w:tr>
        <w:trPr>
          <w:trHeight w:val="183"/>
        </w:trPr>
        <w:tc>
          <w:tcPr>
            <w:tcW w:w="802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r>
      <w:tr>
        <w:trPr>
          <w:trHeight w:val="248"/>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21,436</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23,265</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were evaluated through April 30, 2021, the date that these consolidated financial statements were available to be issued.</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shares underlying options were put back into the option pool and 23 shares were retired with an $868 increase to Additional paid-in capital.</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March 10, 2021, the Company announced that it is ending its non-employee volunteer program, which began in 2013 to build and improve the courses using an internal tool. As part of this change, those contributors who helped pave the way to Duolingo’s success will be eligible to receive a one-time award, up to an aggregate amount of approximately $5,098, including fees paid to process payments of approximately $526. The payments are expected to be paid out during the second quarter of 2021, but the expense will be recognized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 w:right="339" w:bottom="1440" w:gutter="0" w:footer="0" w:header="0"/>
        </w:sectPr>
      </w:pPr>
    </w:p>
    <w:bookmarkStart w:id="231" w:name="page232"/>
    <w:bookmarkEnd w:id="23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38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7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DBDBDB"/>
          </w:tcPr>
          <w:p>
            <w:pPr>
              <w:spacing w:after="0"/>
              <w:rPr>
                <w:sz w:val="18"/>
                <w:szCs w:val="18"/>
                <w:color w:val="auto"/>
              </w:rPr>
            </w:pPr>
          </w:p>
        </w:tc>
        <w:tc>
          <w:tcPr>
            <w:tcW w:w="14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380" w:type="dxa"/>
            <w:vAlign w:val="bottom"/>
            <w:tcBorders>
              <w:top w:val="single" w:sz="8" w:color="auto"/>
            </w:tcBorders>
            <w:shd w:val="clear" w:color="auto" w:fill="DBDBDB"/>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23,347</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16,059</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158,994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6,815</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176,874</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3,780</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65,262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14,956</w:t>
            </w:r>
          </w:p>
        </w:tc>
      </w:tr>
      <w:tr>
        <w:trPr>
          <w:trHeight w:val="223"/>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65,690</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84,078</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 term obligation under operating leases</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7,972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92,050</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Convertible preferred stock, $.0001 par value; 19,074 shares issued and outstanding at December</w:t>
            </w:r>
          </w:p>
        </w:tc>
        <w:tc>
          <w:tcPr>
            <w:tcW w:w="1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182,609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182,609</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31, 2020 and March 31, 2021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$.0001 par value; 42,800 authorized shares; 12,794 issued and outstanding at</w:t>
            </w:r>
          </w:p>
        </w:tc>
        <w:tc>
          <w:tcPr>
            <w:tcW w:w="1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2020 and 13,118 issued and outstanding at March 31, 2021.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26,465</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(97,785)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176,874</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 w:right="339" w:bottom="1440" w:gutter="0" w:footer="0" w:header="0"/>
        </w:sectPr>
      </w:pPr>
    </w:p>
    <w:bookmarkStart w:id="232" w:name="page233"/>
    <w:bookmarkEnd w:id="23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DBDBDB"/>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28,112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55,360</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15,019</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19,898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40,341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22,529</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19,773</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11,453</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22,353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(13,414)</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(13,455)</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Borders>
              <w:bottom w:val="single" w:sz="8" w:color="auto"/>
            </w:tcBorders>
            <w:shd w:val="clear" w:color="auto" w:fill="DBDBDB"/>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(13,472)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980" w:type="dxa"/>
            <w:vAlign w:val="bottom"/>
          </w:tcPr>
          <w:p>
            <w:pPr>
              <w:ind w:left="20"/>
              <w:spacing w:after="0"/>
              <w:rPr>
                <w:sz w:val="20"/>
                <w:szCs w:val="20"/>
                <w:color w:val="auto"/>
              </w:rPr>
            </w:pPr>
            <w:r>
              <w:rPr>
                <w:rFonts w:ascii="Arial" w:cs="Arial" w:eastAsia="Arial" w:hAnsi="Arial"/>
                <w:sz w:val="14"/>
                <w:szCs w:val="14"/>
                <w:color w:val="auto"/>
              </w:rPr>
              <w:t>Basic and diluted net loss per share attributable to common stockholders</w:t>
            </w:r>
          </w:p>
        </w:tc>
        <w:tc>
          <w:tcPr>
            <w:tcW w:w="960" w:type="dxa"/>
            <w:vAlign w:val="bottom"/>
            <w:tcBorders>
              <w:bottom w:val="single" w:sz="8" w:color="auto"/>
            </w:tcBorders>
          </w:tcPr>
          <w:p>
            <w:pPr>
              <w:jc w:val="right"/>
              <w:ind w:right="757"/>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 w:right="339" w:bottom="1440" w:gutter="0" w:footer="0" w:header="0"/>
        </w:sectPr>
      </w:pPr>
    </w:p>
    <w:bookmarkStart w:id="233" w:name="page234"/>
    <w:bookmarkEnd w:id="23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000" w:type="dxa"/>
            <w:vAlign w:val="bottom"/>
            <w:gridSpan w:val="5"/>
          </w:tcPr>
          <w:p>
            <w:pPr>
              <w:ind w:left="380"/>
              <w:spacing w:after="0"/>
              <w:rPr>
                <w:sz w:val="20"/>
                <w:szCs w:val="20"/>
                <w:color w:val="auto"/>
              </w:rPr>
            </w:pPr>
            <w:r>
              <w:rPr>
                <w:rFonts w:ascii="Arial" w:cs="Arial" w:eastAsia="Arial" w:hAnsi="Arial"/>
                <w:sz w:val="14"/>
                <w:szCs w:val="14"/>
                <w:b w:val="1"/>
                <w:bCs w:val="1"/>
                <w:color w:val="auto"/>
              </w:rPr>
              <w:t>Preferred Stock</w:t>
            </w:r>
          </w:p>
        </w:tc>
        <w:tc>
          <w:tcPr>
            <w:tcW w:w="19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BALANCE—Balance—January 1, 2020</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$ 137,686</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12,406</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(95,003)</w:t>
            </w:r>
          </w:p>
        </w:tc>
        <w:tc>
          <w:tcPr>
            <w:tcW w:w="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(83,976)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9"/>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48"/>
        </w:trPr>
        <w:tc>
          <w:tcPr>
            <w:tcW w:w="44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BALANCE—March 31, 2020</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$ 137,686</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12,456</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12,462</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(97,236)</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(84,773)</w:t>
            </w:r>
          </w:p>
        </w:tc>
        <w:tc>
          <w:tcPr>
            <w:tcW w:w="0" w:type="dxa"/>
            <w:vAlign w:val="bottom"/>
          </w:tcPr>
          <w:p>
            <w:pPr>
              <w:spacing w:after="0"/>
              <w:rPr>
                <w:sz w:val="1"/>
                <w:szCs w:val="1"/>
                <w:color w:val="auto"/>
              </w:rPr>
            </w:pP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Pr>
          <w:p>
            <w:pPr>
              <w:ind w:left="20"/>
              <w:spacing w:after="0" w:line="203" w:lineRule="exact"/>
              <w:rPr>
                <w:sz w:val="20"/>
                <w:szCs w:val="20"/>
                <w:color w:val="auto"/>
              </w:rPr>
            </w:pPr>
            <w:r>
              <w:rPr>
                <w:rFonts w:ascii="Arial" w:cs="Arial" w:eastAsia="Arial" w:hAnsi="Arial"/>
                <w:sz w:val="18"/>
                <w:szCs w:val="18"/>
                <w:color w:val="auto"/>
              </w:rPr>
              <w:t>Balance—January 1, 2021</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19,074</w:t>
            </w: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99"/>
              </w:rPr>
              <w:t>$ 182,609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12,794</w:t>
            </w:r>
          </w:p>
        </w:tc>
        <w:tc>
          <w:tcPr>
            <w:tcW w:w="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30,087</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(110,779)</w:t>
            </w: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 (80,691)</w:t>
            </w:r>
          </w:p>
        </w:tc>
        <w:tc>
          <w:tcPr>
            <w:tcW w:w="0" w:type="dxa"/>
            <w:vAlign w:val="bottom"/>
          </w:tcPr>
          <w:p>
            <w:pPr>
              <w:spacing w:after="0"/>
              <w:rPr>
                <w:sz w:val="1"/>
                <w:szCs w:val="1"/>
                <w:color w:val="auto"/>
              </w:rPr>
            </w:pPr>
          </w:p>
        </w:tc>
      </w:tr>
      <w:tr>
        <w:trPr>
          <w:trHeight w:val="229"/>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Options repurchased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29"/>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(13,472)</w:t>
            </w:r>
          </w:p>
        </w:tc>
        <w:tc>
          <w:tcPr>
            <w:tcW w:w="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63"/>
        </w:trPr>
        <w:tc>
          <w:tcPr>
            <w:tcW w:w="4400" w:type="dxa"/>
            <w:vAlign w:val="bottom"/>
          </w:tcPr>
          <w:p>
            <w:pPr>
              <w:ind w:left="20"/>
              <w:spacing w:after="0"/>
              <w:rPr>
                <w:sz w:val="20"/>
                <w:szCs w:val="20"/>
                <w:color w:val="auto"/>
              </w:rPr>
            </w:pPr>
            <w:r>
              <w:rPr>
                <w:rFonts w:ascii="Arial" w:cs="Arial" w:eastAsia="Arial" w:hAnsi="Arial"/>
                <w:sz w:val="18"/>
                <w:szCs w:val="18"/>
                <w:color w:val="auto"/>
              </w:rPr>
              <w:t>BALANCE—March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$ 182,609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13,118</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(124,251)</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(97,785)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 w:right="339" w:bottom="1440" w:gutter="0" w:footer="0" w:header="0"/>
        </w:sectPr>
      </w:pPr>
    </w:p>
    <w:bookmarkStart w:id="234" w:name="page235"/>
    <w:bookmarkEnd w:id="23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Changes in:</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8,769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cost of revenue</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Noncurrent assets and liabilities</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4,719</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5,123</w:t>
            </w: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Capitalized software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used for investing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w:t>
            </w: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Repurchases of stock options</w:t>
            </w:r>
          </w:p>
        </w:tc>
        <w:tc>
          <w:tcPr>
            <w:tcW w:w="96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Payment of deferred offering costs</w:t>
            </w:r>
          </w:p>
        </w:tc>
        <w:tc>
          <w:tcPr>
            <w:tcW w:w="96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DBDBDB"/>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(6,376)</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59,843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120,490</w:t>
            </w:r>
          </w:p>
        </w:tc>
        <w:tc>
          <w:tcPr>
            <w:tcW w:w="0" w:type="dxa"/>
            <w:vAlign w:val="bottom"/>
          </w:tcPr>
          <w:p>
            <w:pPr>
              <w:spacing w:after="0"/>
              <w:rPr>
                <w:sz w:val="1"/>
                <w:szCs w:val="1"/>
                <w:color w:val="auto"/>
              </w:rPr>
            </w:pPr>
          </w:p>
        </w:tc>
      </w:tr>
      <w:tr>
        <w:trPr>
          <w:trHeight w:val="255"/>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960" w:type="dxa"/>
            <w:vAlign w:val="bottom"/>
            <w:tcBorders>
              <w:bottom w:val="single" w:sz="8" w:color="auto"/>
            </w:tcBorders>
            <w:shd w:val="clear" w:color="auto" w:fill="DBDBDB"/>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63,121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117,459</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DBDBDB"/>
          </w:tcPr>
          <w:p>
            <w:pPr>
              <w:jc w:val="right"/>
              <w:ind w:right="755"/>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79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6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included in accrued expenses</w:t>
            </w:r>
          </w:p>
        </w:tc>
        <w:tc>
          <w:tcPr>
            <w:tcW w:w="960" w:type="dxa"/>
            <w:vAlign w:val="bottom"/>
            <w:shd w:val="clear" w:color="auto" w:fill="DBDBDB"/>
          </w:tcPr>
          <w:p>
            <w:pPr>
              <w:jc w:val="right"/>
              <w:ind w:right="755"/>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 w:right="339" w:bottom="1440" w:gutter="0" w:footer="0" w:header="0"/>
        </w:sectPr>
      </w:pPr>
    </w:p>
    <w:bookmarkStart w:id="235" w:name="page236"/>
    <w:bookmarkEnd w:id="23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5"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Duolingo, Inc. (the “Company”) was formed on August 18, 2011 and the Duolingo app was launched to the general public on June 19,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Pittsburgh, Pennsylvania.</w:t>
      </w:r>
    </w:p>
    <w:p>
      <w:pPr>
        <w:spacing w:after="0" w:line="18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ind w:right="320"/>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Unaudited Condensed Consolidated Financial Statements include the accounts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over which the Company has control. All intercompany transactions and balances have been eliminated.</w:t>
      </w:r>
    </w:p>
    <w:p>
      <w:pPr>
        <w:spacing w:after="0" w:line="98"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generally accepted accounting principles in the United States (“GAAP”) from the Company’s accounting records and reflect the consolidated financial position and results of operations for the three months ended March 31, 2020 and 2021. Unless otherwise specified, all dollar amounts are referred to in thousands.</w:t>
      </w:r>
    </w:p>
    <w:p>
      <w:pPr>
        <w:spacing w:after="0" w:line="14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consistently applied the accounting policies consistent with the annual consolidated financial statements elsewhere in this prospectus, in preparing these Unaudited Condensed Consolidated Financial Statements, with the exception of accounting standard updates described in Note 2, “Recently Added Accounting Pronouncements.” These Unaudited Condensed Consolidated Financial Statements should be read in conjunction with the audited financial statements and the notes included in elsewhere in this prospectus.</w:t>
      </w:r>
    </w:p>
    <w:p>
      <w:pPr>
        <w:spacing w:after="0" w:line="133"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32"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80"/>
          </w:cols>
          <w:pgMar w:left="320" w:top="144" w:right="399" w:bottom="1440" w:gutter="0" w:footer="0" w:header="0"/>
        </w:sectPr>
      </w:pPr>
    </w:p>
    <w:bookmarkStart w:id="236" w:name="page237"/>
    <w:bookmarkEnd w:id="23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2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which consist of direct incremental legal, accounting, and consulting fees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IPO, are capitalized. The deferred offering costs will be offset against IPO proceeds upon the consummation of the IPO. In the event the planned IPO is terminated, the deferred offering costs will be expensed. There were no deferred offering costs recorded as of December 31, 2020. As of March 31, 2021, there was $203 of deferred offering costs recorded within Prepaid expenses and other current assets on the unaudited condensed consolidated balance sheets.</w:t>
      </w:r>
    </w:p>
    <w:p>
      <w:pPr>
        <w:spacing w:after="0" w:line="12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380" w:type="dxa"/>
            <w:vAlign w:val="bottom"/>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20,428</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13,396</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104,063</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117,459</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unadjusted, quoted prices in active markets for identical assets or liabilities at the measurement date.</w:t>
      </w:r>
    </w:p>
    <w:p>
      <w:pPr>
        <w:spacing w:after="0" w:line="121"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Advertising costs were approximately $12,066 and $4,035 for the three months ended March 31, 2021 and 2020,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and are included within Sales and marketing in the unaudited condensed consolidated statements of operations.</w:t>
      </w:r>
    </w:p>
    <w:p>
      <w:pPr>
        <w:spacing w:after="0" w:line="98" w:lineRule="exact"/>
        <w:rPr>
          <w:sz w:val="20"/>
          <w:szCs w:val="20"/>
          <w:color w:val="auto"/>
        </w:rPr>
      </w:pPr>
    </w:p>
    <w:p>
      <w:pPr>
        <w:jc w:val="both"/>
        <w:ind w:right="120"/>
        <w:spacing w:after="0" w:line="284"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Company’s interim period provision for income taxes is computed by using an estimate of the annual effective tax rate,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for discrete items taken into account in the relevant period, if any. Each quarter, the annual effective income tax rate is recomputed and if there are material changes in the estimate, a cumulative adjustment is made.</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color w:val="auto"/>
        </w:rPr>
        <w:t>Contributors—</w:t>
      </w:r>
      <w:r>
        <w:rPr>
          <w:rFonts w:ascii="Arial" w:cs="Arial" w:eastAsia="Arial" w:hAnsi="Arial"/>
          <w:sz w:val="18"/>
          <w:szCs w:val="18"/>
          <w:color w:val="auto"/>
        </w:rPr>
        <w:t>On March 10, 2021, the Company announced that it was ending its non-employee volunteer program, which began in 2013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build and improve language courses. As part of this change, those contributors who participated in the program became eligible to receive a one-time award, up to an aggregate amount of approximately $5,098, including fees paid to process payments of approximately $526. The Company accounted for this under ASC 958-720, </w:t>
      </w:r>
      <w:r>
        <w:rPr>
          <w:rFonts w:ascii="Arial" w:cs="Arial" w:eastAsia="Arial" w:hAnsi="Arial"/>
          <w:sz w:val="18"/>
          <w:szCs w:val="18"/>
          <w:i w:val="1"/>
          <w:iCs w:val="1"/>
          <w:color w:val="auto"/>
        </w:rPr>
        <w:t>Not-For-Profit Entities - Other Expenses</w:t>
      </w:r>
      <w:r>
        <w:rPr>
          <w:rFonts w:ascii="Arial" w:cs="Arial" w:eastAsia="Arial" w:hAnsi="Arial"/>
          <w:sz w:val="18"/>
          <w:szCs w:val="18"/>
          <w:color w:val="auto"/>
        </w:rPr>
        <w:t xml:space="preserve"> and ASC 720-25, </w:t>
      </w:r>
      <w:r>
        <w:rPr>
          <w:rFonts w:ascii="Arial" w:cs="Arial" w:eastAsia="Arial" w:hAnsi="Arial"/>
          <w:sz w:val="18"/>
          <w:szCs w:val="18"/>
          <w:i w:val="1"/>
          <w:iCs w:val="1"/>
          <w:color w:val="auto"/>
        </w:rPr>
        <w:t>Contributions Made</w:t>
      </w:r>
      <w:r>
        <w:rPr>
          <w:rFonts w:ascii="Arial" w:cs="Arial" w:eastAsia="Arial" w:hAnsi="Arial"/>
          <w:sz w:val="18"/>
          <w:szCs w:val="18"/>
          <w:color w:val="auto"/>
        </w:rPr>
        <w:t>, based on the nature of this contribution, which is an unconditional promise. This amount was included in the unaudited condensed consolidated statement of operations within Sales and marketing in the three months ended March 31, 2021, which is when the Company made the unconditional promise to pay, and is included in the unaudited condensed consolidated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 w:right="339" w:bottom="1440" w:gutter="0" w:footer="0" w:header="0"/>
        </w:sectPr>
      </w:pPr>
    </w:p>
    <w:bookmarkStart w:id="237" w:name="page238"/>
    <w:bookmarkEnd w:id="23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sheets within Accrued expenses and other liabilities as of March 31, 2021. The payments are expected to be paid out during the second quarter of 2021.</w:t>
      </w:r>
    </w:p>
    <w:p>
      <w:pPr>
        <w:spacing w:after="0" w:line="121"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 providers. The top three service providers, Apple, Google and Stripe, accounted for 47.8%, 28.9% and 13.8% of total Accounts receivable as of December 31, 2020, respectively. The top two, Apple and Google, accounted for 62.7% and 20.6% as of March 31, 2021, respectively.</w:t>
      </w:r>
    </w:p>
    <w:p>
      <w:pPr>
        <w:spacing w:after="0" w:line="14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Two service providers, Apple and Google, processed 55.1% and 29.3% of total revenue for the three months ended March 31, 2020 and three service providers, Apple, Google and Stripe, processed 50.1%, 28.3% and 10.3% of total revenue for the three months ended March 31, 2021,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 xml:space="preserve">In August 2018, the FASB issued Accounting Standard Update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 Incurred in a Cloud Computing Arrangement That is a Service Contract (ASU 2018-15)</w:t>
      </w:r>
      <w:r>
        <w:rPr>
          <w:rFonts w:ascii="Arial" w:cs="Arial" w:eastAsia="Arial" w:hAnsi="Arial"/>
          <w:sz w:val="18"/>
          <w:szCs w:val="18"/>
          <w:color w:val="auto"/>
        </w:rPr>
        <w:t>. ASU 2018-15 aligns the requirements for capitalizing implementation costs incurred in a hosting arrangement that is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contract with the requirements for capitalizing implementation costs incurred to develop or obtain internal-use software. The Company adopted this guidance on January 1, 2021 and it did not have a material impact on its consolidated financial statements and related disclosures upon adoption.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 Not Yet Adopted</w:t>
      </w:r>
    </w:p>
    <w:p>
      <w:pPr>
        <w:spacing w:after="0" w:line="18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consolidated financial statements and related disclosures.</w:t>
      </w:r>
    </w:p>
    <w:p>
      <w:pPr>
        <w:spacing w:after="0" w:line="110"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5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320" w:top="144" w:right="379" w:bottom="1440" w:gutter="0" w:footer="0" w:header="0"/>
        </w:sectPr>
      </w:pPr>
    </w:p>
    <w:bookmarkStart w:id="238" w:name="page239"/>
    <w:bookmarkEnd w:id="23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4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haven’t been proctored nor expired.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9" w:lineRule="exact"/>
        <w:rPr>
          <w:sz w:val="20"/>
          <w:szCs w:val="20"/>
          <w:color w:val="auto"/>
        </w:rPr>
      </w:pPr>
    </w:p>
    <w:p>
      <w:pPr>
        <w:jc w:val="both"/>
        <w:ind w:right="200"/>
        <w:spacing w:after="0" w:line="282" w:lineRule="auto"/>
        <w:rPr>
          <w:sz w:val="20"/>
          <w:szCs w:val="20"/>
          <w:color w:val="auto"/>
        </w:rPr>
      </w:pPr>
      <w:r>
        <w:rPr>
          <w:rFonts w:ascii="Arial" w:cs="Arial" w:eastAsia="Arial" w:hAnsi="Arial"/>
          <w:sz w:val="18"/>
          <w:szCs w:val="18"/>
          <w:color w:val="auto"/>
        </w:rPr>
        <w:t xml:space="preserve">In accordance with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and geographical regions, which most closely depicts how the nature, amount, timing and uncertainty of revenue and cash flows are affected by economic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60" w:type="dxa"/>
            <w:vAlign w:val="bottom"/>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960" w:type="dxa"/>
            <w:vAlign w:val="bottom"/>
            <w:shd w:val="clear" w:color="auto" w:fill="DBDBDB"/>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22,171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40,055</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Point in time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shd w:val="clear" w:color="auto" w:fill="DBDBDB"/>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28,112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55,360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 w:right="339" w:bottom="1440" w:gutter="0" w:footer="0" w:header="0"/>
        </w:sectPr>
      </w:pPr>
    </w:p>
    <w:bookmarkStart w:id="239" w:name="page240"/>
    <w:bookmarkEnd w:id="23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stream:</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180" w:type="dxa"/>
            <w:vAlign w:val="bottom"/>
            <w:tcBorders>
              <w:bottom w:val="single" w:sz="8" w:color="DBDBDB"/>
            </w:tcBorders>
          </w:tcPr>
          <w:p>
            <w:pPr>
              <w:spacing w:after="0"/>
              <w:rPr>
                <w:sz w:val="15"/>
                <w:szCs w:val="15"/>
                <w:color w:val="auto"/>
              </w:rPr>
            </w:pPr>
          </w:p>
        </w:tc>
        <w:tc>
          <w:tcPr>
            <w:tcW w:w="78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7800" w:type="dxa"/>
            <w:vAlign w:val="bottom"/>
          </w:tcPr>
          <w:p>
            <w:pPr>
              <w:ind w:left="60"/>
              <w:spacing w:after="0"/>
              <w:rPr>
                <w:sz w:val="20"/>
                <w:szCs w:val="20"/>
                <w:color w:val="auto"/>
              </w:rPr>
            </w:pPr>
            <w:r>
              <w:rPr>
                <w:rFonts w:ascii="Arial" w:cs="Arial" w:eastAsia="Arial" w:hAnsi="Arial"/>
                <w:sz w:val="18"/>
                <w:szCs w:val="18"/>
                <w:color w:val="auto"/>
              </w:rPr>
              <w:t>Subscription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22,171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70"/>
        </w:trPr>
        <w:tc>
          <w:tcPr>
            <w:tcW w:w="180" w:type="dxa"/>
            <w:vAlign w:val="bottom"/>
            <w:shd w:val="clear" w:color="auto" w:fill="DBDBDB"/>
          </w:tcPr>
          <w:p>
            <w:pPr>
              <w:spacing w:after="0"/>
              <w:rPr>
                <w:sz w:val="23"/>
                <w:szCs w:val="23"/>
                <w:color w:val="auto"/>
              </w:rPr>
            </w:pPr>
          </w:p>
        </w:tc>
        <w:tc>
          <w:tcPr>
            <w:tcW w:w="7800" w:type="dxa"/>
            <w:vAlign w:val="bottom"/>
            <w:shd w:val="clear" w:color="auto" w:fill="DBDBDB"/>
          </w:tcPr>
          <w:p>
            <w:pPr>
              <w:ind w:left="60"/>
              <w:spacing w:after="0"/>
              <w:rPr>
                <w:sz w:val="20"/>
                <w:szCs w:val="20"/>
                <w:color w:val="auto"/>
              </w:rPr>
            </w:pPr>
            <w:r>
              <w:rPr>
                <w:rFonts w:ascii="Arial" w:cs="Arial" w:eastAsia="Arial" w:hAnsi="Arial"/>
                <w:sz w:val="18"/>
                <w:szCs w:val="18"/>
                <w:color w:val="auto"/>
              </w:rPr>
              <w:t>Advertising</w:t>
            </w:r>
          </w:p>
        </w:tc>
        <w:tc>
          <w:tcPr>
            <w:tcW w:w="140" w:type="dxa"/>
            <w:vAlign w:val="bottom"/>
            <w:shd w:val="clear" w:color="auto" w:fill="DBDBDB"/>
          </w:tcPr>
          <w:p>
            <w:pPr>
              <w:spacing w:after="0"/>
              <w:rPr>
                <w:sz w:val="23"/>
                <w:szCs w:val="23"/>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7800" w:type="dxa"/>
            <w:vAlign w:val="bottom"/>
          </w:tcPr>
          <w:p>
            <w:pPr>
              <w:ind w:left="60"/>
              <w:spacing w:after="0"/>
              <w:rPr>
                <w:sz w:val="20"/>
                <w:szCs w:val="20"/>
                <w:color w:val="auto"/>
              </w:rPr>
            </w:pPr>
            <w:r>
              <w:rPr>
                <w:rFonts w:ascii="Arial" w:cs="Arial" w:eastAsia="Arial" w:hAnsi="Arial"/>
                <w:sz w:val="18"/>
                <w:szCs w:val="18"/>
                <w:color w:val="auto"/>
              </w:rPr>
              <w:t>Duolingo English Test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70"/>
        </w:trPr>
        <w:tc>
          <w:tcPr>
            <w:tcW w:w="180" w:type="dxa"/>
            <w:vAlign w:val="bottom"/>
            <w:shd w:val="clear" w:color="auto" w:fill="DBDBDB"/>
          </w:tcPr>
          <w:p>
            <w:pPr>
              <w:spacing w:after="0"/>
              <w:rPr>
                <w:sz w:val="23"/>
                <w:szCs w:val="23"/>
                <w:color w:val="auto"/>
              </w:rPr>
            </w:pPr>
          </w:p>
        </w:tc>
        <w:tc>
          <w:tcPr>
            <w:tcW w:w="7800" w:type="dxa"/>
            <w:vAlign w:val="bottom"/>
            <w:shd w:val="clear" w:color="auto" w:fill="DBDBDB"/>
          </w:tcPr>
          <w:p>
            <w:pPr>
              <w:ind w:left="60"/>
              <w:spacing w:after="0"/>
              <w:rPr>
                <w:sz w:val="20"/>
                <w:szCs w:val="20"/>
                <w:color w:val="auto"/>
              </w:rPr>
            </w:pPr>
            <w:r>
              <w:rPr>
                <w:rFonts w:ascii="Arial" w:cs="Arial" w:eastAsia="Arial" w:hAnsi="Arial"/>
                <w:sz w:val="18"/>
                <w:szCs w:val="18"/>
                <w:color w:val="auto"/>
              </w:rPr>
              <w:t>Other (1)</w:t>
            </w:r>
          </w:p>
        </w:tc>
        <w:tc>
          <w:tcPr>
            <w:tcW w:w="140" w:type="dxa"/>
            <w:vAlign w:val="bottom"/>
            <w:tcBorders>
              <w:bottom w:val="single" w:sz="8" w:color="auto"/>
            </w:tcBorders>
            <w:shd w:val="clear" w:color="auto" w:fill="DBDBDB"/>
          </w:tcPr>
          <w:p>
            <w:pPr>
              <w:spacing w:after="0"/>
              <w:rPr>
                <w:sz w:val="23"/>
                <w:szCs w:val="23"/>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DBDBDB"/>
          </w:tcPr>
          <w:p>
            <w:pPr>
              <w:spacing w:after="0"/>
              <w:rPr>
                <w:sz w:val="23"/>
                <w:szCs w:val="23"/>
                <w:color w:val="auto"/>
              </w:rPr>
            </w:pPr>
          </w:p>
        </w:tc>
        <w:tc>
          <w:tcPr>
            <w:tcW w:w="200" w:type="dxa"/>
            <w:vAlign w:val="bottom"/>
            <w:tcBorders>
              <w:bottom w:val="single" w:sz="8" w:color="auto"/>
            </w:tcBorders>
            <w:shd w:val="clear" w:color="auto" w:fill="DBDBDB"/>
          </w:tcPr>
          <w:p>
            <w:pPr>
              <w:spacing w:after="0"/>
              <w:rPr>
                <w:sz w:val="23"/>
                <w:szCs w:val="23"/>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80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9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980" w:type="dxa"/>
            <w:vAlign w:val="bottom"/>
            <w:gridSpan w:val="2"/>
          </w:tcPr>
          <w:p>
            <w:pPr>
              <w:spacing w:after="0"/>
              <w:rPr>
                <w:sz w:val="20"/>
                <w:szCs w:val="20"/>
                <w:color w:val="auto"/>
              </w:rPr>
            </w:pPr>
            <w:r>
              <w:rPr>
                <w:rFonts w:ascii="Arial" w:cs="Arial" w:eastAsia="Arial" w:hAnsi="Arial"/>
                <w:sz w:val="14"/>
                <w:szCs w:val="14"/>
                <w:color w:val="auto"/>
              </w:rPr>
              <w:t>(1)  Other revenue is mainly comprised of in app purchases of virtual goods.</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7980" w:type="dxa"/>
            <w:vAlign w:val="bottom"/>
            <w:gridSpan w:val="2"/>
          </w:tcPr>
          <w:p>
            <w:pPr>
              <w:spacing w:after="0"/>
              <w:rPr>
                <w:sz w:val="20"/>
                <w:szCs w:val="20"/>
                <w:color w:val="auto"/>
              </w:rPr>
            </w:pPr>
            <w:r>
              <w:rPr>
                <w:rFonts w:ascii="Arial" w:cs="Arial" w:eastAsia="Arial" w:hAnsi="Arial"/>
                <w:sz w:val="18"/>
                <w:szCs w:val="18"/>
                <w:color w:val="auto"/>
              </w:rPr>
              <w:t>Changes in deferred revenues were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180" w:type="dxa"/>
            <w:vAlign w:val="bottom"/>
            <w:tcBorders>
              <w:bottom w:val="single" w:sz="8" w:color="DBDBDB"/>
            </w:tcBorders>
          </w:tcPr>
          <w:p>
            <w:pPr>
              <w:spacing w:after="0"/>
              <w:rPr>
                <w:sz w:val="15"/>
                <w:szCs w:val="15"/>
                <w:color w:val="auto"/>
              </w:rPr>
            </w:pPr>
          </w:p>
        </w:tc>
        <w:tc>
          <w:tcPr>
            <w:tcW w:w="78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(10,126)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(15,741)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Deferral of revenue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30,940</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Ending balance—March 31</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35,076</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65,262</w:t>
            </w:r>
          </w:p>
        </w:tc>
        <w:tc>
          <w:tcPr>
            <w:tcW w:w="0" w:type="dxa"/>
            <w:vAlign w:val="bottom"/>
          </w:tcPr>
          <w:p>
            <w:pPr>
              <w:spacing w:after="0"/>
              <w:rPr>
                <w:sz w:val="1"/>
                <w:szCs w:val="1"/>
                <w:color w:val="auto"/>
              </w:rPr>
            </w:pPr>
          </w:p>
        </w:tc>
      </w:tr>
      <w:tr>
        <w:trPr>
          <w:trHeight w:val="20"/>
        </w:trPr>
        <w:tc>
          <w:tcPr>
            <w:tcW w:w="1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b w:val="1"/>
                <w:bCs w:val="1"/>
                <w:color w:val="auto"/>
              </w:rPr>
              <w:t>4.</w:t>
            </w:r>
          </w:p>
        </w:tc>
        <w:tc>
          <w:tcPr>
            <w:tcW w:w="7800" w:type="dxa"/>
            <w:vAlign w:val="bottom"/>
            <w:tcBorders>
              <w:top w:val="single" w:sz="8" w:color="DBDBDB"/>
              <w:bottom w:val="single" w:sz="8" w:color="DBDBDB"/>
            </w:tcBorders>
            <w:vMerge w:val="restart"/>
          </w:tcPr>
          <w:p>
            <w:pPr>
              <w:ind w:left="46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80" w:type="dxa"/>
            <w:vAlign w:val="bottom"/>
            <w:vMerge w:val="continue"/>
          </w:tcPr>
          <w:p>
            <w:pPr>
              <w:spacing w:after="0"/>
              <w:rPr>
                <w:sz w:val="24"/>
                <w:szCs w:val="24"/>
                <w:color w:val="auto"/>
              </w:rPr>
            </w:pPr>
          </w:p>
        </w:tc>
        <w:tc>
          <w:tcPr>
            <w:tcW w:w="7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as of December 31, 2020 and March 31, 2021: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24"/>
                <w:szCs w:val="24"/>
                <w:color w:val="auto"/>
              </w:rPr>
            </w:pPr>
          </w:p>
        </w:tc>
        <w:tc>
          <w:tcPr>
            <w:tcW w:w="1380" w:type="dxa"/>
            <w:vAlign w:val="bottom"/>
          </w:tcPr>
          <w:p>
            <w:pPr>
              <w:jc w:val="right"/>
              <w:ind w:right="193"/>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3"/>
        </w:trPr>
        <w:tc>
          <w:tcPr>
            <w:tcW w:w="79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9,495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10,335</w:t>
            </w:r>
          </w:p>
        </w:tc>
        <w:tc>
          <w:tcPr>
            <w:tcW w:w="0" w:type="dxa"/>
            <w:vAlign w:val="bottom"/>
          </w:tcPr>
          <w:p>
            <w:pPr>
              <w:spacing w:after="0"/>
              <w:rPr>
                <w:sz w:val="1"/>
                <w:szCs w:val="1"/>
                <w:color w:val="auto"/>
              </w:rPr>
            </w:pPr>
          </w:p>
        </w:tc>
      </w:tr>
      <w:tr>
        <w:trPr>
          <w:trHeight w:val="230"/>
        </w:trPr>
        <w:tc>
          <w:tcPr>
            <w:tcW w:w="180" w:type="dxa"/>
            <w:vAlign w:val="bottom"/>
            <w:tcBorders>
              <w:bottom w:val="single" w:sz="8" w:color="DBDBDB"/>
            </w:tcBorders>
          </w:tcPr>
          <w:p>
            <w:pPr>
              <w:spacing w:after="0"/>
              <w:rPr>
                <w:sz w:val="19"/>
                <w:szCs w:val="19"/>
                <w:color w:val="auto"/>
              </w:rPr>
            </w:pPr>
          </w:p>
        </w:tc>
        <w:tc>
          <w:tcPr>
            <w:tcW w:w="78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0"/>
        </w:trPr>
        <w:tc>
          <w:tcPr>
            <w:tcW w:w="180" w:type="dxa"/>
            <w:vAlign w:val="bottom"/>
            <w:tcBorders>
              <w:top w:val="single" w:sz="8" w:color="DBDBDB"/>
            </w:tcBorders>
          </w:tcPr>
          <w:p>
            <w:pPr>
              <w:spacing w:after="0" w:line="20" w:lineRule="exact"/>
              <w:rPr>
                <w:sz w:val="1"/>
                <w:szCs w:val="1"/>
                <w:color w:val="auto"/>
              </w:rPr>
            </w:pPr>
          </w:p>
        </w:tc>
        <w:tc>
          <w:tcPr>
            <w:tcW w:w="78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Depreciation expense for the three months ended March 31, 2020 and 2021 was $340 and $452, respectively, and is predominately included within General and administrative, with nominal amounts in Cost of revenues, Research and development and Sales and marketing in the unaudited condensed consolidated statement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CAPITALIZED SOFTWARE, net</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1"/>
        </w:trPr>
        <w:tc>
          <w:tcPr>
            <w:tcW w:w="7980" w:type="dxa"/>
            <w:vAlign w:val="bottom"/>
            <w:gridSpan w:val="2"/>
          </w:tcPr>
          <w:p>
            <w:pPr>
              <w:spacing w:after="0"/>
              <w:rPr>
                <w:sz w:val="20"/>
                <w:szCs w:val="20"/>
                <w:color w:val="auto"/>
              </w:rPr>
            </w:pPr>
            <w:r>
              <w:rPr>
                <w:rFonts w:ascii="Arial" w:cs="Arial" w:eastAsia="Arial" w:hAnsi="Arial"/>
                <w:sz w:val="18"/>
                <w:szCs w:val="18"/>
                <w:color w:val="auto"/>
              </w:rPr>
              <w:t>Capitalized software consists of the following as of December 31, 2020 and March 31, 2021: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24"/>
                <w:szCs w:val="24"/>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9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DBDBDB"/>
          </w:tcPr>
          <w:p>
            <w:pPr>
              <w:jc w:val="center"/>
              <w:ind w:left="755"/>
              <w:spacing w:after="0"/>
              <w:rPr>
                <w:sz w:val="20"/>
                <w:szCs w:val="20"/>
                <w:color w:val="auto"/>
              </w:rPr>
            </w:pPr>
            <w:r>
              <w:rPr>
                <w:rFonts w:ascii="Arial" w:cs="Arial" w:eastAsia="Arial" w:hAnsi="Arial"/>
                <w:sz w:val="18"/>
                <w:szCs w:val="18"/>
                <w:color w:val="auto"/>
                <w:w w:val="97"/>
              </w:rPr>
              <w:t>8,181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center"/>
              <w:ind w:left="695"/>
              <w:spacing w:after="0"/>
              <w:rPr>
                <w:sz w:val="20"/>
                <w:szCs w:val="20"/>
                <w:color w:val="auto"/>
              </w:rPr>
            </w:pPr>
            <w:r>
              <w:rPr>
                <w:rFonts w:ascii="Arial" w:cs="Arial" w:eastAsia="Arial" w:hAnsi="Arial"/>
                <w:sz w:val="18"/>
                <w:szCs w:val="18"/>
                <w:color w:val="auto"/>
                <w:w w:val="97"/>
              </w:rPr>
              <w:t>9,187</w:t>
            </w: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rPr>
              <w:t>(5,885)</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rPr>
              <w:t>(6,033)</w:t>
            </w: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center"/>
              <w:ind w:left="755"/>
              <w:spacing w:after="0"/>
              <w:rPr>
                <w:sz w:val="20"/>
                <w:szCs w:val="20"/>
                <w:color w:val="auto"/>
              </w:rPr>
            </w:pPr>
            <w:r>
              <w:rPr>
                <w:rFonts w:ascii="Arial" w:cs="Arial" w:eastAsia="Arial" w:hAnsi="Arial"/>
                <w:sz w:val="18"/>
                <w:szCs w:val="18"/>
                <w:color w:val="auto"/>
                <w:w w:val="97"/>
              </w:rPr>
              <w:t>2,296</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center"/>
              <w:ind w:left="695"/>
              <w:spacing w:after="0"/>
              <w:rPr>
                <w:sz w:val="20"/>
                <w:szCs w:val="20"/>
                <w:color w:val="auto"/>
              </w:rPr>
            </w:pPr>
            <w:r>
              <w:rPr>
                <w:rFonts w:ascii="Arial" w:cs="Arial" w:eastAsia="Arial" w:hAnsi="Arial"/>
                <w:sz w:val="18"/>
                <w:szCs w:val="18"/>
                <w:color w:val="auto"/>
                <w:w w:val="97"/>
              </w:rPr>
              <w:t>3,154</w:t>
            </w:r>
          </w:p>
        </w:tc>
      </w:tr>
      <w:tr>
        <w:trPr>
          <w:trHeight w:val="20"/>
        </w:trPr>
        <w:tc>
          <w:tcPr>
            <w:tcW w:w="400" w:type="dxa"/>
            <w:vAlign w:val="bottom"/>
            <w:tcBorders>
              <w:top w:val="single" w:sz="8" w:color="DBDBDB"/>
            </w:tcBorders>
          </w:tcPr>
          <w:p>
            <w:pPr>
              <w:spacing w:after="0" w:line="20" w:lineRule="exact"/>
              <w:rPr>
                <w:sz w:val="1"/>
                <w:szCs w:val="1"/>
                <w:color w:val="auto"/>
              </w:rPr>
            </w:pPr>
          </w:p>
        </w:tc>
        <w:tc>
          <w:tcPr>
            <w:tcW w:w="75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 w:right="339" w:bottom="1440" w:gutter="0" w:footer="0" w:header="0"/>
        </w:sectPr>
      </w:pPr>
    </w:p>
    <w:bookmarkStart w:id="240" w:name="page241"/>
    <w:bookmarkEnd w:id="24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March 31, 2020 and 2021 was $59 and $148, respectively, and is recorded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unaudited condensed consolidated statement of operations within the following financial statement line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114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year ended December 31, 2020 or the three months ended March 31, 2021.</w:t>
      </w:r>
    </w:p>
    <w:p>
      <w:pPr>
        <w:spacing w:after="0" w:line="118"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income tax provision for interim periods is comprised of tax on ordinary income (loss) provided at the most recent projected annual effective tax rate (PAETR), adjusted for the tax effect of discrete items. Management estimates the PAETR each quarter based on the forecasted annual pretax income or (loss). The Company is required to reduce deferred tax assets by a valuation allowance if, based on all available evidence, it is considered more likely than not that some portion or all of the benefit of the deferred tax assets will not be realized in future periods. The Company also records the income tax impact of certain discrete, unusual or infrequently occurring items including changes in judgment about valuation allowances and effects of changes in tax laws or rates, in the interim period in which they occur.</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actual year-to-date income tax expense (benefit) is the product of the most current PAETR and the actual year-to-date pretax income (loss) adjusted for any discrete tax items. The income tax expense (benefit) for a particular quarter, except for the first quarter, is the difference between the year-to-date calculation of income tax expense (benefit) and the year-to-date calculation for the prior quarter. Items unrelated to current period ordinary income or (loss) are recognized entirely in the period identified as a discrete item of tax. The inclusion of discrete items in a particular quarter can cause the actual effective rate for that quarter to vary significantly from the PAETR.</w:t>
      </w:r>
    </w:p>
    <w:p>
      <w:pPr>
        <w:spacing w:after="0" w:line="15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Therefore, the actual effective income tax rate for a particular quarter can vary significantly based upon the jurisdictional mix and timing of actual earnings compared to projected annual earnings, permanent items, earnings for those jurisdictions that maintain a valuation allowance, tax associated with jurisdictions excluded from the PAETR calculation and discrete items.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Effective Tax Rate</w:t>
      </w:r>
    </w:p>
    <w:p>
      <w:pPr>
        <w:spacing w:after="0" w:line="20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PAETR, which excludes the impact of discrete items, was (0.5)% and (0.1)% as of the three months ended March 31, 2020 and 2021, respectively. The PAETR was lower than the US federal statutory rate of 21.0% primarily due to the impact of maintaining a US valuation allowance provided on US deferred tax assets.</w:t>
      </w:r>
    </w:p>
    <w:p>
      <w:pPr>
        <w:spacing w:after="0" w:line="149"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The Company continues to maintain a full valuation allowance on US federal and state net deferred tax assets (excluding the tax effects of deferred tax liabilities associated with indefinite lived intangibles) for the period ending March 31, 2021 as a result of pretax losses incurred since the Company’s inception in early 2012. The Company is projecting pre-tax loss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 w:right="339" w:bottom="1440" w:gutter="0" w:footer="0" w:header="0"/>
        </w:sectPr>
      </w:pPr>
    </w:p>
    <w:bookmarkStart w:id="241" w:name="page242"/>
    <w:bookmarkEnd w:id="24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Prior Period Tax Expense</w:t>
      </w:r>
    </w:p>
    <w:p>
      <w:pPr>
        <w:spacing w:after="0" w:line="2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March 31, 2020 and 2021, the Company recognized income tax expense of $11 and $17 on pretax losses of $2,222 and $13,455, respectively.</w:t>
      </w:r>
    </w:p>
    <w:p>
      <w:pPr>
        <w:spacing w:after="0" w:line="108"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is comprised of the following as of December 31, 2020 and March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16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8"/>
              </w:rPr>
              <w:t>Shares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28"/>
        </w:trPr>
        <w:tc>
          <w:tcPr>
            <w:tcW w:w="15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share price</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1"/>
                <w:szCs w:val="11"/>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Funds received</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Fees incurred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1520" w:type="dxa"/>
            <w:vAlign w:val="bottom"/>
            <w:tcBorders>
              <w:bottom w:val="single" w:sz="8" w:color="DBDBDB"/>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23"/>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B</w:t>
            </w:r>
          </w:p>
        </w:tc>
        <w:tc>
          <w:tcPr>
            <w:tcW w:w="13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30"/>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D</w:t>
            </w:r>
          </w:p>
        </w:tc>
        <w:tc>
          <w:tcPr>
            <w:tcW w:w="13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30"/>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F</w:t>
            </w:r>
          </w:p>
        </w:tc>
        <w:tc>
          <w:tcPr>
            <w:tcW w:w="13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29"/>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52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52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 w:right="339" w:bottom="1440" w:gutter="0" w:footer="0" w:header="0"/>
        </w:sectPr>
      </w:pPr>
    </w:p>
    <w:bookmarkStart w:id="242" w:name="page243"/>
    <w:bookmarkEnd w:id="24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hanging="632"/>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Company has a stock incentive plan whereby the Board of Directors may grant stock options or restricted stock units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5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In November of 2020, the Board approved the amended and restated Plan, which provides for, among other things, the ability of the Company to grant restricted stock units (RSUs). Each RSU award vests based upon the satisfaction, during the term of the RSUs, of two requirements: length of service and a liquidity event defined as a change in control or a qualified IPO. No compensation expense has been included for RSUs as the vesting conditions are not probable.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three months ended March 31,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DBDBDB"/>
            </w:tcBorders>
          </w:tcPr>
          <w:p>
            <w:pPr>
              <w:spacing w:after="0"/>
              <w:rPr>
                <w:sz w:val="15"/>
                <w:szCs w:val="15"/>
                <w:color w:val="auto"/>
              </w:rPr>
            </w:pPr>
          </w:p>
        </w:tc>
        <w:tc>
          <w:tcPr>
            <w:tcW w:w="15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30"/>
        </w:trPr>
        <w:tc>
          <w:tcPr>
            <w:tcW w:w="47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0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Options outstanding at March 31,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324,453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exercisable at March 31,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191,298</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were no options granted during the three months ended March 31, 2021. The total intrinsic value of options exercised was approximately $13,714 during the three months ended March 31, 2021. There were 715 options available for grant at 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three months ended March 31,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2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75"/>
        </w:trPr>
        <w:tc>
          <w:tcPr>
            <w:tcW w:w="8000" w:type="dxa"/>
            <w:vAlign w:val="bottom"/>
            <w:tcBorders>
              <w:bottom w:val="single" w:sz="8" w:color="DBDBDB"/>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Outstanding at January 1, 2021</w:t>
            </w:r>
          </w:p>
        </w:tc>
        <w:tc>
          <w:tcPr>
            <w:tcW w:w="124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924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924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24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March 31, 2021</w:t>
            </w:r>
          </w:p>
        </w:tc>
        <w:tc>
          <w:tcPr>
            <w:tcW w:w="1240" w:type="dxa"/>
            <w:vAlign w:val="bottom"/>
            <w:tcBorders>
              <w:top w:val="single" w:sz="8" w:color="auto"/>
              <w:bottom w:val="single" w:sz="8" w:color="auto"/>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 w:right="339" w:bottom="1440" w:gutter="0" w:footer="0" w:header="0"/>
        </w:sectPr>
      </w:pPr>
    </w:p>
    <w:bookmarkStart w:id="243" w:name="page244"/>
    <w:bookmarkEnd w:id="24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As of March 31, 2021, there was approximately $25,240 of unrecognized compensation cost related to stock options granted under the plan. That cost is expected to be recognized over a weighted-average period of approximately two years. The amount of unrecognized compensation expense for RSUs as of March 31, 2021 was $1,596 with a weighted-average remaining contractual life of approximately three years, for a total unrecognized compensation expense of $26,836.</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of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options were put back into the option pool and 23 shares were retired with an $868 increase to Additional paid-in capital.</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Compensation expense is recognized over the service period, which approximates the vesting period. Total compensation expense was $1,154 and $2,551 for the three months ended March 31, 2020 and 2021, respectively.</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 based compensation expense is included in the unaudited condensed consolidated statement of operations as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1,111</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DBDBDB"/>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1,370</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7"/>
              </w:rPr>
              <w:t>2,551</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Nominal amounts of stock based compensation expense is capitalized into capitalized software.</w:t>
      </w:r>
    </w:p>
    <w:p>
      <w:pPr>
        <w:spacing w:after="0" w:line="149"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w:t>
      </w:r>
    </w:p>
    <w:p>
      <w:pPr>
        <w:spacing w:after="0" w:line="98" w:lineRule="exact"/>
        <w:rPr>
          <w:sz w:val="20"/>
          <w:szCs w:val="20"/>
          <w:color w:val="auto"/>
        </w:rPr>
      </w:pPr>
    </w:p>
    <w:p>
      <w:pPr>
        <w:jc w:val="both"/>
        <w:ind w:right="220"/>
        <w:spacing w:after="0" w:line="284" w:lineRule="auto"/>
        <w:rPr>
          <w:sz w:val="20"/>
          <w:szCs w:val="20"/>
          <w:color w:val="auto"/>
        </w:rPr>
      </w:pPr>
      <w:r>
        <w:rPr>
          <w:rFonts w:ascii="Arial" w:cs="Arial" w:eastAsia="Arial" w:hAnsi="Arial"/>
          <w:sz w:val="18"/>
          <w:szCs w:val="18"/>
          <w:b w:val="1"/>
          <w:bCs w:val="1"/>
          <w:color w:val="auto"/>
        </w:rPr>
        <w:t xml:space="preserve">Sales and use and value-added tax (VAT) </w:t>
      </w:r>
      <w:r>
        <w:rPr>
          <w:rFonts w:ascii="Arial" w:cs="Arial" w:eastAsia="Arial" w:hAnsi="Arial"/>
          <w:sz w:val="18"/>
          <w:szCs w:val="18"/>
          <w:color w:val="auto"/>
        </w:rPr>
        <w:t>- The Company determined that it was required to pay sales and use and VAT taxes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16"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 The Company has determined that there were no transactions with related parties as of or during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 w:right="339" w:bottom="1440" w:gutter="0" w:footer="0" w:header="0"/>
        </w:sectPr>
      </w:pPr>
    </w:p>
    <w:bookmarkStart w:id="244" w:name="page245"/>
    <w:bookmarkEnd w:id="24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340" w:type="dxa"/>
            <w:vAlign w:val="bottom"/>
          </w:tcPr>
          <w:p>
            <w:pPr>
              <w:ind w:left="80"/>
              <w:spacing w:after="0"/>
              <w:rPr>
                <w:sz w:val="20"/>
                <w:szCs w:val="20"/>
                <w:color w:val="auto"/>
              </w:rPr>
            </w:pPr>
            <w:r>
              <w:rPr>
                <w:rFonts w:ascii="Arial" w:cs="Arial" w:eastAsia="Arial" w:hAnsi="Arial"/>
                <w:sz w:val="18"/>
                <w:szCs w:val="18"/>
                <w:b w:val="1"/>
                <w:bCs w:val="1"/>
                <w:color w:val="auto"/>
              </w:rPr>
              <w:t>ACCRUED EXPENSES AND OTHER LIABILITIES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2"/>
        </w:trPr>
        <w:tc>
          <w:tcPr>
            <w:tcW w:w="790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560" w:type="dxa"/>
            <w:vAlign w:val="bottom"/>
            <w:tcBorders>
              <w:bottom w:val="single" w:sz="8" w:color="DBDBDB"/>
            </w:tcBorders>
          </w:tcPr>
          <w:p>
            <w:pPr>
              <w:spacing w:after="0"/>
              <w:rPr>
                <w:sz w:val="24"/>
                <w:szCs w:val="24"/>
                <w:color w:val="auto"/>
              </w:rPr>
            </w:pPr>
          </w:p>
        </w:tc>
        <w:tc>
          <w:tcPr>
            <w:tcW w:w="734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DBDBDB"/>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Contributor awards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5,098</w:t>
            </w: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Sales and VAT tax accrual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29"/>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Marketing related accruals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Obligations under current leases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29"/>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Employee related benefits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889</w:t>
            </w:r>
          </w:p>
        </w:tc>
        <w:tc>
          <w:tcPr>
            <w:tcW w:w="1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r>
      <w:tr>
        <w:trPr>
          <w:trHeight w:val="248"/>
        </w:trPr>
        <w:tc>
          <w:tcPr>
            <w:tcW w:w="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73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c>
          <w:tcPr>
            <w:tcW w:w="1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14,956</w:t>
            </w:r>
          </w:p>
        </w:tc>
      </w:tr>
      <w:tr>
        <w:trPr>
          <w:trHeight w:val="20"/>
        </w:trPr>
        <w:tc>
          <w:tcPr>
            <w:tcW w:w="560" w:type="dxa"/>
            <w:vAlign w:val="bottom"/>
            <w:tcBorders>
              <w:top w:val="single" w:sz="8" w:color="DBDBDB"/>
            </w:tcBorders>
          </w:tcPr>
          <w:p>
            <w:pPr>
              <w:spacing w:after="0" w:line="20" w:lineRule="exact"/>
              <w:rPr>
                <w:sz w:val="1"/>
                <w:szCs w:val="1"/>
                <w:color w:val="auto"/>
              </w:rPr>
            </w:pPr>
          </w:p>
        </w:tc>
        <w:tc>
          <w:tcPr>
            <w:tcW w:w="73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prior year Plan provided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$341 and $702 during the three months ended March 31, 2020 and 2021, respectively. The Company did not make any discretionary matching or profit sharing contributions during the three months ended March 31, 2020 or 2021.</w:t>
      </w:r>
    </w:p>
    <w:p>
      <w:pPr>
        <w:spacing w:after="0" w:line="120"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are considered to be potential common stock equivalents but have been excluded from the calculation of diluted net loss per share attributable to common stockholders as their effect is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188"/>
        </w:trPr>
        <w:tc>
          <w:tcPr>
            <w:tcW w:w="7980" w:type="dxa"/>
            <w:vAlign w:val="bottom"/>
          </w:tcPr>
          <w:p>
            <w:pPr>
              <w:ind w:left="18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 w:right="339" w:bottom="1440" w:gutter="0" w:footer="0" w:header="0"/>
        </w:sectPr>
      </w:pPr>
    </w:p>
    <w:bookmarkStart w:id="245" w:name="page246"/>
    <w:bookmarkEnd w:id="24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Since the Company was in a net loss position for the three months ended March 31, 2020 and 2021,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240" w:type="dxa"/>
            <w:vAlign w:val="bottom"/>
            <w:gridSpan w:val="3"/>
          </w:tcPr>
          <w:p>
            <w:pPr>
              <w:jc w:val="center"/>
              <w:ind w:left="899"/>
              <w:spacing w:after="0"/>
              <w:rPr>
                <w:sz w:val="20"/>
                <w:szCs w:val="20"/>
                <w:color w:val="auto"/>
              </w:rPr>
            </w:pPr>
            <w:r>
              <w:rPr>
                <w:rFonts w:ascii="Arial" w:cs="Arial" w:eastAsia="Arial" w:hAnsi="Arial"/>
                <w:sz w:val="14"/>
                <w:szCs w:val="14"/>
                <w:b w:val="1"/>
                <w:bCs w:val="1"/>
                <w:color w:val="auto"/>
              </w:rPr>
              <w:t>Number of shares</w:t>
            </w:r>
          </w:p>
        </w:tc>
        <w:tc>
          <w:tcPr>
            <w:tcW w:w="980" w:type="dxa"/>
            <w:vAlign w:val="bottom"/>
          </w:tcPr>
          <w:p>
            <w:pPr>
              <w:spacing w:after="0"/>
              <w:rPr>
                <w:sz w:val="16"/>
                <w:szCs w:val="16"/>
                <w:color w:val="auto"/>
              </w:rPr>
            </w:pPr>
          </w:p>
        </w:tc>
      </w:tr>
      <w:tr>
        <w:trPr>
          <w:trHeight w:val="189"/>
        </w:trPr>
        <w:tc>
          <w:tcPr>
            <w:tcW w:w="802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w:t>
            </w:r>
          </w:p>
        </w:tc>
      </w:tr>
      <w:tr>
        <w:trPr>
          <w:trHeight w:val="248"/>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21,698</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spacing w:after="0"/>
              <w:rPr>
                <w:sz w:val="21"/>
                <w:szCs w:val="2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23,210</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Subsequent events were evaluated through July 19, 2021, the date that these unaudited condensed consolidated financial statements were available to be issued.</w:t>
      </w:r>
    </w:p>
    <w:p>
      <w:pPr>
        <w:spacing w:after="0" w:line="143"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In April 2021, the Company granted options to purchase 72 shares of common stock at an exercise price of $52.80 per share and 553 RSUs to employees. The options and RSUs have unrecognized compensation expense of approximately $1,764 and $29,187, respectively, which the Company expects to recognize over a period of four years.</w:t>
      </w:r>
    </w:p>
    <w:p>
      <w:pPr>
        <w:spacing w:after="0" w:line="149"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In June 2021, the Company granted 1,800 performance-based RSUs to the Company’s founders (the Founder Awards).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performance-based condition will be satisfied only if the closing price of the Company’s Class A common stock reaches certain stock-price hurdles that are significantly in excess of the Company’s current valuation over a period of ten years. The Founder Awards are divided into ten equal tranches with each tranche becoming eligible to vest upon achievement of the specified stock-price hurdles. The unrecognized compensation expense related to the Founder Awards is estimated to be approximately $100,543, which the Company expects to recognize over a period of one to seven years, depending upon the achievement of the stock-price hurdles.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 w:right="339" w:bottom="1440" w:gutter="0" w:footer="0" w:header="0"/>
        </w:sectPr>
      </w:pPr>
    </w:p>
    <w:bookmarkStart w:id="246" w:name="page247"/>
    <w:bookmarkEnd w:id="24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3649345</wp:posOffset>
            </wp:positionV>
            <wp:extent cx="3660140" cy="874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601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Through and including August 21,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sectPr>
      <w:pgSz w:w="11900" w:h="16838" w:orient="portrait"/>
      <w:cols w:equalWidth="0" w:num="1">
        <w:col w:w="11040"/>
      </w:cols>
      <w:pgMar w:left="32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1)"/>
      <w:numFmt w:val="decimal"/>
      <w:start w:val="1"/>
    </w:lvl>
    <w:lvl w:ilvl="1">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lowerLetter"/>
      <w:start w:val="1"/>
    </w:lvl>
  </w:abstractNum>
  <w:abstractNum w:abstractNumId="13">
    <w:nsid w:val="310C50B3"/>
    <w:multiLevelType w:val="hybridMultilevel"/>
    <w:lvl w:ilvl="0">
      <w:lvlJc w:val="left"/>
      <w:lvlText w:val="(%1)"/>
      <w:numFmt w:val="decimal"/>
      <w:start w:val="3"/>
    </w:lvl>
  </w:abstractNum>
  <w:abstractNum w:abstractNumId="14">
    <w:nsid w:val="5FF87E05"/>
    <w:multiLevelType w:val="hybridMultilevel"/>
    <w:lvl w:ilvl="0">
      <w:lvlJc w:val="left"/>
      <w:lvlText w:val="(%1)"/>
      <w:numFmt w:val="lowerLetter"/>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1)"/>
      <w:numFmt w:val="decimal"/>
      <w:start w:val="3"/>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2"/>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3"/>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decimal"/>
      <w:start w:val="3"/>
    </w:lvl>
  </w:abstractNum>
  <w:abstractNum w:abstractNumId="39">
    <w:nsid w:val="11447B73"/>
    <w:multiLevelType w:val="hybridMultilevel"/>
    <w:lvl w:ilvl="0">
      <w:lvlJc w:val="left"/>
      <w:lvlText w:val="(%1)"/>
      <w:numFmt w:val="decimal"/>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lvl w:ilvl="1">
      <w:lvlJc w:val="left"/>
      <w:lvlText w:val="◦"/>
      <w:numFmt w:val="bullet"/>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1)"/>
      <w:numFmt w:val="lowerLetter"/>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decimal"/>
      <w:start w:val="3"/>
    </w:lvl>
  </w:abstractNum>
  <w:abstractNum w:abstractNumId="79">
    <w:nsid w:val="50801EE1"/>
    <w:multiLevelType w:val="hybridMultilevel"/>
    <w:lvl w:ilvl="0">
      <w:lvlJc w:val="left"/>
      <w:lvlText w:val="(%1)"/>
      <w:numFmt w:val="decimal"/>
      <w:start w:val="6"/>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1)"/>
      <w:numFmt w:val="decimal"/>
      <w:start w:val="2"/>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decimal"/>
      <w:start w:val="2"/>
    </w:lvl>
  </w:abstractNum>
  <w:abstractNum w:abstractNumId="95">
    <w:nsid w:val="9DAF632"/>
    <w:multiLevelType w:val="hybridMultilevel"/>
    <w:lvl w:ilvl="0">
      <w:lvlJc w:val="left"/>
      <w:lvlText w:val="%1."/>
      <w:numFmt w:val="decimal"/>
      <w:start w:val="3"/>
    </w:lvl>
  </w:abstractNum>
  <w:abstractNum w:abstractNumId="96">
    <w:nsid w:val="53299938"/>
    <w:multiLevelType w:val="hybridMultilevel"/>
    <w:lvl w:ilvl="0">
      <w:lvlJc w:val="left"/>
      <w:lvlText w:val="%1."/>
      <w:numFmt w:val="decimal"/>
      <w:start w:val="6"/>
    </w:lvl>
  </w:abstractNum>
  <w:abstractNum w:abstractNumId="97">
    <w:nsid w:val="1FBFE8E0"/>
    <w:multiLevelType w:val="hybridMultilevel"/>
    <w:lvl w:ilvl="0">
      <w:lvlJc w:val="left"/>
      <w:lvlText w:val="%1."/>
      <w:numFmt w:val="decimal"/>
      <w:start w:val="7"/>
    </w:lvl>
  </w:abstractNum>
  <w:abstractNum w:abstractNumId="98">
    <w:nsid w:val="5092CA79"/>
    <w:multiLevelType w:val="hybridMultilevel"/>
    <w:lvl w:ilvl="0">
      <w:lvlJc w:val="left"/>
      <w:lvlText w:val="%1."/>
      <w:numFmt w:val="decimal"/>
      <w:start w:val="8"/>
    </w:lvl>
  </w:abstractNum>
  <w:abstractNum w:abstractNumId="99">
    <w:nsid w:val="1D545C4D"/>
    <w:multiLevelType w:val="hybridMultilevel"/>
    <w:lvl w:ilvl="0">
      <w:lvlJc w:val="left"/>
      <w:lvlText w:val="%1."/>
      <w:numFmt w:val="decimal"/>
      <w:start w:val="9"/>
    </w:lvl>
  </w:abstractNum>
  <w:abstractNum w:abstractNumId="100">
    <w:nsid w:val="59ADEA3D"/>
    <w:multiLevelType w:val="hybridMultilevel"/>
    <w:lvl w:ilvl="0">
      <w:lvlJc w:val="left"/>
      <w:lvlText w:val="%1."/>
      <w:numFmt w:val="decimal"/>
      <w:start w:val="10"/>
    </w:lvl>
  </w:abstractNum>
  <w:abstractNum w:abstractNumId="101">
    <w:nsid w:val="288F1A34"/>
    <w:multiLevelType w:val="hybridMultilevel"/>
    <w:lvl w:ilvl="0">
      <w:lvlJc w:val="left"/>
      <w:lvlText w:val="%1."/>
      <w:numFmt w:val="decimal"/>
      <w:start w:val="12"/>
    </w:lvl>
  </w:abstractNum>
  <w:abstractNum w:abstractNumId="102">
    <w:nsid w:val="2A155DBC"/>
    <w:multiLevelType w:val="hybridMultilevel"/>
    <w:lvl w:ilvl="0">
      <w:lvlJc w:val="left"/>
      <w:lvlText w:val="%1."/>
      <w:numFmt w:val="decimal"/>
      <w:start w:val="13"/>
    </w:lvl>
  </w:abstractNum>
  <w:abstractNum w:abstractNumId="103">
    <w:nsid w:val="1D9F6E5F"/>
    <w:multiLevelType w:val="hybridMultilevel"/>
    <w:lvl w:ilvl="0">
      <w:lvlJc w:val="left"/>
      <w:lvlText w:val="%1."/>
      <w:numFmt w:val="decimal"/>
      <w:start w:val="14"/>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2"/>
    </w:lvl>
  </w:abstractNum>
  <w:abstractNum w:abstractNumId="106">
    <w:nsid w:val="1CA0C5FA"/>
    <w:multiLevelType w:val="hybridMultilevel"/>
    <w:lvl w:ilvl="0">
      <w:lvlJc w:val="left"/>
      <w:lvlText w:val="%1."/>
      <w:numFmt w:val="decimal"/>
      <w:start w:val="3"/>
    </w:lvl>
  </w:abstractNum>
  <w:abstractNum w:abstractNumId="107">
    <w:nsid w:val="53584BCB"/>
    <w:multiLevelType w:val="hybridMultilevel"/>
    <w:lvl w:ilvl="0">
      <w:lvlJc w:val="left"/>
      <w:lvlText w:val="%1."/>
      <w:numFmt w:val="decimal"/>
      <w:start w:val="6"/>
    </w:lvl>
  </w:abstractNum>
  <w:abstractNum w:abstractNumId="108">
    <w:nsid w:val="415E286C"/>
    <w:multiLevelType w:val="hybridMultilevel"/>
    <w:lvl w:ilvl="0">
      <w:lvlJc w:val="left"/>
      <w:lvlText w:val="%1."/>
      <w:numFmt w:val="decimal"/>
      <w:start w:val="7"/>
    </w:lvl>
  </w:abstractNum>
  <w:abstractNum w:abstractNumId="109">
    <w:nsid w:val="7C58FD05"/>
    <w:multiLevelType w:val="hybridMultilevel"/>
    <w:lvl w:ilvl="0">
      <w:lvlJc w:val="left"/>
      <w:lvlText w:val="%1."/>
      <w:numFmt w:val="decimal"/>
      <w:start w:val="8"/>
    </w:lvl>
  </w:abstractNum>
  <w:abstractNum w:abstractNumId="110">
    <w:nsid w:val="23D86AAC"/>
    <w:multiLevelType w:val="hybridMultilevel"/>
    <w:lvl w:ilvl="0">
      <w:lvlJc w:val="left"/>
      <w:lvlText w:val="%1."/>
      <w:numFmt w:val="decimal"/>
      <w:start w:val="9"/>
    </w:lvl>
  </w:abstractNum>
  <w:abstractNum w:abstractNumId="111">
    <w:nsid w:val="45E6D486"/>
    <w:multiLevelType w:val="hybridMultilevel"/>
    <w:lvl w:ilvl="0">
      <w:lvlJc w:val="left"/>
      <w:lvlText w:val="%1."/>
      <w:numFmt w:val="decimal"/>
      <w:start w:val="11"/>
    </w:lvl>
  </w:abstractNum>
  <w:abstractNum w:abstractNumId="112">
    <w:nsid w:val="5C10FE21"/>
    <w:multiLevelType w:val="hybridMultilevel"/>
    <w:lvl w:ilvl="0">
      <w:lvlJc w:val="left"/>
      <w:lvlText w:val="%1."/>
      <w:numFmt w:val="decimal"/>
      <w:start w:val="12"/>
    </w:lvl>
  </w:abstractNum>
  <w:abstractNum w:abstractNumId="113">
    <w:nsid w:val="E7FFA2B"/>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2021-07-28T16:42:45Z</dcterms:created>
  <dcterms:modified xsi:type="dcterms:W3CDTF">2021-07-28T16:42:45Z</dcterms:modified>
</cp:coreProperties>
</file>