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Duolingo,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24823R105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24823R105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2,473,911.00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2,740,102.00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2,740,102.00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640"/>
          </w:cols>
          <w:pgMar w:left="360" w:top="166" w:right="77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Duolingo,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5900 PENN AVE, SECOND FLOOR, 5900 PENN AVE, SECOND FLOOR, PITTSBURGH, PENNSYLVANIA, 15206.</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3980"/>
        <w:spacing w:after="0" w:line="256" w:lineRule="auto"/>
        <w:rPr>
          <w:sz w:val="20"/>
          <w:szCs w:val="20"/>
          <w:color w:val="auto"/>
        </w:rPr>
      </w:pPr>
      <w:r>
        <w:rPr>
          <w:rFonts w:ascii="Times New Roman" w:cs="Times New Roman" w:eastAsia="Times New Roman" w:hAnsi="Times New Roman"/>
          <w:sz w:val="22"/>
          <w:szCs w:val="22"/>
          <w:color w:val="auto"/>
        </w:rPr>
        <w:t>Calton Square 1 Greenside Row Edinburgh EH1 3AN Scotland UK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Scotland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24823R105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760"/>
          </w:cols>
          <w:pgMar w:left="360" w:top="166" w:right="77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Investment Adviser</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2,740,102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7.23 %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2,473,911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2,740,102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Securities reported on this Schedule 13G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47"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Investment Adviser is substantially comparable to the regulatory scheme applicable to the functionally equivalent U.S. institution(s). I also undertake to furnish to the Commission staff, upon request, information that would otherwise be disclosed in a Schedule 13D.</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152" w:lineRule="exact"/>
        <w:rPr>
          <w:sz w:val="20"/>
          <w:szCs w:val="20"/>
          <w:color w:val="auto"/>
        </w:rPr>
      </w:pPr>
    </w:p>
    <w:p>
      <w:pPr>
        <w:ind w:left="4980"/>
        <w:spacing w:after="0"/>
        <w:tabs>
          <w:tab w:leader="none" w:pos="6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Grant Meikle</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Threshold &amp; Transaction Reporting Manager</w:t>
      </w:r>
    </w:p>
    <w:p>
      <w:pPr>
        <w:spacing w:after="0" w:line="44" w:lineRule="exact"/>
        <w:rPr>
          <w:sz w:val="20"/>
          <w:szCs w:val="20"/>
          <w:color w:val="auto"/>
        </w:rPr>
      </w:pPr>
    </w:p>
    <w:p>
      <w:pPr>
        <w:ind w:left="4980"/>
        <w:spacing w:after="0"/>
        <w:tabs>
          <w:tab w:leader="none" w:pos="6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sectPr>
      <w:pgSz w:w="11900" w:h="16838" w:orient="portrait"/>
      <w:cols w:equalWidth="0" w:num="1">
        <w:col w:w="10920"/>
      </w:cols>
      <w:pgMar w:left="58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9"/>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2025-02-12T10:03:54Z</dcterms:created>
  <dcterms:modified xsi:type="dcterms:W3CDTF">2025-02-12T10:03:54Z</dcterms:modified>
</cp:coreProperties>
</file>