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GORDON WILLIAM B</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Duolingo,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DUOL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20" w:type="dxa"/>
            <w:vAlign w:val="bottom"/>
            <w:tcBorders>
              <w:bottom w:val="single" w:sz="8" w:color="0000EE"/>
            </w:tcBorders>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DUOLINGO, INC.</w:t>
            </w:r>
          </w:p>
        </w:tc>
        <w:tc>
          <w:tcPr>
            <w:tcW w:w="15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5900 PENN AVENUE</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15206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78,415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 restricted stock units ("RSUs") for which the Reporting Person is entitled to receive one (1) share of the Issuer's Class A Common Stock for each RSU upon vesting. 100% of the RSUs vest on the earlier of (i) the first anniversary of the grant date or (ii) the date of the next annual meeting of the Issuer's stockholders following the grant date, subject to the Reporting Person's continued service to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Stephen Chen, as Attorney- </w:t>
      </w:r>
      <w:r>
        <w:rPr>
          <w:rFonts w:ascii="Times New Roman" w:cs="Times New Roman" w:eastAsia="Times New Roman" w:hAnsi="Times New Roman"/>
          <w:sz w:val="34"/>
          <w:szCs w:val="34"/>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William B.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43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30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9590" TargetMode="External"/><Relationship Id="rId14"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2026-06-05T15:31:26Z</dcterms:created>
  <dcterms:modified xsi:type="dcterms:W3CDTF">2026-06-05T15:31:26Z</dcterms:modified>
</cp:coreProperties>
</file>