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068806.xml.htm"/>
      <w:bookmarkStart w:id="1" w:name="kswkform4_17840688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Bohutinsky 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DUOLINGO,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5900 PENN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Duolingo,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DUOL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124.76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7,658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fully vested restricted stock units ("RSUs") in lieu of cash retainers pursuant to reporting person's election under the Issuer's Amended and Restated Non-Employee Director Compensation Program (the "Plan"). Each RSU represents the right to receive one share of the Issuer's Class A Common Stock and will be settled either on a date selected by the reporting person pursuant to the Plan or as otherwise provided under the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Chen, as Attorney-in-Fact for Amy Bohutinsky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4315" TargetMode="External"/><Relationship Id="rId5" Type="http://schemas.openxmlformats.org/officeDocument/2006/relationships/hyperlink" Target="http://www.sec.gov/cgi-bin/browse-edgar?action=getcompany&amp;CIK=0001562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3450</Characters>
  <CharactersWithSpaces>4027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