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-217170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40" w:type="dxa"/>
            <w:vAlign w:val="bottom"/>
          </w:tcPr>
          <w:p>
            <w:pPr>
              <w:jc w:val="center"/>
              <w:ind w:right="30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40" w:type="dxa"/>
            <w:vAlign w:val="bottom"/>
            <w:vMerge w:val="restart"/>
          </w:tcPr>
          <w:p>
            <w:pPr>
              <w:jc w:val="center"/>
              <w:ind w:right="32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2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5170805</wp:posOffset>
            </wp:positionH>
            <wp:positionV relativeFrom="paragraph">
              <wp:posOffset>-597535</wp:posOffset>
            </wp:positionV>
            <wp:extent cx="5651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0870"/>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-597535</wp:posOffset>
            </wp:positionV>
            <wp:extent cx="56515" cy="610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087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633730</wp:posOffset>
            </wp:positionV>
            <wp:extent cx="6999605" cy="5422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5422265"/>
                    </a:xfrm>
                    <a:prstGeom prst="rect">
                      <a:avLst/>
                    </a:prstGeom>
                    <a:noFill/>
                  </pic:spPr>
                </pic:pic>
              </a:graphicData>
            </a:graphic>
          </wp:anchor>
        </w:drawing>
      </w:r>
    </w:p>
    <w:p>
      <w:pPr>
        <w:spacing w:after="0" w:line="1067" w:lineRule="exact"/>
        <w:rPr>
          <w:sz w:val="24"/>
          <w:szCs w:val="24"/>
          <w:color w:val="auto"/>
        </w:rPr>
      </w:pPr>
    </w:p>
    <w:p>
      <w:pPr>
        <w:sectPr>
          <w:pgSz w:w="11900" w:h="16838" w:orient="portrait"/>
          <w:cols w:equalWidth="0" w:num="2">
            <w:col w:w="2280" w:space="440"/>
            <w:col w:w="836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Hacker Severin</w:t>
        </w:r>
      </w:hyperlink>
    </w:p>
    <w:p>
      <w:pPr>
        <w:spacing w:after="0" w:line="277"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DUOLINGO, INC.</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5900 PENN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Duolingo,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DUOL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05/27/2026</w:t>
      </w:r>
    </w:p>
    <w:p>
      <w:pPr>
        <w:spacing w:after="0" w:line="20" w:lineRule="exact"/>
        <w:rPr>
          <w:sz w:val="24"/>
          <w:szCs w:val="24"/>
          <w:color w:val="auto"/>
        </w:rPr>
      </w:pPr>
      <w:r>
        <w:rPr>
          <w:sz w:val="24"/>
          <w:szCs w:val="24"/>
          <w:color w:val="auto"/>
        </w:rPr>
        <w:br w:type="column"/>
      </w:r>
    </w:p>
    <w:p>
      <w:pPr>
        <w:ind w:left="-2" w:right="760" w:firstLine="2"/>
        <w:spacing w:after="0" w:line="275"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38"/>
        <w:spacing w:after="0"/>
        <w:tabs>
          <w:tab w:leader="none" w:pos="1726"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684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84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50"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4" w:lineRule="exact"/>
        <w:rPr>
          <w:sz w:val="24"/>
          <w:szCs w:val="24"/>
          <w:color w:val="auto"/>
        </w:rPr>
      </w:pPr>
    </w:p>
    <w:p>
      <w:pPr>
        <w:ind w:left="578"/>
        <w:spacing w:after="0"/>
        <w:rPr>
          <w:sz w:val="20"/>
          <w:szCs w:val="20"/>
          <w:color w:val="auto"/>
        </w:rPr>
      </w:pPr>
      <w:r>
        <w:rPr>
          <w:rFonts w:ascii="Times New Roman" w:cs="Times New Roman" w:eastAsia="Times New Roman" w:hAnsi="Times New Roman"/>
          <w:sz w:val="16"/>
          <w:szCs w:val="16"/>
          <w:color w:val="0000FF"/>
        </w:rPr>
        <w:t>Chief Tech Officer, Co-Founder</w:t>
      </w:r>
    </w:p>
    <w:p>
      <w:pPr>
        <w:spacing w:after="0" w:line="519" w:lineRule="exact"/>
        <w:rPr>
          <w:sz w:val="24"/>
          <w:szCs w:val="24"/>
          <w:color w:val="auto"/>
        </w:rPr>
      </w:pPr>
    </w:p>
    <w:p>
      <w:pPr>
        <w:sectPr>
          <w:pgSz w:w="11900" w:h="16838" w:orient="portrait"/>
          <w:cols w:equalWidth="0" w:num="3">
            <w:col w:w="3180" w:space="720"/>
            <w:col w:w="3102" w:space="720"/>
            <w:col w:w="3358"/>
          </w:cols>
          <w:pgMar w:left="460" w:top="213" w:right="359" w:bottom="1440" w:gutter="0" w:footer="0" w:header="0"/>
          <w:type w:val="continuous"/>
        </w:sectPr>
      </w:pP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40" w:type="dxa"/>
            <w:vAlign w:val="bottom"/>
            <w:gridSpan w:val="7"/>
          </w:tcPr>
          <w:p>
            <w:pPr>
              <w:ind w:left="160"/>
              <w:spacing w:after="0"/>
              <w:rPr>
                <w:sz w:val="20"/>
                <w:szCs w:val="20"/>
                <w:color w:val="auto"/>
              </w:rPr>
            </w:pPr>
            <w:r>
              <w:rPr>
                <w:rFonts w:ascii="Arial" w:cs="Arial" w:eastAsia="Arial" w:hAnsi="Arial"/>
                <w:sz w:val="12"/>
                <w:szCs w:val="12"/>
                <w:color w:val="auto"/>
              </w:rPr>
              <w:t>4. If Amendment, Date of Original Filed (Month/Day/Year)</w:t>
            </w:r>
          </w:p>
        </w:tc>
        <w:tc>
          <w:tcPr>
            <w:tcW w:w="3700" w:type="dxa"/>
            <w:vAlign w:val="bottom"/>
            <w:gridSpan w:val="8"/>
          </w:tcPr>
          <w:p>
            <w:pPr>
              <w:ind w:left="34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PITTSBURGH</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0000FF"/>
              </w:rPr>
              <w:t>PA</w:t>
            </w:r>
          </w:p>
        </w:tc>
        <w:tc>
          <w:tcPr>
            <w:tcW w:w="98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15206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60" w:type="dxa"/>
            <w:vAlign w:val="bottom"/>
            <w:gridSpan w:val="7"/>
          </w:tcPr>
          <w:p>
            <w:pPr>
              <w:ind w:left="140"/>
              <w:spacing w:after="0" w:line="129"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2"/>
                <w:szCs w:val="12"/>
                <w:color w:val="auto"/>
              </w:rPr>
              <w:t>(City)</w:t>
            </w:r>
          </w:p>
        </w:tc>
        <w:tc>
          <w:tcPr>
            <w:tcW w:w="5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2"/>
                <w:szCs w:val="12"/>
                <w:color w:val="auto"/>
              </w:rPr>
              <w:t>(State)</w:t>
            </w: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3380" w:type="dxa"/>
            <w:vAlign w:val="bottom"/>
            <w:tcBorders>
              <w:bottom w:val="single" w:sz="8" w:color="2C2C2C"/>
            </w:tcBorders>
            <w:gridSpan w:val="5"/>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7240" w:type="dxa"/>
            <w:vAlign w:val="bottom"/>
            <w:tcBorders>
              <w:top w:val="single" w:sz="8" w:color="2C2C2C"/>
            </w:tcBorders>
            <w:gridSpan w:val="13"/>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2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4"/>
          </w:tcPr>
          <w:p>
            <w:pPr>
              <w:ind w:left="8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3"/>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gridSpan w:val="2"/>
          </w:tcPr>
          <w:p>
            <w:pPr>
              <w:ind w:left="880"/>
              <w:spacing w:after="0" w:line="123" w:lineRule="exact"/>
              <w:rPr>
                <w:sz w:val="20"/>
                <w:szCs w:val="20"/>
                <w:color w:val="auto"/>
              </w:rPr>
            </w:pPr>
            <w:r>
              <w:rPr>
                <w:rFonts w:ascii="Arial" w:cs="Arial" w:eastAsia="Arial" w:hAnsi="Arial"/>
                <w:sz w:val="11"/>
                <w:szCs w:val="11"/>
                <w:b w:val="1"/>
                <w:bCs w:val="1"/>
                <w:color w:val="auto"/>
                <w:w w:val="92"/>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3"/>
          </w:tcPr>
          <w:p>
            <w:pPr>
              <w:jc w:val="right"/>
              <w:ind w:right="73"/>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40" w:type="dxa"/>
            <w:vAlign w:val="bottom"/>
            <w:gridSpan w:val="4"/>
          </w:tcPr>
          <w:p>
            <w:pPr>
              <w:ind w:left="880"/>
              <w:spacing w:after="0" w:line="123"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74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2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300"/>
              <w:spacing w:after="0" w:line="123" w:lineRule="exact"/>
              <w:rPr>
                <w:sz w:val="20"/>
                <w:szCs w:val="20"/>
                <w:color w:val="auto"/>
              </w:rPr>
            </w:pPr>
            <w:r>
              <w:rPr>
                <w:rFonts w:ascii="Arial" w:cs="Arial" w:eastAsia="Arial" w:hAnsi="Arial"/>
                <w:sz w:val="11"/>
                <w:szCs w:val="11"/>
                <w:b w:val="1"/>
                <w:bCs w:val="1"/>
                <w:color w:val="auto"/>
              </w:rPr>
              <w:t>(A) or</w:t>
            </w:r>
          </w:p>
        </w:tc>
        <w:tc>
          <w:tcPr>
            <w:tcW w:w="740" w:type="dxa"/>
            <w:vAlign w:val="bottom"/>
            <w:vMerge w:val="restart"/>
          </w:tcPr>
          <w:p>
            <w:pPr>
              <w:jc w:val="right"/>
              <w:ind w:right="213"/>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6"/>
                <w:szCs w:val="16"/>
                <w:color w:val="0000FF"/>
                <w:w w:val="99"/>
              </w:rPr>
              <w:t>72</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6"/>
          </w:tcPr>
          <w:p>
            <w:pPr>
              <w:spacing w:after="0"/>
              <w:rPr>
                <w:sz w:val="8"/>
                <w:szCs w:val="8"/>
                <w:color w:val="auto"/>
              </w:rPr>
            </w:pPr>
          </w:p>
        </w:tc>
        <w:tc>
          <w:tcPr>
            <w:tcW w:w="3380" w:type="dxa"/>
            <w:vAlign w:val="bottom"/>
            <w:tcBorders>
              <w:bottom w:val="single" w:sz="8" w:color="2C2C2C"/>
            </w:tcBorders>
            <w:gridSpan w:val="5"/>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2"/>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80" w:type="dxa"/>
            <w:vAlign w:val="bottom"/>
            <w:gridSpan w:val="11"/>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4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6"/>
              </w:rPr>
              <w:t>Security</w:t>
            </w: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ind w:left="40"/>
              <w:spacing w:after="0" w:line="123"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jc w:val="right"/>
              <w:ind w:right="73"/>
              <w:spacing w:after="0" w:line="123"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740" w:type="dxa"/>
            <w:vAlign w:val="bottom"/>
          </w:tcPr>
          <w:p>
            <w:pPr>
              <w:jc w:val="right"/>
              <w:ind w:right="93"/>
              <w:spacing w:after="0" w:line="123"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jc w:val="right"/>
              <w:ind w:right="273"/>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Based</w:t>
            </w:r>
          </w:p>
        </w:tc>
        <w:tc>
          <w:tcPr>
            <w:tcW w:w="520" w:type="dxa"/>
            <w:vAlign w:val="bottom"/>
            <w:vMerge w:val="restart"/>
          </w:tcPr>
          <w:p>
            <w:pPr>
              <w:jc w:val="center"/>
              <w:ind w:left="186"/>
              <w:spacing w:after="0"/>
              <w:rPr>
                <w:sz w:val="20"/>
                <w:szCs w:val="20"/>
                <w:color w:val="auto"/>
              </w:rPr>
            </w:pPr>
            <w:r>
              <w:rPr>
                <w:rFonts w:ascii="Times New Roman" w:cs="Times New Roman" w:eastAsia="Times New Roman" w:hAnsi="Times New Roman"/>
                <w:sz w:val="10"/>
                <w:szCs w:val="10"/>
                <w:color w:val="008000"/>
              </w:rPr>
              <w:t>(1)(2)</w:t>
            </w: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gridSpan w:val="2"/>
            <w:vMerge w:val="restart"/>
          </w:tcPr>
          <w:p>
            <w:pPr>
              <w:jc w:val="center"/>
              <w:ind w:right="45"/>
              <w:spacing w:after="0"/>
              <w:rPr>
                <w:sz w:val="20"/>
                <w:szCs w:val="20"/>
                <w:color w:val="auto"/>
              </w:rPr>
            </w:pPr>
            <w:r>
              <w:rPr>
                <w:rFonts w:ascii="Times New Roman" w:cs="Times New Roman" w:eastAsia="Times New Roman" w:hAnsi="Times New Roman"/>
                <w:sz w:val="10"/>
                <w:szCs w:val="10"/>
                <w:color w:val="008000"/>
              </w:rPr>
              <w:t>(1)(2)</w:t>
            </w:r>
          </w:p>
        </w:tc>
        <w:tc>
          <w:tcPr>
            <w:tcW w:w="6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60,000</w:t>
            </w: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05/27/2026</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jc w:val="center"/>
              <w:ind w:right="419"/>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80" w:type="dxa"/>
            <w:vAlign w:val="bottom"/>
          </w:tcPr>
          <w:p>
            <w:pPr>
              <w:spacing w:after="0"/>
              <w:rPr>
                <w:sz w:val="6"/>
                <w:szCs w:val="6"/>
                <w:color w:val="auto"/>
              </w:rPr>
            </w:pPr>
          </w:p>
        </w:tc>
        <w:tc>
          <w:tcPr>
            <w:tcW w:w="52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60,000</w:t>
            </w:r>
          </w:p>
        </w:tc>
        <w:tc>
          <w:tcPr>
            <w:tcW w:w="740" w:type="dxa"/>
            <w:vAlign w:val="bottom"/>
            <w:gridSpan w:val="2"/>
            <w:vMerge w:val="continue"/>
          </w:tcPr>
          <w:p>
            <w:pPr>
              <w:spacing w:after="0"/>
              <w:rPr>
                <w:sz w:val="6"/>
                <w:szCs w:val="6"/>
                <w:color w:val="auto"/>
              </w:rPr>
            </w:pPr>
          </w:p>
        </w:tc>
        <w:tc>
          <w:tcPr>
            <w:tcW w:w="6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06/21/2031</w:t>
            </w:r>
          </w:p>
        </w:tc>
        <w:tc>
          <w:tcPr>
            <w:tcW w:w="62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6"/>
                <w:szCs w:val="6"/>
                <w:color w:val="auto"/>
              </w:rPr>
            </w:pPr>
          </w:p>
        </w:tc>
        <w:tc>
          <w:tcPr>
            <w:tcW w:w="68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210,000</w:t>
            </w:r>
          </w:p>
        </w:tc>
        <w:tc>
          <w:tcPr>
            <w:tcW w:w="620" w:type="dxa"/>
            <w:vAlign w:val="bottom"/>
            <w:vMerge w:val="restart"/>
          </w:tcPr>
          <w:p>
            <w:pPr>
              <w:jc w:val="center"/>
              <w:ind w:left="81"/>
              <w:spacing w:after="0" w:line="136"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Restricted</w:t>
            </w: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20" w:type="dxa"/>
            <w:vAlign w:val="bottom"/>
            <w:vMerge w:val="restart"/>
          </w:tcPr>
          <w:p>
            <w:pPr>
              <w:jc w:val="center"/>
              <w:ind w:left="186"/>
              <w:spacing w:after="0"/>
              <w:rPr>
                <w:sz w:val="20"/>
                <w:szCs w:val="20"/>
                <w:color w:val="auto"/>
              </w:rPr>
            </w:pPr>
            <w:r>
              <w:rPr>
                <w:rFonts w:ascii="Times New Roman" w:cs="Times New Roman" w:eastAsia="Times New Roman" w:hAnsi="Times New Roman"/>
                <w:sz w:val="10"/>
                <w:szCs w:val="10"/>
                <w:color w:val="008000"/>
              </w:rPr>
              <w:t>(3)</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gridSpan w:val="2"/>
            <w:vMerge w:val="restart"/>
          </w:tcPr>
          <w:p>
            <w:pPr>
              <w:jc w:val="center"/>
              <w:ind w:right="45"/>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60,000</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5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05/27/2026</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419"/>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80" w:type="dxa"/>
            <w:vAlign w:val="bottom"/>
          </w:tcPr>
          <w:p>
            <w:pPr>
              <w:ind w:left="80"/>
              <w:spacing w:after="0" w:line="136" w:lineRule="exact"/>
              <w:rPr>
                <w:sz w:val="20"/>
                <w:szCs w:val="20"/>
                <w:color w:val="auto"/>
              </w:rPr>
            </w:pPr>
            <w:r>
              <w:rPr>
                <w:rFonts w:ascii="Times New Roman" w:cs="Times New Roman" w:eastAsia="Times New Roman" w:hAnsi="Times New Roman"/>
                <w:sz w:val="12"/>
                <w:szCs w:val="12"/>
                <w:color w:val="0000FF"/>
              </w:rPr>
              <w:t>60,000</w:t>
            </w:r>
          </w:p>
        </w:tc>
        <w:tc>
          <w:tcPr>
            <w:tcW w:w="5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4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237,193</w:t>
            </w:r>
          </w:p>
        </w:tc>
        <w:tc>
          <w:tcPr>
            <w:tcW w:w="620" w:type="dxa"/>
            <w:vAlign w:val="bottom"/>
          </w:tcPr>
          <w:p>
            <w:pPr>
              <w:jc w:val="center"/>
              <w:ind w:left="81"/>
              <w:spacing w:after="0" w:line="136"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20" w:type="dxa"/>
            <w:vAlign w:val="bottom"/>
            <w:vMerge w:val="restart"/>
          </w:tcPr>
          <w:p>
            <w:pPr>
              <w:jc w:val="center"/>
              <w:ind w:left="186"/>
              <w:spacing w:after="0"/>
              <w:rPr>
                <w:sz w:val="20"/>
                <w:szCs w:val="20"/>
                <w:color w:val="auto"/>
              </w:rPr>
            </w:pPr>
            <w:r>
              <w:rPr>
                <w:rFonts w:ascii="Times New Roman" w:cs="Times New Roman" w:eastAsia="Times New Roman" w:hAnsi="Times New Roman"/>
                <w:sz w:val="10"/>
                <w:szCs w:val="10"/>
                <w:color w:val="008000"/>
              </w:rPr>
              <w:t>(3)</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gridSpan w:val="2"/>
            <w:vMerge w:val="restart"/>
          </w:tcPr>
          <w:p>
            <w:pPr>
              <w:jc w:val="center"/>
              <w:ind w:right="45"/>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31,920</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5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05/27/2026</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419"/>
              <w:spacing w:after="0" w:line="136" w:lineRule="exact"/>
              <w:rPr>
                <w:sz w:val="20"/>
                <w:szCs w:val="20"/>
                <w:color w:val="auto"/>
              </w:rPr>
            </w:pPr>
            <w:r>
              <w:rPr>
                <w:rFonts w:ascii="Times New Roman" w:cs="Times New Roman" w:eastAsia="Times New Roman" w:hAnsi="Times New Roman"/>
                <w:sz w:val="12"/>
                <w:szCs w:val="12"/>
                <w:color w:val="0000FF"/>
              </w:rPr>
              <w:t>F</w:t>
            </w:r>
          </w:p>
        </w:tc>
        <w:tc>
          <w:tcPr>
            <w:tcW w:w="480" w:type="dxa"/>
            <w:vAlign w:val="bottom"/>
          </w:tcPr>
          <w:p>
            <w:pPr>
              <w:spacing w:after="0"/>
              <w:rPr>
                <w:sz w:val="11"/>
                <w:szCs w:val="11"/>
                <w:color w:val="auto"/>
              </w:rPr>
            </w:pPr>
          </w:p>
        </w:tc>
        <w:tc>
          <w:tcPr>
            <w:tcW w:w="5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31,920</w:t>
            </w:r>
          </w:p>
        </w:tc>
        <w:tc>
          <w:tcPr>
            <w:tcW w:w="74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107.82</w:t>
            </w:r>
          </w:p>
        </w:tc>
        <w:tc>
          <w:tcPr>
            <w:tcW w:w="84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205,273</w:t>
            </w:r>
          </w:p>
        </w:tc>
        <w:tc>
          <w:tcPr>
            <w:tcW w:w="620" w:type="dxa"/>
            <w:vAlign w:val="bottom"/>
          </w:tcPr>
          <w:p>
            <w:pPr>
              <w:jc w:val="center"/>
              <w:ind w:left="81"/>
              <w:spacing w:after="0" w:line="136"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20" w:type="dxa"/>
            <w:vAlign w:val="bottom"/>
            <w:vMerge w:val="restart"/>
          </w:tcPr>
          <w:p>
            <w:pPr>
              <w:jc w:val="center"/>
              <w:ind w:left="186"/>
              <w:spacing w:after="0"/>
              <w:rPr>
                <w:sz w:val="20"/>
                <w:szCs w:val="20"/>
                <w:color w:val="auto"/>
              </w:rPr>
            </w:pPr>
            <w:r>
              <w:rPr>
                <w:rFonts w:ascii="Times New Roman" w:cs="Times New Roman" w:eastAsia="Times New Roman" w:hAnsi="Times New Roman"/>
                <w:sz w:val="10"/>
                <w:szCs w:val="10"/>
                <w:color w:val="008000"/>
              </w:rPr>
              <w:t>(3)</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gridSpan w:val="2"/>
            <w:vMerge w:val="restart"/>
          </w:tcPr>
          <w:p>
            <w:pPr>
              <w:jc w:val="center"/>
              <w:ind w:right="45"/>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2,836,917</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gridSpan w:val="2"/>
            <w:vMerge w:val="restart"/>
          </w:tcPr>
          <w:p>
            <w:pPr>
              <w:ind w:left="60"/>
              <w:spacing w:after="0" w:line="99" w:lineRule="exact"/>
              <w:rPr>
                <w:sz w:val="20"/>
                <w:szCs w:val="20"/>
                <w:color w:val="auto"/>
              </w:rPr>
            </w:pPr>
            <w:r>
              <w:rPr>
                <w:rFonts w:ascii="Times New Roman" w:cs="Times New Roman" w:eastAsia="Times New Roman" w:hAnsi="Times New Roman"/>
                <w:sz w:val="11"/>
                <w:szCs w:val="11"/>
                <w:color w:val="0000FF"/>
              </w:rPr>
              <w:t>Common</w:t>
            </w: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2"/>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2,836,917</w:t>
            </w:r>
          </w:p>
        </w:tc>
        <w:tc>
          <w:tcPr>
            <w:tcW w:w="620" w:type="dxa"/>
            <w:vAlign w:val="bottom"/>
            <w:vMerge w:val="restart"/>
          </w:tcPr>
          <w:p>
            <w:pPr>
              <w:jc w:val="center"/>
              <w:ind w:left="81"/>
              <w:spacing w:after="0" w:line="99"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60"/>
              <w:spacing w:after="0" w:line="53"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-2698750</wp:posOffset>
            </wp:positionV>
            <wp:extent cx="28575" cy="2704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70446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4"/>
          <w:szCs w:val="24"/>
          <w:color w:val="auto"/>
        </w:rPr>
      </w:pPr>
    </w:p>
    <w:p>
      <w:pPr>
        <w:jc w:val="both"/>
        <w:ind w:left="40" w:right="360" w:hanging="5"/>
        <w:spacing w:after="0" w:line="254"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Performance-Based Restricted Stock Unit ("PSU") represents a contingent right to receive one share of the Issuer's Class B Common Stock upon vesting. The PSUs vest upon the satisfaction of both a service-based condition and a performance-based condition. The service-based condition is satisfied as to 25% of the PSUs on each anniversary of the completion of the Issuer's initial public offering of Class A common stock based on the Reporting Person's continuous service as CTO to the Issuer through the applicable vesting dates, subject to acceleration upon a cessation of service as CTO as a result of death or permanent disability.</w:t>
      </w:r>
    </w:p>
    <w:p>
      <w:pPr>
        <w:spacing w:after="0" w:line="16" w:lineRule="exact"/>
        <w:rPr>
          <w:rFonts w:ascii="Times New Roman" w:cs="Times New Roman" w:eastAsia="Times New Roman" w:hAnsi="Times New Roman"/>
          <w:sz w:val="12"/>
          <w:szCs w:val="12"/>
          <w:color w:val="008000"/>
        </w:rPr>
      </w:pPr>
    </w:p>
    <w:p>
      <w:pPr>
        <w:ind w:left="40" w:right="240" w:hanging="5"/>
        <w:spacing w:after="0" w:line="272"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performance-based condition will be satisfied upon the Issuer's Class A common stock achieving certain stock price hurdles over a period of ten years. Vested PSUs will be settled by the issuance of the underlying Class B Common Stock on the first anniversary of vesting, subject to acceleration upon a termination of employment or a change in control of the Issuer.</w:t>
      </w:r>
    </w:p>
    <w:p>
      <w:pPr>
        <w:spacing w:after="0" w:line="7" w:lineRule="exact"/>
        <w:rPr>
          <w:rFonts w:ascii="Times New Roman" w:cs="Times New Roman" w:eastAsia="Times New Roman" w:hAnsi="Times New Roman"/>
          <w:sz w:val="12"/>
          <w:szCs w:val="12"/>
          <w:color w:val="008000"/>
        </w:rPr>
      </w:pPr>
    </w:p>
    <w:p>
      <w:pPr>
        <w:jc w:val="both"/>
        <w:ind w:left="40" w:right="340" w:hanging="5"/>
        <w:spacing w:after="0" w:line="247"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any time at the option of the Reporting Person into one share of Class A Common Stock and has no expiration date. Each share of Class B Common Stock will convert automatically into one share of Class A Common Stock in connection with: (i) any transfer, whether or not for value, except for certain permitted transfers further described in the Issuer's amended and restated certificate of incorporation, (ii) such time as the aggregate number of shares of Class B Common Stock outstanding ceases to represent 5% of the aggregate number of shares of Common Stock outstanding, and (iii) the death of the Reporting Person.</w:t>
      </w:r>
    </w:p>
    <w:p>
      <w:pPr>
        <w:spacing w:after="0" w:line="22"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by SBH Trust dated March 10, 2020, of which Reporting Person is Trustee.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7" w:lineRule="auto"/>
        <w:rPr>
          <w:sz w:val="20"/>
          <w:szCs w:val="20"/>
          <w:color w:val="auto"/>
        </w:rPr>
      </w:pPr>
      <w:r>
        <w:rPr>
          <w:rFonts w:ascii="Times New Roman" w:cs="Times New Roman" w:eastAsia="Times New Roman" w:hAnsi="Times New Roman"/>
          <w:sz w:val="16"/>
          <w:szCs w:val="16"/>
          <w:color w:val="0000FF"/>
        </w:rPr>
        <w:t xml:space="preserve">/s/ Stephen Chen, as Attorney-in- </w:t>
      </w:r>
      <w:r>
        <w:rPr>
          <w:rFonts w:ascii="Times New Roman" w:cs="Times New Roman" w:eastAsia="Times New Roman" w:hAnsi="Times New Roman"/>
          <w:sz w:val="31"/>
          <w:szCs w:val="31"/>
          <w:color w:val="0000FF"/>
          <w:vertAlign w:val="subscript"/>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-25400</wp:posOffset>
            </wp:positionV>
            <wp:extent cx="13563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 for Severin Hacker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-17780</wp:posOffset>
            </wp:positionV>
            <wp:extent cx="9721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72185"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-80645</wp:posOffset>
            </wp:positionV>
            <wp:extent cx="4622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4"/>
          <w:szCs w:val="24"/>
          <w:color w:val="auto"/>
        </w:rPr>
      </w:pPr>
    </w:p>
    <w:p>
      <w:pPr>
        <w:jc w:val="both"/>
        <w:ind w:left="40" w:right="3940" w:hanging="5"/>
        <w:spacing w:after="0" w:line="320"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70272" TargetMode="External"/><Relationship Id="rId14" Type="http://schemas.openxmlformats.org/officeDocument/2006/relationships/hyperlink" Target="http://www.sec.gov/cgi-bin/browse-edgar?action=getcompany&amp;CIK=0001562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2026-05-29T16:42:40Z</dcterms:created>
  <dcterms:modified xsi:type="dcterms:W3CDTF">2026-05-29T16:42:40Z</dcterms:modified>
</cp:coreProperties>
</file>