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UNITED STATES</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SECURITIES AND EXCHANGE COMMISSION</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312" w:before="0" w:after="0"/>
        <w:jc w:val="center"/>
        <w:rPr/>
      </w:pPr>
      <w:r>
        <w:rPr>
          <w:rFonts w:ascii="Arial;sans-serif" w:hAnsi="Arial;sans-serif"/>
          <w:b w:val="false"/>
          <w:color w:val="000000"/>
          <w:sz w:val="18"/>
        </w:rPr>
        <w:t xml:space="preserve">For the </w:t>
      </w:r>
      <w:r>
        <w:rPr>
          <w:rFonts w:ascii="Arial;sans-serif" w:hAnsi="Arial;sans-serif"/>
          <w:b w:val="false"/>
          <w:color w:val="000000"/>
          <w:sz w:val="20"/>
        </w:rPr>
        <w:t>quarterly period ended</w:t>
      </w:r>
      <w:r>
        <w:rPr>
          <w:color w:val="000000"/>
        </w:rPr>
        <w:t xml:space="preserve"> </w:t>
      </w:r>
      <w:r>
        <w:rPr>
          <w:rFonts w:ascii="Arial;sans-serif" w:hAnsi="Arial;sans-serif"/>
          <w:b w:val="false"/>
          <w:color w:val="000000"/>
          <w:sz w:val="18"/>
        </w:rPr>
        <w:t>June 30, 2026</w:t>
      </w:r>
    </w:p>
    <w:p>
      <w:pPr>
        <w:pStyle w:val="TextBody"/>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 to 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Commission file number 001-40653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Duolingo, Inc.</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25" w:type="dxa"/>
        <w:jc w:val="center"/>
        <w:tblInd w:w="0" w:type="dxa"/>
        <w:tblLayout w:type="fixed"/>
        <w:tblCellMar>
          <w:top w:w="28" w:type="dxa"/>
          <w:left w:w="28" w:type="dxa"/>
          <w:bottom w:w="28" w:type="dxa"/>
          <w:right w:w="28" w:type="dxa"/>
        </w:tblCellMar>
      </w:tblPr>
      <w:tblGrid>
        <w:gridCol w:w="1350"/>
        <w:gridCol w:w="1182"/>
        <w:gridCol w:w="1203"/>
        <w:gridCol w:w="109"/>
        <w:gridCol w:w="109"/>
        <w:gridCol w:w="109"/>
        <w:gridCol w:w="109"/>
        <w:gridCol w:w="109"/>
        <w:gridCol w:w="109"/>
        <w:gridCol w:w="109"/>
        <w:gridCol w:w="109"/>
        <w:gridCol w:w="109"/>
        <w:gridCol w:w="676"/>
        <w:gridCol w:w="676"/>
        <w:gridCol w:w="957"/>
      </w:tblGrid>
      <w:tr>
        <w:trPr/>
        <w:tc>
          <w:tcPr>
            <w:tcW w:w="135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45-3055872</w:t>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(I.R.S. Employer Identification No.)</w:t>
            </w:r>
          </w:p>
        </w:tc>
      </w:tr>
    </w:tbl>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 xml:space="preserve">5900 Penn Avenue </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Pittsburgh, Pennsylvania 15206</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(412) 567-6602</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 xml:space="preserve">(Address, Including Zip Code, and Telephone Number, Including </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 xml:space="preserve">Area Code, of Registrant’s Principal Executive Offices)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 xml:space="preserve">Securities registered pursuant to Section 12(b) of the Act: </w:t>
      </w:r>
    </w:p>
    <w:tbl>
      <w:tblPr>
        <w:tblW w:w="7018" w:type="dxa"/>
        <w:jc w:val="left"/>
        <w:tblInd w:w="0" w:type="dxa"/>
        <w:tblLayout w:type="fixed"/>
        <w:tblCellMar>
          <w:top w:w="28" w:type="dxa"/>
          <w:left w:w="28" w:type="dxa"/>
          <w:bottom w:w="28" w:type="dxa"/>
          <w:right w:w="28" w:type="dxa"/>
        </w:tblCellMar>
      </w:tblPr>
      <w:tblGrid>
        <w:gridCol w:w="995"/>
        <w:gridCol w:w="876"/>
        <w:gridCol w:w="889"/>
        <w:gridCol w:w="424"/>
        <w:gridCol w:w="424"/>
        <w:gridCol w:w="426"/>
        <w:gridCol w:w="872"/>
        <w:gridCol w:w="872"/>
        <w:gridCol w:w="1240"/>
      </w:tblGrid>
      <w:tr>
        <w:trPr/>
        <w:tc>
          <w:tcPr>
            <w:tcW w:w="9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Trading Symbol(s)</w:t>
            </w:r>
          </w:p>
        </w:tc>
        <w:tc>
          <w:tcPr>
            <w:tcW w:w="2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Class A common stock, $0.0001 per share</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DUOL</w:t>
            </w:r>
          </w:p>
        </w:tc>
        <w:tc>
          <w:tcPr>
            <w:tcW w:w="29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color w:val="000000"/>
              </w:rPr>
            </w:pPr>
            <w:r>
              <w:rPr>
                <w:color w:val="000000"/>
              </w:rPr>
              <w:t> </w:t>
            </w:r>
            <w:r>
              <w:rPr>
                <w:rFonts w:ascii="Arial;sans-serif" w:hAnsi="Arial;sans-serif"/>
                <w:b w:val="false"/>
                <w:color w:val="000000"/>
                <w:sz w:val="14"/>
              </w:rPr>
              <w:t>The Nasdaq Stock Market LLC</w:t>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br/>
        <w:t>Yes ☒ No ☐ </w:t>
      </w:r>
    </w:p>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Yes ☒ No ☐ </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66"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09"/>
        <w:gridCol w:w="109"/>
        <w:gridCol w:w="109"/>
        <w:gridCol w:w="579"/>
        <w:gridCol w:w="579"/>
        <w:gridCol w:w="582"/>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14"/>
              </w:rPr>
            </w:pPr>
            <w:r>
              <w:rPr>
                <w:rFonts w:ascii="Arial;sans-serif" w:hAnsi="Arial;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14"/>
              </w:rPr>
            </w:pPr>
            <w:r>
              <w:rPr>
                <w:rFonts w:ascii="Arial;sans-serif" w:hAnsi="Arial;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14"/>
              </w:rPr>
            </w:pPr>
            <w:r>
              <w:rPr>
                <w:rFonts w:ascii="Arial;sans-serif" w:hAnsi="Arial;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r>
    </w:tbl>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shell company (as defined in Rule 12b-2 of the Act). Yes ☐   No  ☒</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As of August 4, 2026, 40,387,012 shares of the registrant's Class A common stock were outstanding, and 6,399,257 shares of the registrant's Class B common stock were outstanding.</w:t>
      </w: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0" w:name="if1f44dda4f804c679fb7bd415d861f90"/>
      <w:bookmarkEnd w:id="0"/>
      <w:r>
        <w:rPr>
          <w:rFonts w:ascii="Arial;sans-serif" w:hAnsi="Arial;sans-serif"/>
          <w:b/>
          <w:color w:val="000000"/>
          <w:sz w:val="20"/>
        </w:rPr>
        <w:t>Table of Contents                                         Page</w:t>
      </w:r>
    </w:p>
    <w:tbl>
      <w:tblPr>
        <w:tblW w:w="8306" w:type="dxa"/>
        <w:jc w:val="left"/>
        <w:tblInd w:w="0" w:type="dxa"/>
        <w:tblLayout w:type="fixed"/>
        <w:tblCellMar>
          <w:top w:w="28" w:type="dxa"/>
          <w:left w:w="28" w:type="dxa"/>
          <w:bottom w:w="28" w:type="dxa"/>
          <w:right w:w="28" w:type="dxa"/>
        </w:tblCellMar>
      </w:tblPr>
      <w:tblGrid>
        <w:gridCol w:w="2873"/>
        <w:gridCol w:w="2528"/>
        <w:gridCol w:w="2533"/>
        <w:gridCol w:w="109"/>
        <w:gridCol w:w="109"/>
        <w:gridCol w:w="154"/>
      </w:tblGrid>
      <w:tr>
        <w:trPr/>
        <w:tc>
          <w:tcPr>
            <w:tcW w:w="2873"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35efb56b61478cbaf272e8bba547ee">
              <w:r>
                <w:rPr>
                  <w:rStyle w:val="InternetLink"/>
                  <w:rFonts w:ascii="Arial;sans-serif" w:hAnsi="Arial;sans-serif"/>
                  <w:b w:val="false"/>
                  <w:color w:val="0E32E1"/>
                  <w:sz w:val="18"/>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35efb56b61478cbaf272e8bba547ee">
              <w:r>
                <w:rPr>
                  <w:rStyle w:val="InternetLink"/>
                  <w:rFonts w:ascii="Arial;sans-serif" w:hAnsi="Arial;sans-serif"/>
                  <w:b w:val="false"/>
                  <w:color w:val="0E32E1"/>
                  <w:sz w:val="18"/>
                  <w:u w:val="single"/>
                </w:rPr>
                <w:t>2</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c75ebd120e4b30bf7b9a34c4cabd17">
              <w:r>
                <w:rPr>
                  <w:rStyle w:val="InternetLink"/>
                  <w:rFonts w:ascii="Arial;sans-serif" w:hAnsi="Arial;sans-serif"/>
                  <w:b w:val="false"/>
                  <w:color w:val="0E32E1"/>
                  <w:sz w:val="18"/>
                  <w:u w:val="single"/>
                </w:rPr>
                <w:t>Special Note Regarding Key Operating Metrics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c75ebd120e4b30bf7b9a34c4cabd17">
              <w:r>
                <w:rPr>
                  <w:rStyle w:val="InternetLink"/>
                  <w:rFonts w:ascii="Arial;sans-serif" w:hAnsi="Arial;sans-serif"/>
                  <w:b w:val="false"/>
                  <w:color w:val="0E32E1"/>
                  <w:sz w:val="18"/>
                  <w:u w:val="single"/>
                </w:rPr>
                <w:t>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5e22fa6a567401089f6910c1d95e150">
              <w:r>
                <w:rPr>
                  <w:rStyle w:val="InternetLink"/>
                  <w:rFonts w:ascii="Arial;sans-serif" w:hAnsi="Arial;sans-serif"/>
                  <w:b w:val="false"/>
                  <w:color w:val="0E32E1"/>
                  <w:sz w:val="18"/>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5e22fa6a567401089f6910c1d95e150">
              <w:r>
                <w:rPr>
                  <w:rStyle w:val="InternetLink"/>
                  <w:rFonts w:ascii="Arial;sans-serif" w:hAnsi="Arial;sans-serif"/>
                  <w:b w:val="false"/>
                  <w:color w:val="0E32E1"/>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be7bbc7e194c888b74a8b1ab841699">
              <w:r>
                <w:rPr>
                  <w:rStyle w:val="InternetLink"/>
                  <w:rFonts w:ascii="Arial;sans-serif" w:hAnsi="Arial;sans-serif"/>
                  <w:b w:val="false"/>
                  <w:color w:val="0E32E1"/>
                  <w:sz w:val="18"/>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be7bbc7e194c888b74a8b1ab841699">
              <w:r>
                <w:rPr>
                  <w:rStyle w:val="InternetLink"/>
                  <w:rFonts w:ascii="Arial;sans-serif" w:hAnsi="Arial;sans-serif"/>
                  <w:b w:val="false"/>
                  <w:color w:val="0E32E1"/>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450fd1e07546699cc5ce125ebe2226">
              <w:r>
                <w:rPr>
                  <w:rStyle w:val="InternetLink"/>
                  <w:rFonts w:ascii="Arial;sans-serif" w:hAnsi="Arial;sans-serif"/>
                  <w:b w:val="false"/>
                  <w:color w:val="0E32E1"/>
                  <w:sz w:val="18"/>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450fd1e07546699cc5ce125ebe2226">
              <w:r>
                <w:rPr>
                  <w:rStyle w:val="InternetLink"/>
                  <w:rFonts w:ascii="Arial;sans-serif" w:hAnsi="Arial;sans-serif"/>
                  <w:b w:val="false"/>
                  <w:color w:val="0E32E1"/>
                  <w:sz w:val="18"/>
                  <w:u w:val="single"/>
                </w:rPr>
                <w:t>22</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d98f89be040619209290136fc17f8">
              <w:r>
                <w:rPr>
                  <w:rStyle w:val="InternetLink"/>
                  <w:rFonts w:ascii="Arial;sans-serif" w:hAnsi="Arial;sans-serif"/>
                  <w:b w:val="false"/>
                  <w:color w:val="0E32E1"/>
                  <w:sz w:val="18"/>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9d98f89be040619209290136fc17f8">
              <w:r>
                <w:rPr>
                  <w:rStyle w:val="InternetLink"/>
                  <w:rFonts w:ascii="Arial;sans-serif" w:hAnsi="Arial;sans-serif"/>
                  <w:b w:val="false"/>
                  <w:color w:val="0E32E1"/>
                  <w:sz w:val="18"/>
                  <w:u w:val="single"/>
                </w:rPr>
                <w:t>35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89cf93637cd4074ae6970c8357fec18">
              <w:r>
                <w:rPr>
                  <w:rStyle w:val="InternetLink"/>
                  <w:rFonts w:ascii="Arial;sans-serif" w:hAnsi="Arial;sans-serif"/>
                  <w:b w:val="false"/>
                  <w:color w:val="0E32E1"/>
                  <w:sz w:val="18"/>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89cf93637cd4074ae6970c8357fec18">
              <w:r>
                <w:rPr>
                  <w:rStyle w:val="InternetLink"/>
                  <w:rFonts w:ascii="Arial;sans-serif" w:hAnsi="Arial;sans-serif"/>
                  <w:b w:val="false"/>
                  <w:color w:val="0E32E1"/>
                  <w:sz w:val="18"/>
                  <w:u w:val="single"/>
                </w:rPr>
                <w:t>36</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9580954d250484eae3979d1e68b52b3">
              <w:r>
                <w:rPr>
                  <w:rStyle w:val="InternetLink"/>
                  <w:rFonts w:ascii="Arial;sans-serif" w:hAnsi="Arial;sans-serif"/>
                  <w:b w:val="false"/>
                  <w:color w:val="0E32E1"/>
                  <w:sz w:val="18"/>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9580954d250484eae3979d1e68b52b3">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261ef1281a40aaaaeaf9ee6202b898">
              <w:r>
                <w:rPr>
                  <w:rStyle w:val="InternetLink"/>
                  <w:rFonts w:ascii="Arial;sans-serif" w:hAnsi="Arial;sans-serif"/>
                  <w:b w:val="false"/>
                  <w:color w:val="0E32E1"/>
                  <w:sz w:val="18"/>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a261ef1281a40aaaaeaf9ee6202b898">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da62ca70cf4ef39ba202760d29ada9">
              <w:r>
                <w:rPr>
                  <w:rStyle w:val="InternetLink"/>
                  <w:rFonts w:ascii="Arial;sans-serif" w:hAnsi="Arial;sans-serif"/>
                  <w:b w:val="false"/>
                  <w:color w:val="0E32E1"/>
                  <w:sz w:val="18"/>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da62ca70cf4ef39ba202760d29ada9">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4ca480f02b84f00bda4f654561795db">
              <w:r>
                <w:rPr>
                  <w:rStyle w:val="InternetLink"/>
                  <w:rFonts w:ascii="Arial;sans-serif" w:hAnsi="Arial;sans-serif"/>
                  <w:b w:val="false"/>
                  <w:color w:val="0E32E1"/>
                  <w:sz w:val="18"/>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4ca480f02b84f00bda4f654561795db">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33be4336df48219c0f44054412ecad">
              <w:r>
                <w:rPr>
                  <w:rStyle w:val="InternetLink"/>
                  <w:rFonts w:ascii="Arial;sans-serif" w:hAnsi="Arial;sans-serif"/>
                  <w:b w:val="false"/>
                  <w:color w:val="0E32E1"/>
                  <w:sz w:val="18"/>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a33be4336df48219c0f44054412ecad">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23ad38e631d4e2e9c1976b796453353">
              <w:r>
                <w:rPr>
                  <w:rStyle w:val="InternetLink"/>
                  <w:rFonts w:ascii="Arial;sans-serif" w:hAnsi="Arial;sans-serif"/>
                  <w:b w:val="false"/>
                  <w:color w:val="0E32E1"/>
                  <w:sz w:val="18"/>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23ad38e631d4e2e9c1976b796453353">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88b85c89e4f8d8a9a56fe47fad5a6">
              <w:r>
                <w:rPr>
                  <w:rStyle w:val="InternetLink"/>
                  <w:rFonts w:ascii="Arial;sans-serif" w:hAnsi="Arial;sans-serif"/>
                  <w:b w:val="false"/>
                  <w:color w:val="0E32E1"/>
                  <w:sz w:val="18"/>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c688b85c89e4f8d8a9a56fe47fad5a6">
              <w:r>
                <w:rPr>
                  <w:rStyle w:val="InternetLink"/>
                  <w:rFonts w:ascii="Arial;sans-serif" w:hAnsi="Arial;sans-serif"/>
                  <w:b w:val="false"/>
                  <w:color w:val="0E32E1"/>
                  <w:sz w:val="18"/>
                  <w:u w:val="single"/>
                </w:rPr>
                <w:t>37</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1cf85b2379f4ae996e6bdf1f2f3fd9d">
              <w:r>
                <w:rPr>
                  <w:rStyle w:val="InternetLink"/>
                  <w:rFonts w:ascii="Arial;sans-serif" w:hAnsi="Arial;sans-serif"/>
                  <w:b w:val="false"/>
                  <w:color w:val="0E32E1"/>
                  <w:sz w:val="18"/>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1cf85b2379f4ae996e6bdf1f2f3fd9d">
              <w:r>
                <w:rPr>
                  <w:rStyle w:val="InternetLink"/>
                  <w:rFonts w:ascii="Arial;sans-serif" w:hAnsi="Arial;sans-serif"/>
                  <w:b w:val="false"/>
                  <w:color w:val="0E32E1"/>
                  <w:sz w:val="18"/>
                  <w:u w:val="single"/>
                </w:rPr>
                <w:t>39</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f70a4542ffb427fb844df3995f77296">
              <w:r>
                <w:rPr>
                  <w:rStyle w:val="InternetLink"/>
                  <w:rFonts w:ascii="Arial;sans-serif" w:hAnsi="Arial;sans-serif"/>
                  <w:b w:val="false"/>
                  <w:color w:val="0E32E1"/>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f70a4542ffb427fb844df3995f77296">
              <w:r>
                <w:rPr>
                  <w:rStyle w:val="InternetLink"/>
                  <w:rFonts w:ascii="Arial;sans-serif" w:hAnsi="Arial;sans-serif"/>
                  <w:b w:val="false"/>
                  <w:color w:val="0E32E1"/>
                  <w:sz w:val="18"/>
                  <w:u w:val="single"/>
                </w:rPr>
                <w:t>40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1" w:name="i5935efb56b61478cbaf272e8bba547ee"/>
      <w:bookmarkEnd w:id="1"/>
      <w:r>
        <w:rPr>
          <w:rFonts w:ascii="Arial;sans-serif" w:hAnsi="Arial;sans-serif"/>
          <w:b/>
          <w:color w:val="000000"/>
          <w:sz w:val="20"/>
        </w:rPr>
        <w:t>Special Note Regarding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our business model and strategic plans, including the introduction of new products,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retain and grow our users and sustain their engagement with our products;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competition in the online language learning industry;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maintain profitability;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impact on our income as a result of the release of valuation allowances on deferred tax assets;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expectations regarding fluctuations in our effective tax rate, including changes to valuation allowances, and the adequacy of our reserves;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manage our growth and operate at such scale;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success of our investments;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accurately predict our quarterly operating results and other operating metrics;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accurately measure our user metrics and other operating metrics;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reliance on third-party platforms to store and distribute our products and collect revenue;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success of our development, implementation and use of artificial intelligence and machine learning technologies;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reliance on third-party hosting, cloud computing providers and Artificial Intelligence (“AI”) vendors;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compete for advertisements;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acceptance by educational organizations of technology-based education;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changes in our business and macroeconomic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accuracy of market research published about the Company by third-party data scraping services;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those identified in Part I, Item 2. “Management’s Discussion and Analysis of Financial Condition and Results of Operations in this Quarterly Report on Form 10-Q;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those identified in Part I, Item 1A. “Risk Factors” and Part II, Item 7. “Management’s Discussion and Analysis of Financial Condition and Results of Operations” in our Annual Report on Form 10-K for the fiscal year ended December 31, 2025 (the “Annual Report on Form 10-K”).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caution you that the foregoing list does not contain all of the forward-looking statements made in this Quarterly Report on Form 10-Q.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These statements are based upon information available to us as of the date of this Quarterly Report on Form 10-Q and, although we believe that we have a reasonable basis for each forward-looking statement contained in this Quarterly Report on Form 10-Q, such information may be limited or incomplete, and our statements should not be read to indicate that we have conducted an exhaustive inquiry into, or review of, all potentially available relevant information. We cannot guarantee that the future results, levels of activity, performance, or events and circumstances reflected in the forward-looking statements will be achieved or occur at all. Moreover, we operate in a very competitive and rapidly changing environment.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forward-looking statements made in this Quarterly Report on Form 10-Q relate only to events as of the date on which the statements are made. While we may elect to update such forward-looking statements at some point in the future, unless required by applicable law, we disclaim any obligation to do so, even if subsequent events cause our views to change.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Unless the context otherwise requires, all references in this Quarterly Report on Form 10-Q to “Duolingo,” the “Company”, “we,” “our,” “us,” or similar terms refer to Duolingo,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2" w:name="i85c75ebd120e4b30bf7b9a34c4cabd17"/>
      <w:bookmarkEnd w:id="2"/>
      <w:r>
        <w:rPr>
          <w:rFonts w:ascii="Arial;sans-serif" w:hAnsi="Arial;sans-serif"/>
          <w:b/>
          <w:color w:val="000000"/>
          <w:sz w:val="20"/>
        </w:rPr>
        <w:t>Special Note Regarding Key Operating Metrics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manage our business by tracking several operating metrics, including daily active users (DAUs), paid subscribers, subscription bookings, and total bookings. We believe each of these operating metrics provides useful information to investors and others. For information concerning these metrics as measured by us, see Part I, Item 2. “Management’s Discussion and Analysis of Financial Condition and Results of Operations - Key Operating Metrics and 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“Risk Factors—Our user metrics and other operating metrics are subject to inherent challenges in measurement, and real or perceived inaccuracies in those metrics may negatively affect our reputation and our business” included in the Annual Report on Form 10-K. Other companies, including companies in our industry, may calculate these metrics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3" w:name="i15e22fa6a567401089f6910c1d95e150"/>
      <w:bookmarkEnd w:id="3"/>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 w:name="i34be7bbc7e194c888b74a8b1ab841699"/>
      <w:bookmarkEnd w:id="4"/>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DUOLINGO, INC. AND SUBSIDIARIES</w:t>
        <w:br/>
        <w:t>UNAUDITED CONDENSED CONSOLIDATED BALANCE SHEETS</w:t>
      </w:r>
    </w:p>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(Amounts in thousands, except par value amounts)</w:t>
      </w:r>
    </w:p>
    <w:tbl>
      <w:tblPr>
        <w:tblW w:w="10205" w:type="dxa"/>
        <w:jc w:val="center"/>
        <w:tblInd w:w="0" w:type="dxa"/>
        <w:tblLayout w:type="fixed"/>
        <w:tblCellMar>
          <w:top w:w="28" w:type="dxa"/>
          <w:left w:w="28" w:type="dxa"/>
          <w:bottom w:w="28" w:type="dxa"/>
          <w:right w:w="28" w:type="dxa"/>
        </w:tblCellMar>
      </w:tblPr>
      <w:tblGrid>
        <w:gridCol w:w="2964"/>
        <w:gridCol w:w="2063"/>
        <w:gridCol w:w="2060"/>
        <w:gridCol w:w="211"/>
        <w:gridCol w:w="1021"/>
        <w:gridCol w:w="109"/>
        <w:gridCol w:w="109"/>
        <w:gridCol w:w="109"/>
        <w:gridCol w:w="109"/>
        <w:gridCol w:w="220"/>
        <w:gridCol w:w="1067"/>
        <w:gridCol w:w="163"/>
      </w:tblGrid>
      <w:tr>
        <w:trPr/>
        <w:tc>
          <w:tcPr>
            <w:tcW w:w="2964"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8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1,180,887 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1,036,389 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162,827 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 of revenues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1,571,114 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1,436,606 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investments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135,098 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2,073,953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1,992,182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55,429 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551,148 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obligation under operating leases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93,779 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664,211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645,176</w:t>
            </w:r>
            <w:r>
              <w:rPr>
                <w:color w:val="000000"/>
              </w:rPr>
              <w:t>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contingencies (Note 9)</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Class A common stock, $0.0001 par value; 2,000,000 shares authorized as of June 30, 2026 and December 31, 2025; 40,337 issued and 40,325 outstanding at June 30, 2026 and 40,368 issued and outstanding at December 31, 2025, respectively</w:t>
            </w:r>
          </w:p>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Class B common stock, $0.0001 par value; 30,000 shares authorized as of June 30, 2026 and December 31, 2025; 6,399 and 6,260 issued and outstanding at June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12 and 0 shares as of June 30, 2026 and December 31, 2025, respectively.</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1,058,783 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364,836 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288,218 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1,409,742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1,347,006</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2,073,953</w:t>
            </w: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1,992,182</w:t>
            </w:r>
            <w:r>
              <w:rPr>
                <w:color w:val="000000"/>
              </w:rPr>
              <w:t> </w:t>
            </w:r>
          </w:p>
        </w:tc>
        <w:tc>
          <w:tcPr>
            <w:tcW w:w="16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pPr>
      <w:r>
        <w:rPr>
          <w:rFonts w:ascii="Arial;sans-serif" w:hAnsi="Arial;sans-serif"/>
          <w:b/>
          <w:color w:val="000000"/>
          <w:sz w:val="20"/>
        </w:rPr>
        <w:t>DUOLINGO, INC. AND SUBSIDIARIES</w:t>
        <w:br/>
        <w:t>UNAUDITED CONDENSED CONSOLIDATED STATEMENTS OF OPERATIONS AND COMPREHENSIVE INCOME</w:t>
      </w:r>
      <w:r>
        <w:rPr>
          <w:rFonts w:ascii="Arial;sans-serif" w:hAnsi="Arial;sans-serif"/>
          <w:b w:val="false"/>
          <w:color w:val="000000"/>
          <w:sz w:val="20"/>
        </w:rPr>
        <w:br/>
      </w:r>
      <w:r>
        <w:rPr>
          <w:rFonts w:ascii="Arial;sans-serif" w:hAnsi="Arial;sans-serif"/>
          <w:b w:val="false"/>
          <w:i/>
          <w:color w:val="000000"/>
          <w:sz w:val="20"/>
        </w:rPr>
        <w:t>(Amounts in thousands, except per share amounts)</w:t>
      </w:r>
    </w:p>
    <w:tbl>
      <w:tblPr>
        <w:tblW w:w="10205" w:type="dxa"/>
        <w:jc w:val="left"/>
        <w:tblInd w:w="0" w:type="dxa"/>
        <w:tblLayout w:type="fixed"/>
        <w:tblCellMar>
          <w:top w:w="28" w:type="dxa"/>
          <w:left w:w="28" w:type="dxa"/>
          <w:bottom w:w="28" w:type="dxa"/>
          <w:right w:w="28" w:type="dxa"/>
        </w:tblCellMar>
      </w:tblPr>
      <w:tblGrid>
        <w:gridCol w:w="1806"/>
        <w:gridCol w:w="1383"/>
        <w:gridCol w:w="1393"/>
        <w:gridCol w:w="211"/>
        <w:gridCol w:w="856"/>
        <w:gridCol w:w="109"/>
        <w:gridCol w:w="109"/>
        <w:gridCol w:w="109"/>
        <w:gridCol w:w="109"/>
        <w:gridCol w:w="211"/>
        <w:gridCol w:w="856"/>
        <w:gridCol w:w="109"/>
        <w:gridCol w:w="211"/>
        <w:gridCol w:w="856"/>
        <w:gridCol w:w="109"/>
        <w:gridCol w:w="109"/>
        <w:gridCol w:w="109"/>
        <w:gridCol w:w="109"/>
        <w:gridCol w:w="211"/>
        <w:gridCol w:w="856"/>
        <w:gridCol w:w="109"/>
        <w:gridCol w:w="109"/>
        <w:gridCol w:w="156"/>
      </w:tblGrid>
      <w:tr>
        <w:trPr/>
        <w:tc>
          <w:tcPr>
            <w:tcW w:w="180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590,421 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77,276 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Class A and Class B common stockholders,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Class A and Class B common stockholders, diluted</w:t>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UNAUDITED CONDENSED CONSOLIDATED STATEMENTS OF STOCKHOLDERS’ EQUITY</w:t>
        <w:br/>
        <w:t>THREE MONTHS ENDED JUNE 30, 2026 AND 2025</w:t>
      </w:r>
      <w:r>
        <w:rPr>
          <w:rFonts w:ascii="Arial;sans-serif" w:hAnsi="Arial;sans-serif"/>
          <w:b w:val="false"/>
          <w:color w:val="000000"/>
          <w:sz w:val="20"/>
        </w:rPr>
        <w:br/>
      </w:r>
      <w:r>
        <w:rPr>
          <w:rFonts w:ascii="Arial;sans-serif" w:hAnsi="Arial;sans-serif"/>
          <w:b w:val="false"/>
          <w:i/>
          <w:color w:val="000000"/>
          <w:sz w:val="20"/>
        </w:rPr>
        <w:t>(Amounts in thousands)</w:t>
      </w:r>
    </w:p>
    <w:tbl>
      <w:tblPr>
        <w:tblW w:w="11184" w:type="dxa"/>
        <w:jc w:val="left"/>
        <w:tblInd w:w="0" w:type="dxa"/>
        <w:tblLayout w:type="fixed"/>
        <w:tblCellMar>
          <w:top w:w="28" w:type="dxa"/>
          <w:left w:w="28" w:type="dxa"/>
          <w:bottom w:w="28" w:type="dxa"/>
          <w:right w:w="28" w:type="dxa"/>
        </w:tblCellMar>
      </w:tblPr>
      <w:tblGrid>
        <w:gridCol w:w="551"/>
        <w:gridCol w:w="392"/>
        <w:gridCol w:w="393"/>
        <w:gridCol w:w="375"/>
        <w:gridCol w:w="376"/>
        <w:gridCol w:w="251"/>
        <w:gridCol w:w="109"/>
        <w:gridCol w:w="109"/>
        <w:gridCol w:w="109"/>
        <w:gridCol w:w="300"/>
        <w:gridCol w:w="385"/>
        <w:gridCol w:w="156"/>
        <w:gridCol w:w="109"/>
        <w:gridCol w:w="109"/>
        <w:gridCol w:w="109"/>
        <w:gridCol w:w="250"/>
        <w:gridCol w:w="250"/>
        <w:gridCol w:w="251"/>
        <w:gridCol w:w="109"/>
        <w:gridCol w:w="109"/>
        <w:gridCol w:w="109"/>
        <w:gridCol w:w="211"/>
        <w:gridCol w:w="646"/>
        <w:gridCol w:w="109"/>
        <w:gridCol w:w="109"/>
        <w:gridCol w:w="109"/>
        <w:gridCol w:w="109"/>
        <w:gridCol w:w="211"/>
        <w:gridCol w:w="1021"/>
        <w:gridCol w:w="109"/>
        <w:gridCol w:w="109"/>
        <w:gridCol w:w="109"/>
        <w:gridCol w:w="109"/>
        <w:gridCol w:w="109"/>
        <w:gridCol w:w="109"/>
        <w:gridCol w:w="247"/>
        <w:gridCol w:w="1005"/>
        <w:gridCol w:w="129"/>
        <w:gridCol w:w="109"/>
        <w:gridCol w:w="109"/>
        <w:gridCol w:w="109"/>
        <w:gridCol w:w="211"/>
        <w:gridCol w:w="1021"/>
        <w:gridCol w:w="154"/>
      </w:tblGrid>
      <w:tr>
        <w:trPr/>
        <w:tc>
          <w:tcPr>
            <w:tcW w:w="5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Deficit)</w:t>
              <w:b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BALANCE—April 1, 2025</w:t>
            </w:r>
          </w:p>
        </w:tc>
        <w:tc>
          <w:tcPr>
            <w:tcW w:w="7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45,416 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984,534 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(90,712)</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893,826 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34,592 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162 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3,832 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3,832 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209 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44,781 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44,781 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BALANCE—June 30, 2025</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45,787 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1,022,958 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(45,931)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977,031 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BALANCE—April 1, 2026</w:t>
            </w:r>
          </w:p>
        </w:tc>
        <w:tc>
          <w:tcPr>
            <w:tcW w:w="75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46,889 </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38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(46)</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(4,499)</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1,064,580 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331,678 </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1,391,764 </w:t>
            </w:r>
          </w:p>
        </w:tc>
        <w:tc>
          <w:tcPr>
            <w:tcW w:w="15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38,210 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Release of performance stock units</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180 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Taxes paid related to net-share settlement of share-based compensation awards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(87)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33 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188 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(44,448)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of treasury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33,158 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33,158 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BALANCE—June 30,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46,736 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(12)</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1,046,326 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364,836 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1,409,742 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DUOLINGO, INC. AND SUBSIDIARIES</w:t>
        <w:br/>
        <w:t>UNAUDITED CONDENSED CONSOLIDATED STATEMENTS OF STOCKHOLDERS’ EQUITY</w:t>
      </w:r>
    </w:p>
    <w:p>
      <w:pPr>
        <w:pStyle w:val="TextBody"/>
        <w:bidi w:val="0"/>
        <w:spacing w:lineRule="auto" w:line="288" w:before="0" w:after="180"/>
        <w:jc w:val="center"/>
        <w:rPr/>
      </w:pPr>
      <w:r>
        <w:rPr>
          <w:rFonts w:ascii="Arial;sans-serif" w:hAnsi="Arial;sans-serif"/>
          <w:b/>
          <w:color w:val="000000"/>
          <w:sz w:val="20"/>
        </w:rPr>
        <w:t>SIX MONTHS ENDED JUNE 30, 2026 AND 2025</w:t>
      </w:r>
      <w:r>
        <w:rPr>
          <w:rFonts w:ascii="Arial;sans-serif" w:hAnsi="Arial;sans-serif"/>
          <w:b w:val="false"/>
          <w:color w:val="000000"/>
          <w:sz w:val="20"/>
        </w:rPr>
        <w:br/>
      </w:r>
      <w:r>
        <w:rPr>
          <w:rFonts w:ascii="Arial;sans-serif" w:hAnsi="Arial;sans-serif"/>
          <w:b w:val="false"/>
          <w:i/>
          <w:color w:val="000000"/>
          <w:sz w:val="20"/>
        </w:rPr>
        <w:t>(Amounts in thousands)</w:t>
      </w:r>
    </w:p>
    <w:tbl>
      <w:tblPr>
        <w:tblW w:w="11184" w:type="dxa"/>
        <w:jc w:val="center"/>
        <w:tblInd w:w="0" w:type="dxa"/>
        <w:tblLayout w:type="fixed"/>
        <w:tblCellMar>
          <w:top w:w="28" w:type="dxa"/>
          <w:left w:w="28" w:type="dxa"/>
          <w:bottom w:w="28" w:type="dxa"/>
          <w:right w:w="28" w:type="dxa"/>
        </w:tblCellMar>
      </w:tblPr>
      <w:tblGrid>
        <w:gridCol w:w="551"/>
        <w:gridCol w:w="392"/>
        <w:gridCol w:w="393"/>
        <w:gridCol w:w="375"/>
        <w:gridCol w:w="376"/>
        <w:gridCol w:w="251"/>
        <w:gridCol w:w="109"/>
        <w:gridCol w:w="109"/>
        <w:gridCol w:w="109"/>
        <w:gridCol w:w="300"/>
        <w:gridCol w:w="385"/>
        <w:gridCol w:w="156"/>
        <w:gridCol w:w="109"/>
        <w:gridCol w:w="109"/>
        <w:gridCol w:w="109"/>
        <w:gridCol w:w="250"/>
        <w:gridCol w:w="250"/>
        <w:gridCol w:w="251"/>
        <w:gridCol w:w="109"/>
        <w:gridCol w:w="109"/>
        <w:gridCol w:w="109"/>
        <w:gridCol w:w="211"/>
        <w:gridCol w:w="646"/>
        <w:gridCol w:w="109"/>
        <w:gridCol w:w="109"/>
        <w:gridCol w:w="109"/>
        <w:gridCol w:w="109"/>
        <w:gridCol w:w="211"/>
        <w:gridCol w:w="1021"/>
        <w:gridCol w:w="109"/>
        <w:gridCol w:w="109"/>
        <w:gridCol w:w="109"/>
        <w:gridCol w:w="109"/>
        <w:gridCol w:w="109"/>
        <w:gridCol w:w="109"/>
        <w:gridCol w:w="247"/>
        <w:gridCol w:w="1005"/>
        <w:gridCol w:w="129"/>
        <w:gridCol w:w="109"/>
        <w:gridCol w:w="109"/>
        <w:gridCol w:w="109"/>
        <w:gridCol w:w="211"/>
        <w:gridCol w:w="1021"/>
        <w:gridCol w:w="154"/>
      </w:tblGrid>
      <w:tr>
        <w:trPr/>
        <w:tc>
          <w:tcPr>
            <w:tcW w:w="5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Deficit)</w:t>
              <w:b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BALANCE—January 1, 2025</w:t>
            </w:r>
          </w:p>
        </w:tc>
        <w:tc>
          <w:tcPr>
            <w:tcW w:w="7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44,936 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(125,847)</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824,550 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BALANCE—June 30, 2025</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45,787 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1,022,958 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(45,931)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977,031 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713"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BALANCE—January 1, 2026</w:t>
            </w:r>
          </w:p>
        </w:tc>
        <w:tc>
          <w:tcPr>
            <w:tcW w:w="75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46,628 </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1,058,783 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288,218 </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1,347,006 </w:t>
            </w:r>
          </w:p>
        </w:tc>
        <w:tc>
          <w:tcPr>
            <w:tcW w:w="15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performance stock units</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paid related to net-share settlements of share-based compensation awards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Repurchases of common stock </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(70,278)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(70,278)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of treasury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BALANCE—June 30,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46,736 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364,836 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UNAUDITED CONDENSED CONSOLIDATED STATEMENTS OF CASH FLOWS</w:t>
      </w:r>
      <w:r>
        <w:rPr>
          <w:rFonts w:ascii="Arial;sans-serif" w:hAnsi="Arial;sans-serif"/>
          <w:b w:val="false"/>
          <w:color w:val="000000"/>
          <w:sz w:val="20"/>
        </w:rPr>
        <w:br/>
      </w:r>
      <w:r>
        <w:rPr>
          <w:rFonts w:ascii="Arial;sans-serif" w:hAnsi="Arial;sans-serif"/>
          <w:b w:val="false"/>
          <w:i/>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574"/>
        <w:gridCol w:w="2252"/>
        <w:gridCol w:w="2270"/>
        <w:gridCol w:w="211"/>
        <w:gridCol w:w="1021"/>
        <w:gridCol w:w="109"/>
        <w:gridCol w:w="109"/>
        <w:gridCol w:w="109"/>
        <w:gridCol w:w="109"/>
        <w:gridCol w:w="211"/>
        <w:gridCol w:w="856"/>
        <w:gridCol w:w="109"/>
        <w:gridCol w:w="109"/>
        <w:gridCol w:w="156"/>
      </w:tblGrid>
      <w:tr>
        <w:trPr/>
        <w:tc>
          <w:tcPr>
            <w:tcW w:w="257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on marketable securities, net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capitalized software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 of revenues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assets and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239,031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196,306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3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Maturities and paydowns of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expense and purchases of intangible assets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investing activities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(8,469)</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(12,821)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3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paid related to net-share settlement of share-based compensation awards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(18,799)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provided by financing activities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(86,064)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232" w:type="dxa"/>
            <w:gridSpan w:val="2"/>
            <w:tcBorders>
              <w:top w:val="single" w:sz="16"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144,498 </w:t>
            </w:r>
          </w:p>
        </w:tc>
        <w:tc>
          <w:tcPr>
            <w:tcW w:w="109" w:type="dxa"/>
            <w:tcBorders>
              <w:top w:val="single" w:sz="16"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190,440 </w:t>
            </w:r>
          </w:p>
        </w:tc>
        <w:tc>
          <w:tcPr>
            <w:tcW w:w="109" w:type="dxa"/>
            <w:tcBorders>
              <w:top w:val="single" w:sz="16"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Beginning of period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End of period</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1,183,622 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978,966 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SUPPLEMENTAL DISCLOSURE OF CASH FLOW INFORMATION</w:t>
      </w:r>
      <w:r>
        <w:rPr>
          <w:rFonts w:ascii="Arial;sans-serif" w:hAnsi="Arial;sans-serif"/>
          <w:b w:val="false"/>
          <w:color w:val="000000"/>
          <w:sz w:val="20"/>
        </w:rPr>
        <w:br/>
      </w:r>
      <w:r>
        <w:rPr>
          <w:rFonts w:ascii="Arial;sans-serif" w:hAnsi="Arial;sans-serif"/>
          <w:b w:val="false"/>
          <w:i/>
          <w:color w:val="000000"/>
          <w:sz w:val="20"/>
        </w:rPr>
        <w:t>(Amounts in thousands)</w:t>
      </w:r>
    </w:p>
    <w:tbl>
      <w:tblPr>
        <w:tblW w:w="9227" w:type="dxa"/>
        <w:jc w:val="center"/>
        <w:tblInd w:w="0" w:type="dxa"/>
        <w:tblLayout w:type="fixed"/>
        <w:tblCellMar>
          <w:top w:w="28" w:type="dxa"/>
          <w:left w:w="28" w:type="dxa"/>
          <w:bottom w:w="28" w:type="dxa"/>
          <w:right w:w="28" w:type="dxa"/>
        </w:tblCellMar>
      </w:tblPr>
      <w:tblGrid>
        <w:gridCol w:w="2390"/>
        <w:gridCol w:w="2100"/>
        <w:gridCol w:w="2110"/>
        <w:gridCol w:w="211"/>
        <w:gridCol w:w="646"/>
        <w:gridCol w:w="109"/>
        <w:gridCol w:w="109"/>
        <w:gridCol w:w="109"/>
        <w:gridCol w:w="109"/>
        <w:gridCol w:w="211"/>
        <w:gridCol w:w="751"/>
        <w:gridCol w:w="109"/>
        <w:gridCol w:w="109"/>
        <w:gridCol w:w="154"/>
      </w:tblGrid>
      <w:tr>
        <w:trPr/>
        <w:tc>
          <w:tcPr>
            <w:tcW w:w="239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9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activities:</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included in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Landlord incentive included in Other assets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financing activities:</w:t>
            </w:r>
          </w:p>
        </w:tc>
        <w:tc>
          <w:tcPr>
            <w:tcW w:w="9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 included in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DUOLINGO, INC. AND SUBSIDIARIES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5" w:name="i4624d080b6a943179e507e69264b95cb"/>
      <w:bookmarkEnd w:id="5"/>
      <w:r>
        <w:rPr>
          <w:rFonts w:ascii="Arial;sans-serif" w:hAnsi="Arial;sans-serif"/>
          <w:b/>
          <w:color w:val="000000"/>
          <w:sz w:val="20"/>
        </w:rPr>
        <w:t>1.     DESCRIPTION OF THE BUSINESS AND BASIS OF PRESENTATION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Duolingo, Inc. (the “Company” or “Duolingo”) was formed on August 18, 2011, and the Duolingo App was launched to the general public on June 19, 2012. The Company’s headquarters are located in Pittsburgh, Pennsylvania.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Duolingo is a mobile learning platform, as well as a digital English language proficiency assessment exam. The Company has a freemium business model: the app and the website are accessible free of charge, although Duolingo also offers premium services for a subscription fee. As of the date of this filing, Duolingo offers over 250 total language courses, including Spanish, English, French, German, Italian, Portuguese, Japanese and Chinese. We have locations in the U.S., China, Germany, and the United Kingdom. </w:t>
      </w:r>
    </w:p>
    <w:p>
      <w:pPr>
        <w:pStyle w:val="TextBody"/>
        <w:bidi w:val="0"/>
        <w:spacing w:lineRule="auto" w:line="312" w:before="0" w:after="180"/>
        <w:jc w:val="left"/>
        <w:rPr/>
      </w:pPr>
      <w:r>
        <w:rPr>
          <w:rFonts w:ascii="Arial;sans-serif" w:hAnsi="Arial;sans-serif"/>
          <w:b/>
          <w:color w:val="000000"/>
          <w:sz w:val="20"/>
        </w:rPr>
        <w:t>Principles of Consolidation</w:t>
      </w:r>
      <w:r>
        <w:rPr>
          <w:color w:val="000000"/>
        </w:rPr>
        <w:t>—</w:t>
      </w:r>
      <w:r>
        <w:rPr>
          <w:rFonts w:ascii="Arial;sans-serif" w:hAnsi="Arial;sans-serif"/>
          <w:b w:val="false"/>
          <w:color w:val="000000"/>
          <w:sz w:val="20"/>
        </w:rPr>
        <w:t xml:space="preserve">The Unaudited Condensed Consolidated Financial Statements include the accounts of the Company and subsidiaries over which the Company has control. All intercompany transactions and balances have been eliminated. </w:t>
      </w:r>
    </w:p>
    <w:p>
      <w:pPr>
        <w:pStyle w:val="TextBody"/>
        <w:bidi w:val="0"/>
        <w:spacing w:lineRule="auto" w:line="312" w:before="0" w:after="180"/>
        <w:jc w:val="left"/>
        <w:rPr/>
      </w:pPr>
      <w:r>
        <w:rPr>
          <w:rFonts w:ascii="Arial;sans-serif" w:hAnsi="Arial;sans-serif"/>
          <w:b/>
          <w:color w:val="000000"/>
          <w:sz w:val="20"/>
        </w:rPr>
        <w:t>Basis of Presentation</w:t>
      </w:r>
      <w:r>
        <w:rPr>
          <w:color w:val="000000"/>
        </w:rPr>
        <w:t>—</w:t>
      </w:r>
      <w:r>
        <w:rPr>
          <w:rFonts w:ascii="Arial;sans-serif" w:hAnsi="Arial;sans-serif"/>
          <w:b w:val="false"/>
          <w:color w:val="000000"/>
          <w:sz w:val="20"/>
        </w:rPr>
        <w:t xml:space="preserve">The accompanying Unaudited Condensed Consolidated Financial Statements have been prepared in accordance with generally accepted accounting principles in the U.S. (“GAAP”) from the Company’s accounting records and reflect the consolidated financial position and results of operations for the three and six months ended June 30, 2026 and 2025. Unless otherwise specified, all dollar amounts (other than per share amounts) are referred to in thousands.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applied the accounting policies consistently with those used in the preparation of the Annual Report on Form 10-K in preparing these Unaudited Condensed Consolidated Financial Statements in this Quarterly Report on Form 10-Q. These Unaudited Condensed Consolidated Financial Statements should be read in conjunction with the audited financial statements and the notes for the fiscal year ended December 31, 2025 included in the Annual Report on Form 10-K and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6" w:name="i8070da5990e442a1aeba94f47d5aacce"/>
      <w:bookmarkEnd w:id="6"/>
      <w:r>
        <w:rPr>
          <w:rFonts w:ascii="Arial;sans-serif" w:hAnsi="Arial;sans-serif"/>
          <w:b/>
          <w:color w:val="000000"/>
          <w:sz w:val="20"/>
        </w:rPr>
        <w:t>2.     SUMMARY OF SIGNIFICANT ACCOUNTING POLICIES</w:t>
      </w:r>
    </w:p>
    <w:p>
      <w:pPr>
        <w:pStyle w:val="TextBody"/>
        <w:bidi w:val="0"/>
        <w:spacing w:lineRule="auto" w:line="312" w:before="0" w:after="180"/>
        <w:jc w:val="left"/>
        <w:rPr/>
      </w:pPr>
      <w:r>
        <w:rPr>
          <w:rFonts w:ascii="Arial;sans-serif" w:hAnsi="Arial;sans-serif"/>
          <w:b/>
          <w:color w:val="000000"/>
          <w:sz w:val="20"/>
        </w:rPr>
        <w:t>Accounting Principles</w:t>
      </w:r>
      <w:r>
        <w:rPr>
          <w:color w:val="000000"/>
        </w:rPr>
        <w:t>—</w:t>
      </w:r>
      <w:r>
        <w:rPr>
          <w:rFonts w:ascii="Arial;sans-serif" w:hAnsi="Arial;sans-serif"/>
          <w:b w:val="false"/>
          <w:color w:val="000000"/>
          <w:sz w:val="20"/>
        </w:rPr>
        <w:t>The Unaudited Condensed Consolidated Financial Statements and accompanying notes are prepared in accordance with GAAP.</w:t>
      </w:r>
    </w:p>
    <w:p>
      <w:pPr>
        <w:pStyle w:val="TextBody"/>
        <w:bidi w:val="0"/>
        <w:spacing w:lineRule="auto" w:line="312" w:before="0" w:after="180"/>
        <w:jc w:val="left"/>
        <w:rPr/>
      </w:pPr>
      <w:r>
        <w:rPr>
          <w:rFonts w:ascii="Arial;sans-serif" w:hAnsi="Arial;sans-serif"/>
          <w:b/>
          <w:color w:val="000000"/>
          <w:sz w:val="20"/>
        </w:rPr>
        <w:t>Use of Estimates</w:t>
      </w:r>
      <w:r>
        <w:rPr>
          <w:color w:val="000000"/>
        </w:rPr>
        <w:t>—</w:t>
      </w:r>
      <w:r>
        <w:rPr>
          <w:rFonts w:ascii="Arial;sans-serif" w:hAnsi="Arial;sans-serif"/>
          <w:b w:val="false"/>
          <w:color w:val="000000"/>
          <w:sz w:val="20"/>
        </w:rPr>
        <w:t xml:space="preserve">The preparation of Unaudited Condensed Consolidated Financial Statements in conformity with GAAP requires management to make estimates and assumptions that affect the amounts reported in the Unaudited Condensed Consolidated Financial Statements and accompanying notes. Significant estimates and assumptions reflected in the Unaudited Condensed Consolidated Financial Statements include, but are not limited to, useful lives of property and equipment, valuation of deferred tax assets and liabilities, stock-based compensation, operating lease right-of-use assets and liabilities, capitalization of internally developed software and associated useful lives, contingent liabilities, and valuation of goodwill and intangible assets from acquisitions. Actual results may differ materially from such estimates. Management believes that the estimates, and judgments upon which they rely,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reasonable based upon information available to them at the time that these estimates and judgments are made. To the extent that there are material differences between these estimates and actual results, the Company’s Unaudited Condensed Consolidated Financial Statements will be affected.</w:t>
      </w:r>
    </w:p>
    <w:p>
      <w:pPr>
        <w:pStyle w:val="TextBody"/>
        <w:bidi w:val="0"/>
        <w:spacing w:lineRule="auto" w:line="312" w:before="0" w:after="180"/>
        <w:jc w:val="left"/>
        <w:rPr/>
      </w:pPr>
      <w:r>
        <w:rPr>
          <w:rFonts w:ascii="Arial;sans-serif" w:hAnsi="Arial;sans-serif"/>
          <w:b/>
          <w:color w:val="000000"/>
          <w:sz w:val="20"/>
        </w:rPr>
        <w:t>Advertising Costs</w:t>
      </w:r>
      <w:r>
        <w:rPr>
          <w:color w:val="000000"/>
        </w:rPr>
        <w:t>—</w:t>
      </w:r>
      <w:r>
        <w:rPr>
          <w:rFonts w:ascii="Arial;sans-serif" w:hAnsi="Arial;sans-serif"/>
          <w:b w:val="false"/>
          <w:color w:val="000000"/>
          <w:sz w:val="20"/>
        </w:rPr>
        <w:t>Advertising costs were approximately $28,199 and $56,341 for the three and six months ended June 30, 2026, and $19,649 and $37,184 for the three and six months ended June 30, 2025, respectively, and are included within Sales and marketing in the Unaudited Condensed Consolidated Statements of Operations and Comprehensive Income.</w:t>
      </w:r>
    </w:p>
    <w:p>
      <w:pPr>
        <w:pStyle w:val="TextBody"/>
        <w:bidi w:val="0"/>
        <w:spacing w:lineRule="auto" w:line="312" w:before="0" w:after="180"/>
        <w:jc w:val="left"/>
        <w:rPr/>
      </w:pPr>
      <w:r>
        <w:rPr>
          <w:rFonts w:ascii="Arial;sans-serif" w:hAnsi="Arial;sans-serif"/>
          <w:b/>
          <w:color w:val="000000"/>
          <w:sz w:val="20"/>
        </w:rPr>
        <w:t>Income Taxes</w:t>
      </w:r>
      <w:r>
        <w:rPr>
          <w:color w:val="000000"/>
        </w:rPr>
        <w:t>—</w:t>
      </w:r>
      <w:r>
        <w:rPr>
          <w:rFonts w:ascii="Arial;sans-serif" w:hAnsi="Arial;sans-serif"/>
          <w:b w:val="false"/>
          <w:color w:val="000000"/>
          <w:sz w:val="20"/>
        </w:rPr>
        <w:t>The Company’s provision for income taxes is computed by using an estimate of the annual effective tax rate, adjusted for discrete items taken into account in the relevant period, if any. Each quarter, the annual effective income tax rate is recomputed and if there are material changes in the estimate, a cumulative adjustment is made.</w:t>
      </w:r>
    </w:p>
    <w:p>
      <w:pPr>
        <w:pStyle w:val="TextBody"/>
        <w:bidi w:val="0"/>
        <w:spacing w:lineRule="auto" w:line="312" w:before="0" w:after="180"/>
        <w:jc w:val="left"/>
        <w:rPr/>
      </w:pPr>
      <w:r>
        <w:rPr>
          <w:rFonts w:ascii="Arial;sans-serif" w:hAnsi="Arial;sans-serif"/>
          <w:b/>
          <w:color w:val="000000"/>
          <w:sz w:val="20"/>
        </w:rPr>
        <w:t>Concentration of Credit Risk</w:t>
      </w:r>
      <w:r>
        <w:rPr>
          <w:color w:val="000000"/>
        </w:rPr>
        <w:t>—</w:t>
      </w:r>
      <w:r>
        <w:rPr>
          <w:rFonts w:ascii="Arial;sans-serif" w:hAnsi="Arial;sans-serif"/>
          <w:b w:val="false"/>
          <w:color w:val="000000"/>
          <w:sz w:val="20"/>
        </w:rPr>
        <w:t>The Company’s concentration of credit risk relates to financial institutions holding the Company’s cash and cash equivalents and platforms with significant accounts receivable balances and revenue transactions.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 maintains deposits and certificates of deposit with banks which exceed the Federal Deposit Insurance Corporation (“FDIC”) insured limit and money market accounts which are not FDIC insured. Management believes that the financial institutions that hold the Company’s deposits are financially credit worthy and, accordingly, minimal credit risk exists with respect to those balances.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majority of revenue comes through the subscriptions and advertising streams, and payments are made to Duolingo through service providers. Three service providers, Apple, Google, and Stripe, accounted for 65.5%, 15.7%, and 11.7%, respectively, of total Accounts receivable as of June 30, 2026 and 62.5%, 22.7% and 11.4%, respectively, of total Accounts receivable as of December 31, 2025. </w:t>
      </w:r>
    </w:p>
    <w:p>
      <w:pPr>
        <w:pStyle w:val="TextBody"/>
        <w:bidi w:val="0"/>
        <w:spacing w:lineRule="auto" w:line="312" w:before="0" w:after="180"/>
        <w:jc w:val="left"/>
        <w:rPr/>
      </w:pPr>
      <w:r>
        <w:rPr>
          <w:rFonts w:ascii="Arial;sans-serif" w:hAnsi="Arial;sans-serif"/>
          <w:b/>
          <w:color w:val="000000"/>
          <w:sz w:val="20"/>
        </w:rPr>
        <w:t>Segment</w:t>
      </w:r>
      <w:r>
        <w:rPr>
          <w:color w:val="000000"/>
        </w:rPr>
        <w:t>—</w:t>
      </w:r>
      <w:r>
        <w:rPr>
          <w:rFonts w:ascii="Arial;sans-serif" w:hAnsi="Arial;sans-serif"/>
          <w:b w:val="false"/>
          <w:color w:val="000000"/>
          <w:sz w:val="20"/>
        </w:rPr>
        <w:t>The Company operates as a single operating segment and derives revenues from customers through time-based subscriptions, in-app advertising placement by third parties, the Duolingo English Test, and in-app purchases of virtual goods (“IAPs”). The Chief Executive Officer, as the chief operating decision maker, evaluates the Company’s performance and allocates resources based on consolidated net income, as presented in the income statement, supplemented by disaggregated revenue details. Significant segment expenses are those that are presented on the Unaudited Condensed Consolidated Statements of Operations and Comprehensive Income. The measure of segment assets is reported on the balance sheet as total consolidated assets. Accordingly, the Company has determined that it has a single reportable segment and operating segment structure, and operates as one reporting unit.</w:t>
      </w:r>
    </w:p>
    <w:p>
      <w:pPr>
        <w:pStyle w:val="TextBody"/>
        <w:bidi w:val="0"/>
        <w:spacing w:lineRule="auto" w:line="312" w:before="0" w:after="180"/>
        <w:jc w:val="left"/>
        <w:rPr/>
      </w:pPr>
      <w:r>
        <w:rPr>
          <w:rFonts w:ascii="Arial;sans-serif" w:hAnsi="Arial;sans-serif"/>
          <w:b/>
          <w:color w:val="000000"/>
          <w:sz w:val="20"/>
        </w:rPr>
        <w:t>Impairment of long-lived assets</w:t>
      </w:r>
      <w:r>
        <w:rPr>
          <w:color w:val="000000"/>
        </w:rPr>
        <w:t>—</w:t>
      </w:r>
      <w:r>
        <w:rPr>
          <w:rFonts w:ascii="Arial;sans-serif" w:hAnsi="Arial;sans-serif"/>
          <w:b w:val="false"/>
          <w:color w:val="000000"/>
          <w:sz w:val="20"/>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The Company recorded an impairment of capitalized software of $578 for the three and six months ended June 30, 2026, and no impairment was recognized during the three and six months ended June 30, 2025.</w:t>
      </w:r>
    </w:p>
    <w:p>
      <w:pPr>
        <w:pStyle w:val="TextBody"/>
        <w:bidi w:val="0"/>
        <w:spacing w:lineRule="auto" w:line="312" w:before="0" w:after="180"/>
        <w:jc w:val="left"/>
        <w:rPr/>
      </w:pPr>
      <w:r>
        <w:rPr>
          <w:rFonts w:ascii="Arial;sans-serif" w:hAnsi="Arial;sans-serif"/>
          <w:b/>
          <w:color w:val="000000"/>
          <w:sz w:val="20"/>
        </w:rPr>
        <w:t>Allowance for Credit Losses</w:t>
      </w:r>
      <w:r>
        <w:rPr>
          <w:color w:val="000000"/>
        </w:rPr>
        <w:t>—</w:t>
      </w:r>
      <w:r>
        <w:rPr>
          <w:rFonts w:ascii="Arial;sans-serif" w:hAnsi="Arial;sans-serif"/>
          <w:b w:val="false"/>
          <w:color w:val="000000"/>
          <w:sz w:val="20"/>
        </w:rPr>
        <w:t>The Company evaluates its cash equivalents, accounts receivable and held-to-maturity marketable securities financial assets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With respect to cash equivalents and accounts receivable, given consideration of their short maturity, lack of historical losses and the current environment, the Company concluded there is generally no expected credit losses for these financial assets. With respect to held-to-maturity marketable securities which are comprised of debt securities, the Company evaluates expected credit losses on a pooled basis based on issuer-type which have similar credit risk characteristics. There is no allowance for credit losses for all periods presented.</w:t>
      </w:r>
    </w:p>
    <w:p>
      <w:pPr>
        <w:pStyle w:val="TextBody"/>
        <w:bidi w:val="0"/>
        <w:spacing w:lineRule="auto" w:line="312" w:before="0" w:after="180"/>
        <w:jc w:val="left"/>
        <w:rPr/>
      </w:pPr>
      <w:r>
        <w:rPr>
          <w:rFonts w:ascii="Arial;sans-serif" w:hAnsi="Arial;sans-serif"/>
          <w:b/>
          <w:color w:val="000000"/>
          <w:sz w:val="20"/>
        </w:rPr>
        <w:t>Related Parties</w:t>
      </w:r>
      <w:r>
        <w:rPr>
          <w:color w:val="000000"/>
        </w:rPr>
        <w:t>—</w:t>
      </w:r>
      <w:r>
        <w:rPr>
          <w:rFonts w:ascii="Arial;sans-serif" w:hAnsi="Arial;sans-serif"/>
          <w:b w:val="false"/>
          <w:color w:val="000000"/>
          <w:sz w:val="20"/>
        </w:rPr>
        <w:t>The Company incurred expenses with a vendor which certain members of the Company’s Board of Directors and executive officers serve as members of the vendor’s board of directors of approximately $207 and $426 during the three and six months ended June 30, 2026, respectively, and $165 and $329 during the three and six months ended June 30, 2025, respectively. As of June 30, 2026 and December 31, 2025, no amounts remained payable to the vendor. These transactions were conducted in the ordinary course of business on terms the Company believes to be comparable to those available from unaffiliated third parties and were reviewed and approved in accordance with the Company’s related person transaction policy.</w:t>
      </w:r>
    </w:p>
    <w:p>
      <w:pPr>
        <w:pStyle w:val="TextBody"/>
        <w:bidi w:val="0"/>
        <w:spacing w:lineRule="auto" w:line="312" w:before="0" w:after="18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Recently Issued Pronouncements Not Yet Adopted</w:t>
      </w:r>
    </w:p>
    <w:p>
      <w:pPr>
        <w:pStyle w:val="TextBody"/>
        <w:bidi w:val="0"/>
        <w:spacing w:lineRule="auto" w:line="312" w:before="0" w:after="18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 xml:space="preserve">Income Statement-Reporting Comprehensive Income-Expense Disaggregation Disclosures </w:t>
      </w:r>
      <w:r>
        <w:rPr>
          <w:rFonts w:ascii="Arial;sans-serif" w:hAnsi="Arial;sans-serif"/>
          <w:b w:val="false"/>
          <w:color w:val="000000"/>
          <w:sz w:val="20"/>
        </w:rPr>
        <w:t>(Subtopic 220-40): Disaggregation of Income Statement Expenses. The amendment requires new financial statement disclosures to provide disaggregated information for certain types of expenses, including employee compensation, depreciation, and amortization in commonly presented expense captions such as cost of revenue, sales and marketing, and general and administrative expenses. The amendments in this ASU are effective for annual reporting periods beginning after December 15, 2026, and interim periods within fiscal years beginning after December 15, 2027. The Company is currently evaluating the disclosure requirements related to the new standard.</w:t>
      </w:r>
    </w:p>
    <w:p>
      <w:pPr>
        <w:pStyle w:val="TextBody"/>
        <w:bidi w:val="0"/>
        <w:spacing w:lineRule="auto" w:line="312" w:before="0" w:after="180"/>
        <w:jc w:val="left"/>
        <w:rPr/>
      </w:pPr>
      <w:r>
        <w:rPr>
          <w:rFonts w:ascii="Arial;sans-serif" w:hAnsi="Arial;sans-serif"/>
          <w:b w:val="false"/>
          <w:color w:val="000000"/>
          <w:sz w:val="20"/>
        </w:rPr>
        <w:t>In September 2025, the FASB issued ASU 2025-06,</w:t>
      </w:r>
      <w:r>
        <w:rPr>
          <w:color w:val="000000"/>
        </w:rPr>
        <w:t xml:space="preserve"> </w:t>
      </w:r>
      <w:r>
        <w:rPr>
          <w:rFonts w:ascii="Arial;sans-serif" w:hAnsi="Arial;sans-serif"/>
          <w:b w:val="false"/>
          <w:i/>
          <w:color w:val="000000"/>
          <w:sz w:val="20"/>
        </w:rPr>
        <w:t>Intangibles—Goodwill and Other—Internal-Use Software</w:t>
      </w:r>
      <w:r>
        <w:rPr>
          <w:color w:val="000000"/>
        </w:rPr>
        <w:t xml:space="preserve"> </w:t>
      </w:r>
      <w:r>
        <w:rPr>
          <w:rFonts w:ascii="Arial;sans-serif" w:hAnsi="Arial;sans-serif"/>
          <w:b w:val="false"/>
          <w:color w:val="000000"/>
          <w:sz w:val="20"/>
        </w:rPr>
        <w:t>(Subtopic 350-40): Targeted Improvements to the Accounting for Internal-Use Software. The amendments in this update remove all references to prescriptive and sequential software development stages (referred to as “project stages”) throughout Subtopic 350-40. The amendments in this update are effective for all entities for annual reporting periods beginning after December 15, 2027, and interim reporting periods within those annual reporting periods. The Company is in the process of evaluating the effect that the adoption of this standard may have on its consolidated financial statements.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are no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7" w:name="i61f2337386424a0caaf5dafe0ad55f64"/>
      <w:bookmarkEnd w:id="7"/>
      <w:r>
        <w:rPr>
          <w:rFonts w:ascii="Arial;sans-serif" w:hAnsi="Arial;sans-serif"/>
          <w:b/>
          <w:color w:val="000000"/>
          <w:sz w:val="20"/>
        </w:rPr>
        <w:t>3.    FAIR VALUE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312" w:before="0" w:after="180"/>
        <w:jc w:val="left"/>
        <w:rPr/>
      </w:pPr>
      <w:r>
        <w:rPr>
          <w:rFonts w:ascii="Arial;sans-serif" w:hAnsi="Arial;sans-serif"/>
          <w:b/>
          <w:i/>
          <w:color w:val="000000"/>
          <w:sz w:val="20"/>
        </w:rPr>
        <w:t>Level 1</w:t>
      </w:r>
      <w:r>
        <w:rPr>
          <w:color w:val="000000"/>
        </w:rPr>
        <w:t>—</w:t>
      </w:r>
      <w:r>
        <w:rPr>
          <w:rFonts w:ascii="Arial;sans-serif" w:hAnsi="Arial;sans-serif"/>
          <w:b w:val="false"/>
          <w:color w:val="000000"/>
          <w:sz w:val="20"/>
        </w:rPr>
        <w:t>Observable inputs such as quoted prices in active markets for identical investments that the Company has the ability to access.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pPr>
      <w:r>
        <w:rPr>
          <w:rFonts w:ascii="Arial;sans-serif" w:hAnsi="Arial;sans-serif"/>
          <w:b/>
          <w:i/>
          <w:color w:val="000000"/>
          <w:sz w:val="20"/>
        </w:rPr>
        <w:t>Level 2</w:t>
      </w:r>
      <w:r>
        <w:rPr>
          <w:color w:val="000000"/>
        </w:rPr>
        <w:t>—</w:t>
      </w:r>
      <w:r>
        <w:rPr>
          <w:rFonts w:ascii="Arial;sans-serif" w:hAnsi="Arial;sans-serif"/>
          <w:b w:val="false"/>
          <w:color w:val="000000"/>
          <w:sz w:val="20"/>
        </w:rPr>
        <w:t>Inputs include: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Quoted prices for identical or similar assets or liabilities in active markets;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Quoted prices for identical or similar assets or liabilities in inactive markets;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Inputs, other than quoted prices in active markets, which are observable either directly or indirectly;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Inputs that are derived principally from, or corroborated by, observable market data by correlation or other means.</w:t>
      </w:r>
    </w:p>
    <w:p>
      <w:pPr>
        <w:pStyle w:val="TextBody"/>
        <w:bidi w:val="0"/>
        <w:spacing w:lineRule="auto" w:line="312" w:before="0" w:after="180"/>
        <w:jc w:val="left"/>
        <w:rPr/>
      </w:pPr>
      <w:r>
        <w:rPr>
          <w:rFonts w:ascii="Arial;sans-serif" w:hAnsi="Arial;sans-serif"/>
          <w:b/>
          <w:i/>
          <w:color w:val="000000"/>
          <w:sz w:val="20"/>
        </w:rPr>
        <w:t>Level 3</w:t>
      </w:r>
      <w:r>
        <w:rPr>
          <w:color w:val="000000"/>
        </w:rPr>
        <w:t>—</w:t>
      </w:r>
      <w:r>
        <w:rPr>
          <w:rFonts w:ascii="Arial;sans-serif" w:hAnsi="Arial;sans-serif"/>
          <w:b w:val="false"/>
          <w:color w:val="000000"/>
          <w:sz w:val="20"/>
        </w:rPr>
        <w:t>Unobservable inputs in which there is little or no market activity for the asset or liability, which require the reporting entity to develop its own estimates and assumptions relating to the pricing of the asset or liability including assumptions regarding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presents amortized cost, gross unrealized gains and losses, and fair value by major security type and balance sheet classification as of June 30, 2026 and December 31, 2025:</w:t>
      </w:r>
    </w:p>
    <w:tbl>
      <w:tblPr>
        <w:tblW w:w="11595" w:type="dxa"/>
        <w:jc w:val="left"/>
        <w:tblInd w:w="0" w:type="dxa"/>
        <w:tblLayout w:type="fixed"/>
        <w:tblCellMar>
          <w:top w:w="28" w:type="dxa"/>
          <w:left w:w="28" w:type="dxa"/>
          <w:bottom w:w="28" w:type="dxa"/>
          <w:right w:w="28" w:type="dxa"/>
        </w:tblCellMar>
      </w:tblPr>
      <w:tblGrid>
        <w:gridCol w:w="631"/>
        <w:gridCol w:w="378"/>
        <w:gridCol w:w="312"/>
        <w:gridCol w:w="211"/>
        <w:gridCol w:w="1021"/>
        <w:gridCol w:w="109"/>
        <w:gridCol w:w="109"/>
        <w:gridCol w:w="109"/>
        <w:gridCol w:w="109"/>
        <w:gridCol w:w="274"/>
        <w:gridCol w:w="529"/>
        <w:gridCol w:w="143"/>
        <w:gridCol w:w="109"/>
        <w:gridCol w:w="109"/>
        <w:gridCol w:w="109"/>
        <w:gridCol w:w="249"/>
        <w:gridCol w:w="568"/>
        <w:gridCol w:w="129"/>
        <w:gridCol w:w="109"/>
        <w:gridCol w:w="109"/>
        <w:gridCol w:w="109"/>
        <w:gridCol w:w="211"/>
        <w:gridCol w:w="1021"/>
        <w:gridCol w:w="109"/>
        <w:gridCol w:w="109"/>
        <w:gridCol w:w="109"/>
        <w:gridCol w:w="109"/>
        <w:gridCol w:w="211"/>
        <w:gridCol w:w="1021"/>
        <w:gridCol w:w="109"/>
        <w:gridCol w:w="109"/>
        <w:gridCol w:w="109"/>
        <w:gridCol w:w="109"/>
        <w:gridCol w:w="211"/>
        <w:gridCol w:w="856"/>
        <w:gridCol w:w="109"/>
        <w:gridCol w:w="109"/>
        <w:gridCol w:w="109"/>
        <w:gridCol w:w="109"/>
        <w:gridCol w:w="211"/>
        <w:gridCol w:w="856"/>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95"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June 30, 2026</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184,869 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184,869 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1</w:t>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996,018 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996,018 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996,018 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1,004,435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1,004,417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996,018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2</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22,136 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43,593 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43,395 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23,644 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225,855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225,239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124,562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101,293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3</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SAFE</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1,230,290</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43"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(655)</w:t>
            </w:r>
          </w:p>
        </w:tc>
        <w:tc>
          <w:tcPr>
            <w:tcW w:w="12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1,415,925</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left w:val="single" w:sz="8" w:space="0" w:color="000000"/>
              <w:bottom w:val="double" w:sz="8"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1,180,887</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132,979</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102,693</w:t>
            </w:r>
            <w:r>
              <w:rPr>
                <w:color w:val="000000"/>
              </w:rPr>
              <w:t> </w:t>
            </w:r>
          </w:p>
        </w:tc>
        <w:tc>
          <w:tcPr>
            <w:tcW w:w="154"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180"/>
        <w:jc w:val="left"/>
        <w:rPr/>
      </w:pPr>
      <w:r>
        <w:rPr/>
      </w:r>
    </w:p>
    <w:tbl>
      <w:tblPr>
        <w:tblW w:w="11595" w:type="dxa"/>
        <w:jc w:val="left"/>
        <w:tblInd w:w="0" w:type="dxa"/>
        <w:tblLayout w:type="fixed"/>
        <w:tblCellMar>
          <w:top w:w="28" w:type="dxa"/>
          <w:left w:w="28" w:type="dxa"/>
          <w:bottom w:w="28" w:type="dxa"/>
          <w:right w:w="28" w:type="dxa"/>
        </w:tblCellMar>
      </w:tblPr>
      <w:tblGrid>
        <w:gridCol w:w="631"/>
        <w:gridCol w:w="378"/>
        <w:gridCol w:w="312"/>
        <w:gridCol w:w="211"/>
        <w:gridCol w:w="1021"/>
        <w:gridCol w:w="109"/>
        <w:gridCol w:w="109"/>
        <w:gridCol w:w="109"/>
        <w:gridCol w:w="109"/>
        <w:gridCol w:w="249"/>
        <w:gridCol w:w="568"/>
        <w:gridCol w:w="129"/>
        <w:gridCol w:w="109"/>
        <w:gridCol w:w="109"/>
        <w:gridCol w:w="109"/>
        <w:gridCol w:w="274"/>
        <w:gridCol w:w="529"/>
        <w:gridCol w:w="143"/>
        <w:gridCol w:w="109"/>
        <w:gridCol w:w="109"/>
        <w:gridCol w:w="109"/>
        <w:gridCol w:w="211"/>
        <w:gridCol w:w="1021"/>
        <w:gridCol w:w="109"/>
        <w:gridCol w:w="109"/>
        <w:gridCol w:w="109"/>
        <w:gridCol w:w="109"/>
        <w:gridCol w:w="211"/>
        <w:gridCol w:w="1021"/>
        <w:gridCol w:w="109"/>
        <w:gridCol w:w="109"/>
        <w:gridCol w:w="109"/>
        <w:gridCol w:w="109"/>
        <w:gridCol w:w="211"/>
        <w:gridCol w:w="856"/>
        <w:gridCol w:w="109"/>
        <w:gridCol w:w="109"/>
        <w:gridCol w:w="109"/>
        <w:gridCol w:w="109"/>
        <w:gridCol w:w="211"/>
        <w:gridCol w:w="856"/>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95"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2025</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155,840 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155,840 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1</w:t>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878,556 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878,556 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878,556 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882,874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882,874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880,549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2</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26,794 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26,447 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18,831 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235,452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235,868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133,698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3</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SAFE</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1,118,326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w:t>
            </w:r>
            <w:r>
              <w:rPr>
                <w:color w:val="000000"/>
              </w:rPr>
              <w:t>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1,275,982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1,036,389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104,078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135,098</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2026 and December 31, 2025, all of the Company’s short-term investments have contractual maturities of one year or less and all of the Company’s long-term investments have contractual maturities between one and five years. The Company has elected to present accrued interest within Prepaid expenses and other current assets in the Unaudited Condensed Consolidated Balance Sheets. Accrued interest was $2,091 and $2,099 as of June 30, 2026 and December 31, 2025, respectively.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Changes in market interest rates, credit risk of borrowers and overall market liquidity, among other factors, may cause the short-term and long-term debt investments to fall below their amortized cost basis, resulting in unrealized losses. For those debt securities in an unrealized loss position as of June 30, 2026, the Company does not intend to sell, nor is it more likely than not that it will be required to sell, such securities before recovering the amortized cost basis. No allowance for credit losses was recognized in the financial statements for held-to-maturity debt securities for the periods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8" w:name="i10ac46946cea48f2a4a2103c2e3e4f07"/>
      <w:bookmarkEnd w:id="8"/>
      <w:r>
        <w:rPr>
          <w:rFonts w:ascii="Arial;sans-serif" w:hAnsi="Arial;sans-serif"/>
          <w:b/>
          <w:color w:val="000000"/>
          <w:sz w:val="20"/>
        </w:rPr>
        <w:t>4.      REVENUE</w:t>
      </w:r>
    </w:p>
    <w:p>
      <w:pPr>
        <w:pStyle w:val="TextBody"/>
        <w:bidi w:val="0"/>
        <w:spacing w:lineRule="auto" w:line="312" w:before="0" w:after="18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312" w:before="0" w:after="180"/>
        <w:jc w:val="left"/>
        <w:rPr/>
      </w:pPr>
      <w:r>
        <w:rPr>
          <w:rFonts w:ascii="Arial;sans-serif" w:hAnsi="Arial;sans-serif"/>
          <w:b w:val="false"/>
          <w:color w:val="000000"/>
          <w:sz w:val="20"/>
        </w:rPr>
        <w:t xml:space="preserve">In accordance with Accounting Standards Codification ("ASC") 606, </w:t>
      </w:r>
      <w:r>
        <w:rPr>
          <w:rFonts w:ascii="Arial;sans-serif" w:hAnsi="Arial;sans-serif"/>
          <w:b w:val="false"/>
          <w:i/>
          <w:color w:val="000000"/>
          <w:sz w:val="20"/>
        </w:rPr>
        <w:t>Revenue from Contracts with Customers</w:t>
      </w:r>
      <w:r>
        <w:rPr>
          <w:rFonts w:ascii="Arial;sans-serif" w:hAnsi="Arial;sans-serif"/>
          <w:b w:val="false"/>
          <w:color w:val="000000"/>
          <w:sz w:val="20"/>
        </w:rPr>
        <w:t>, the Company disaggregates revenue from contracts with customers into revenue streams, which most closely depicts how the nature, amount, timing and uncertainty of revenue and cash flows are affected by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180"/>
        <w:jc w:val="left"/>
        <w:rPr/>
      </w:pPr>
      <w:r>
        <w:rPr/>
      </w:r>
    </w:p>
    <w:tbl>
      <w:tblPr>
        <w:tblW w:w="8081" w:type="dxa"/>
        <w:jc w:val="left"/>
        <w:tblInd w:w="0" w:type="dxa"/>
        <w:tblLayout w:type="fixed"/>
        <w:tblCellMar>
          <w:top w:w="28" w:type="dxa"/>
          <w:left w:w="28" w:type="dxa"/>
          <w:bottom w:w="28" w:type="dxa"/>
          <w:right w:w="28" w:type="dxa"/>
        </w:tblCellMar>
      </w:tblPr>
      <w:tblGrid>
        <w:gridCol w:w="732"/>
        <w:gridCol w:w="645"/>
        <w:gridCol w:w="64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E5E5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Subscription</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258,035 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210,678 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508,943 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401,665 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Advertising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E5E5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Duolingo English Test</w:t>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22,074 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IAPs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E5E5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Three service providers, Apple, Google, and Stripe processed 59.6%, 23.2%, and 11.9%, and 59.9%, 23.1%, and 11.7%, respectively, of total revenues for the three and six months ended June 30, 2026, respectively. Two service providers Apple and Google processed 61.6% and 23.9%, and three service providers, Apple, Google, and Stripe processed 61.3%, 23.6% and 10.4%, respectively, of total revenues for the three and six months ended June 30, 2025, respectively.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Deferred revenue consists of payments received in advance of revenue recognition, and is mostly related to 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 Changes in deferred revenues were as follows:</w:t>
      </w:r>
    </w:p>
    <w:tbl>
      <w:tblPr>
        <w:tblW w:w="8154" w:type="dxa"/>
        <w:jc w:val="left"/>
        <w:tblInd w:w="0" w:type="dxa"/>
        <w:tblLayout w:type="fixed"/>
        <w:tblCellMar>
          <w:top w:w="28" w:type="dxa"/>
          <w:left w:w="28" w:type="dxa"/>
          <w:bottom w:w="28" w:type="dxa"/>
          <w:right w:w="28" w:type="dxa"/>
        </w:tblCellMar>
      </w:tblPr>
      <w:tblGrid>
        <w:gridCol w:w="1806"/>
        <w:gridCol w:w="1592"/>
        <w:gridCol w:w="1596"/>
        <w:gridCol w:w="211"/>
        <w:gridCol w:w="856"/>
        <w:gridCol w:w="109"/>
        <w:gridCol w:w="109"/>
        <w:gridCol w:w="109"/>
        <w:gridCol w:w="109"/>
        <w:gridCol w:w="211"/>
        <w:gridCol w:w="856"/>
        <w:gridCol w:w="109"/>
        <w:gridCol w:w="109"/>
        <w:gridCol w:w="109"/>
        <w:gridCol w:w="109"/>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from beginning balance recognized into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551,689 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496,605 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recognized from current period deferrals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balance—June 30</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505,102 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431,177 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9" w:name="ia2f8021cb1c74711bf63d2649a5a75cc"/>
      <w:bookmarkEnd w:id="9"/>
      <w:r>
        <w:rPr>
          <w:rFonts w:ascii="Arial;sans-serif" w:hAnsi="Arial;sans-serif"/>
          <w:b/>
          <w:color w:val="000000"/>
          <w:sz w:val="20"/>
        </w:rPr>
        <w:t>5.    PROPERTY AND EQUIPMENT,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Property and equipment, net, consists of the following:</w:t>
      </w:r>
    </w:p>
    <w:tbl>
      <w:tblPr>
        <w:tblW w:w="6062" w:type="dxa"/>
        <w:jc w:val="left"/>
        <w:tblInd w:w="0" w:type="dxa"/>
        <w:tblLayout w:type="fixed"/>
        <w:tblCellMar>
          <w:top w:w="28" w:type="dxa"/>
          <w:left w:w="28" w:type="dxa"/>
          <w:bottom w:w="28" w:type="dxa"/>
          <w:right w:w="28" w:type="dxa"/>
        </w:tblCellMar>
      </w:tblPr>
      <w:tblGrid>
        <w:gridCol w:w="1101"/>
        <w:gridCol w:w="969"/>
        <w:gridCol w:w="975"/>
        <w:gridCol w:w="211"/>
        <w:gridCol w:w="751"/>
        <w:gridCol w:w="109"/>
        <w:gridCol w:w="109"/>
        <w:gridCol w:w="109"/>
        <w:gridCol w:w="109"/>
        <w:gridCol w:w="306"/>
        <w:gridCol w:w="1090"/>
        <w:gridCol w:w="223"/>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52,732 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44,773 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57,868 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42,619 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36,297 </w:t>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Depreciation expense is included within the following financial statement line items within the Company’s Unaudited Condensed Consolidated Statements of Operations and Comprehensive Income.</w:t>
      </w:r>
    </w:p>
    <w:tbl>
      <w:tblPr>
        <w:tblW w:w="7793" w:type="dxa"/>
        <w:jc w:val="left"/>
        <w:tblInd w:w="0" w:type="dxa"/>
        <w:tblLayout w:type="fixed"/>
        <w:tblCellMar>
          <w:top w:w="28" w:type="dxa"/>
          <w:left w:w="28" w:type="dxa"/>
          <w:bottom w:w="28" w:type="dxa"/>
          <w:right w:w="28" w:type="dxa"/>
        </w:tblCellMar>
      </w:tblPr>
      <w:tblGrid>
        <w:gridCol w:w="900"/>
        <w:gridCol w:w="794"/>
        <w:gridCol w:w="796"/>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1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0" w:name="i298e0bc9d301472787415904115cbfaf"/>
      <w:bookmarkEnd w:id="10"/>
      <w:r>
        <w:rPr>
          <w:rFonts w:ascii="Arial;sans-serif" w:hAnsi="Arial;sans-serif"/>
          <w:b/>
          <w:color w:val="000000"/>
          <w:sz w:val="20"/>
        </w:rPr>
        <w:t>6.    INTANGIBLE ASSETS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Intangible assets, net, consist of the following:</w:t>
      </w:r>
    </w:p>
    <w:tbl>
      <w:tblPr>
        <w:tblW w:w="6550" w:type="dxa"/>
        <w:jc w:val="left"/>
        <w:tblInd w:w="0" w:type="dxa"/>
        <w:tblLayout w:type="fixed"/>
        <w:tblCellMar>
          <w:top w:w="28" w:type="dxa"/>
          <w:left w:w="28" w:type="dxa"/>
          <w:bottom w:w="28" w:type="dxa"/>
          <w:right w:w="28" w:type="dxa"/>
        </w:tblCellMar>
      </w:tblPr>
      <w:tblGrid>
        <w:gridCol w:w="1242"/>
        <w:gridCol w:w="1095"/>
        <w:gridCol w:w="1097"/>
        <w:gridCol w:w="230"/>
        <w:gridCol w:w="821"/>
        <w:gridCol w:w="119"/>
        <w:gridCol w:w="109"/>
        <w:gridCol w:w="109"/>
        <w:gridCol w:w="109"/>
        <w:gridCol w:w="306"/>
        <w:gridCol w:w="1090"/>
        <w:gridCol w:w="223"/>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software</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49,858 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44,849 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indefinite-lived intangible assets</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59,420 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54,411 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10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(31,822)</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(26,102)</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27,598 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capitalized $5,587 and $4,328 of software development costs, with the majority of the costs being employee wages, during the six months ended June 30, 2026 and 2025, respectively. The Company recorded an impairment of capitalized software of $578 for the three and six months ended June 30, 2026, which represents an impairment to write off the capitalization of an internal-use software project prior to being launched to the user base. No impairment was recognized during the three and six months ended June 30, 2025. Amortization expense is included within the following financial statement line items within the Company’s Unaudited Condensed Consolidated Statements of Operations and Comprehensive Income.</w:t>
      </w:r>
    </w:p>
    <w:tbl>
      <w:tblPr>
        <w:tblW w:w="7208" w:type="dxa"/>
        <w:jc w:val="left"/>
        <w:tblInd w:w="0" w:type="dxa"/>
        <w:tblLayout w:type="fixed"/>
        <w:tblCellMar>
          <w:top w:w="28" w:type="dxa"/>
          <w:left w:w="28" w:type="dxa"/>
          <w:bottom w:w="28" w:type="dxa"/>
          <w:right w:w="28" w:type="dxa"/>
        </w:tblCellMar>
      </w:tblPr>
      <w:tblGrid>
        <w:gridCol w:w="688"/>
        <w:gridCol w:w="608"/>
        <w:gridCol w:w="609"/>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2,824 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1,957 </w:t>
            </w:r>
          </w:p>
        </w:tc>
        <w:tc>
          <w:tcPr>
            <w:tcW w:w="11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1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2,101 </w:t>
            </w:r>
          </w:p>
        </w:tc>
        <w:tc>
          <w:tcPr>
            <w:tcW w:w="1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1" w:name="i853707ae942d4799a811eaa0adde0b4e"/>
      <w:bookmarkEnd w:id="11"/>
      <w:r>
        <w:rPr>
          <w:rFonts w:ascii="Arial;sans-serif" w:hAnsi="Arial;sans-serif"/>
          <w:b/>
          <w:color w:val="000000"/>
          <w:sz w:val="20"/>
        </w:rPr>
        <w:t>7.    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Year-to-date income tax expense or benefit is the product of the most current projected annual effective tax rate (“PAETR”) and the actual year-to-date pretax income, adjusted for any discrete items. The income tax expense or benefit for a particular quarter is the difference between the year-to-date calculation of income tax expense or benefit and the year-to-date calculation for the prior year period. Items unrelated to current period ordinary income or loss are recognized entirely in the period identified as a discrete item of tax.</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PAETR exceeds the U.S. federal statutory rate of 21.0% during the three and six months ended June 30, 2026 primarily due to certain non-deductible expenses and state and local income taxes, partially offset by research and development tax credits and the foreign-derived intangible income deduction. In the prior year period, the variance was primarily driven by a discrete tax benefit from excess tax benefits on stock-based compensation, when the Company maintained a valuation allowance.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Company’s income before taxes, income tax provision or benefit and effective tax rates were as follows:</w:t>
      </w:r>
    </w:p>
    <w:tbl>
      <w:tblPr>
        <w:tblW w:w="9265" w:type="dxa"/>
        <w:jc w:val="left"/>
        <w:tblInd w:w="0" w:type="dxa"/>
        <w:tblLayout w:type="fixed"/>
        <w:tblCellMar>
          <w:top w:w="28" w:type="dxa"/>
          <w:left w:w="28" w:type="dxa"/>
          <w:bottom w:w="28" w:type="dxa"/>
          <w:right w:w="28" w:type="dxa"/>
        </w:tblCellMar>
      </w:tblPr>
      <w:tblGrid>
        <w:gridCol w:w="1059"/>
        <w:gridCol w:w="931"/>
        <w:gridCol w:w="934"/>
        <w:gridCol w:w="211"/>
        <w:gridCol w:w="751"/>
        <w:gridCol w:w="286"/>
        <w:gridCol w:w="109"/>
        <w:gridCol w:w="109"/>
        <w:gridCol w:w="109"/>
        <w:gridCol w:w="211"/>
        <w:gridCol w:w="751"/>
        <w:gridCol w:w="286"/>
        <w:gridCol w:w="109"/>
        <w:gridCol w:w="109"/>
        <w:gridCol w:w="109"/>
        <w:gridCol w:w="211"/>
        <w:gridCol w:w="856"/>
        <w:gridCol w:w="286"/>
        <w:gridCol w:w="109"/>
        <w:gridCol w:w="109"/>
        <w:gridCol w:w="109"/>
        <w:gridCol w:w="211"/>
        <w:gridCol w:w="751"/>
        <w:gridCol w:w="286"/>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i/>
                <w:color w:val="000000"/>
                <w:sz w:val="16"/>
              </w:rPr>
            </w:pPr>
            <w:r>
              <w:rPr>
                <w:rFonts w:ascii="Arial;sans-serif" w:hAnsi="Arial;sans-serif"/>
                <w:b/>
                <w:i/>
                <w:color w:val="000000"/>
                <w:sz w:val="16"/>
              </w:rPr>
              <w:t>(In thousands, except percentages)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45,366 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100,918 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2" w:name="id8ed9b58cab74883a764511d6cf4b83b"/>
      <w:bookmarkEnd w:id="12"/>
      <w:r>
        <w:rPr>
          <w:rFonts w:ascii="Arial;sans-serif" w:hAnsi="Arial;sans-serif"/>
          <w:b/>
          <w:color w:val="000000"/>
          <w:sz w:val="20"/>
        </w:rPr>
        <w:t>8.    STOCKHOLDERS’ EQUITY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summary of stock option activity as of June 30, 2026 is as follows:</w:t>
      </w:r>
    </w:p>
    <w:tbl>
      <w:tblPr>
        <w:tblW w:w="10205" w:type="dxa"/>
        <w:jc w:val="left"/>
        <w:tblInd w:w="0" w:type="dxa"/>
        <w:tblLayout w:type="fixed"/>
        <w:tblCellMar>
          <w:top w:w="28" w:type="dxa"/>
          <w:left w:w="28" w:type="dxa"/>
          <w:bottom w:w="28" w:type="dxa"/>
          <w:right w:w="28" w:type="dxa"/>
        </w:tblCellMar>
      </w:tblPr>
      <w:tblGrid>
        <w:gridCol w:w="973"/>
        <w:gridCol w:w="820"/>
        <w:gridCol w:w="822"/>
        <w:gridCol w:w="287"/>
        <w:gridCol w:w="287"/>
        <w:gridCol w:w="289"/>
        <w:gridCol w:w="109"/>
        <w:gridCol w:w="109"/>
        <w:gridCol w:w="109"/>
        <w:gridCol w:w="211"/>
        <w:gridCol w:w="646"/>
        <w:gridCol w:w="109"/>
        <w:gridCol w:w="109"/>
        <w:gridCol w:w="109"/>
        <w:gridCol w:w="109"/>
        <w:gridCol w:w="997"/>
        <w:gridCol w:w="997"/>
        <w:gridCol w:w="1000"/>
        <w:gridCol w:w="109"/>
        <w:gridCol w:w="109"/>
        <w:gridCol w:w="109"/>
        <w:gridCol w:w="307"/>
        <w:gridCol w:w="1249"/>
        <w:gridCol w:w="230"/>
      </w:tblGrid>
      <w:tr>
        <w:trPr/>
        <w:tc>
          <w:tcPr>
            <w:tcW w:w="9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prices and years)</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intrinsic value</w:t>
            </w:r>
          </w:p>
        </w:tc>
      </w:tr>
      <w:tr>
        <w:trPr/>
        <w:tc>
          <w:tcPr>
            <w:tcW w:w="261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Options outstanding at January 1, 2026</w:t>
            </w:r>
          </w:p>
        </w:tc>
        <w:tc>
          <w:tcPr>
            <w:tcW w:w="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135,938 </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 (1)</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expired (2)</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Options outstanding at June 30, 2026</w:t>
            </w:r>
          </w:p>
        </w:tc>
        <w:tc>
          <w:tcPr>
            <w:tcW w:w="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60,408 </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Options exercisable at June 30, 2026</w:t>
            </w:r>
          </w:p>
        </w:tc>
        <w:tc>
          <w:tcPr>
            <w:tcW w:w="5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60,408 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There were no stock options granted during the three and six months ended June 30, 2026.</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There was a nominal amount of forfeitures and expirations during the three and six months ended June 30, 2026.</w:t>
      </w:r>
    </w:p>
    <w:p>
      <w:pPr>
        <w:pStyle w:val="TextBody"/>
        <w:bidi w:val="0"/>
        <w:spacing w:before="0" w:after="0"/>
        <w:ind w:left="0" w:right="0" w:hanging="36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total intrinsic value of options exercised was approximately $21,623 and $160,618 for the periods ended June 30, 2026, and 2025, respectively.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summary of RSU activity as of June 30, 2026 is as follows:</w:t>
      </w:r>
    </w:p>
    <w:tbl>
      <w:tblPr>
        <w:tblW w:w="7524" w:type="dxa"/>
        <w:jc w:val="left"/>
        <w:tblInd w:w="0" w:type="dxa"/>
        <w:tblLayout w:type="fixed"/>
        <w:tblCellMar>
          <w:top w:w="28" w:type="dxa"/>
          <w:left w:w="28" w:type="dxa"/>
          <w:bottom w:w="28" w:type="dxa"/>
          <w:right w:w="28" w:type="dxa"/>
        </w:tblCellMar>
      </w:tblPr>
      <w:tblGrid>
        <w:gridCol w:w="1032"/>
        <w:gridCol w:w="907"/>
        <w:gridCol w:w="910"/>
        <w:gridCol w:w="614"/>
        <w:gridCol w:w="614"/>
        <w:gridCol w:w="616"/>
        <w:gridCol w:w="109"/>
        <w:gridCol w:w="109"/>
        <w:gridCol w:w="109"/>
        <w:gridCol w:w="473"/>
        <w:gridCol w:w="1686"/>
        <w:gridCol w:w="34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prices)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 fair value per share</w:t>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12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1,406 </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242.94 </w:t>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111.19 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w:t>
            </w:r>
          </w:p>
        </w:tc>
        <w:tc>
          <w:tcPr>
            <w:tcW w:w="12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w:t>
            </w:r>
          </w:p>
        </w:tc>
        <w:tc>
          <w:tcPr>
            <w:tcW w:w="6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182.37 </w:t>
            </w:r>
          </w:p>
        </w:tc>
        <w:tc>
          <w:tcPr>
            <w:tcW w:w="3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122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2,817 </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160.55 </w:t>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2026, there was no unrecognized stock-based compensation expense related to stock options granted under the plans. The amount of unrecognized stock-based compensation expense for RSUs as of June 30, 2026 was $412,023 with a weighted-average period of approximately three years.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were 9,307 shares available for issuance under the Company’s 2021 Incentive Award Plan and 1,604 shares available for issuance under the Company’s 2021 Employee Stock Purchase Plan, in each case, at June 30, 2026.</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Performance-based RSUs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 June 2021, the Company granted performance-based RSUs to its founders (“Founder Awards”) that vest based on continued service and the achievement of specified stock price targets. As of June 30, 2026, certain performance conditions have been achieved, while others remain subject to future stock price performance. Stock-based compensation expense is recognized over the derived service period using an accelerated attribution method, subject to continued service.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In 2026, the Company modified the service condition applicable to the final two tranches of the Founder Awards held by one of its founders. The modification was accounted for as a Type III modification under ASC 718. As a result of the revised service condition, the Company reversed $8,217 of stock-based compensation expense previously recognized under the original derived service periods. The modified awards have a total compensation cost of approximately $9,960, based on the modified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determined using a Monte Carlo simulation model, representing an increase of $1,743, over the original grant-date fair value. The total compensation cost will be recognized over the revised derived service periods, which extend through September 30, 2029.</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As a result of the modification, the Company recognized a stock-based compensation benefit of $6,982 and $5,766 related to the Founder Awards during the three and six months ended June 30, 2026, respectively. The Company recognized stock-based compensation expense of $3,963 and $8,077 for the three and six months ended June 30, 2025, respectively. As of June 30, 2026, unrecognized stock-based compensation expense related to the Founder Awards was $12,240. </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Total stock-based compensation expense was $38,210 and $72,857 for the three and six months ended June 30, 2026 and $34,592 and $65,610 for the three and six months ended June 30, 2025, respectively.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Stock-based compensation expense is included in the Unaudited Condensed Consolidated Statements of Operations and Comprehensive Income as shown in the following table: </w:t>
      </w:r>
    </w:p>
    <w:tbl>
      <w:tblPr>
        <w:tblW w:w="7691" w:type="dxa"/>
        <w:jc w:val="left"/>
        <w:tblInd w:w="0" w:type="dxa"/>
        <w:tblLayout w:type="fixed"/>
        <w:tblCellMar>
          <w:top w:w="28" w:type="dxa"/>
          <w:left w:w="28" w:type="dxa"/>
          <w:bottom w:w="28" w:type="dxa"/>
          <w:right w:w="28" w:type="dxa"/>
        </w:tblCellMar>
      </w:tblPr>
      <w:tblGrid>
        <w:gridCol w:w="900"/>
        <w:gridCol w:w="794"/>
        <w:gridCol w:w="796"/>
        <w:gridCol w:w="211"/>
        <w:gridCol w:w="751"/>
        <w:gridCol w:w="109"/>
        <w:gridCol w:w="109"/>
        <w:gridCol w:w="109"/>
        <w:gridCol w:w="109"/>
        <w:gridCol w:w="211"/>
        <w:gridCol w:w="751"/>
        <w:gridCol w:w="109"/>
        <w:gridCol w:w="211"/>
        <w:gridCol w:w="751"/>
        <w:gridCol w:w="109"/>
        <w:gridCol w:w="109"/>
        <w:gridCol w:w="109"/>
        <w:gridCol w:w="109"/>
        <w:gridCol w:w="211"/>
        <w:gridCol w:w="751"/>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38,210 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34,592 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Nominal amounts of stock-based compensation expense is capitalized into intangible assets for the three and six months ended June 30, 2026 and 2025.</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Common Stock Repurchases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 February 2026, Duolingo’s Board of Directors authorized a share repurchase program of up to $400,000. During the three and six months ended June 30, 2026, the Company repurchased a total of 432 and 695 shares, respectively, of the Company’s Class A common stock through open market purchases at an average per share price of $102.80 and $101.15, respectively, for a total repurchase price of $44,448 and $70,278, respectively. During the three and six months ended June 30, 2026, 467 and 683 of these shares were retired, respectively. The cost of the remaining 12 shares is recorded as treasury stock in the Unaudited Condensed Consolidated Balance Sheets as of June 30, 2026. As of June 30, 2026, $329,722 of the total amount authorized to be repurchased remained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3" w:name="i89380136b0f144978330ad5704b68d17"/>
      <w:bookmarkEnd w:id="13"/>
      <w:r>
        <w:rPr>
          <w:rFonts w:ascii="Arial;sans-serif" w:hAnsi="Arial;sans-serif"/>
          <w:b/>
          <w:color w:val="000000"/>
          <w:sz w:val="20"/>
        </w:rPr>
        <w:t>9.    COMMITMENTS AND CONTINGENCIES</w:t>
      </w:r>
    </w:p>
    <w:p>
      <w:pPr>
        <w:pStyle w:val="TextBody"/>
        <w:bidi w:val="0"/>
        <w:spacing w:lineRule="auto" w:line="312" w:before="0" w:after="180"/>
        <w:jc w:val="left"/>
        <w:rPr/>
      </w:pPr>
      <w:r>
        <w:rPr>
          <w:rFonts w:ascii="Arial;sans-serif" w:hAnsi="Arial;sans-serif"/>
          <w:b/>
          <w:color w:val="000000"/>
          <w:sz w:val="20"/>
        </w:rPr>
        <w:t>Legal Proceedings</w:t>
      </w:r>
      <w:r>
        <w:rPr>
          <w:color w:val="000000"/>
        </w:rPr>
        <w:t xml:space="preserve">— </w:t>
      </w:r>
      <w:r>
        <w:rPr>
          <w:rFonts w:ascii="Arial;sans-serif" w:hAnsi="Arial;sans-serif"/>
          <w:b w:val="false"/>
          <w:color w:val="000000"/>
          <w:sz w:val="20"/>
        </w:rPr>
        <w:t xml:space="preserve">From time to time, the Company may become involved in various legal proceedings in the ordinary course of its business and may be subject to third-party infringement claims. Legal costs incurred in connection with the resolution of claims and lawsuits are generally expensed as incurred and are included in General and administration expense within our Unaudited Condensed Consolidated Statements of Operations and Comprehensive Income. The Company establishes reserves for the outcome of litigation where losses are deemed probable and reasonably estimable. The Company’s assessment of the current exposure could change in the event of the discovery of additional facts with respect to legal matters pending against the Company or determinations by judges, juries, administrative agencies or other finders of fact that are not in accordance with the Company’s evaluation of claims. Actual liabilities may exceed the amounts reserved, and there can be no assurance that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resolution of these matters will not have a material adverse effect on the Company’s financial condition, results of operations or cash flows. During the three months ended June 30, 2026, the Company accrued approximately $5 million for certain proposed legal settlement charges, representing the Company's expected amount of the total settlement obligation, with the remainder expected to be funded by insurance. This amount is not material to the Company's financial condition, results of operations or cash flows.</w:t>
      </w:r>
    </w:p>
    <w:p>
      <w:pPr>
        <w:pStyle w:val="TextBody"/>
        <w:bidi w:val="0"/>
        <w:spacing w:lineRule="auto" w:line="312" w:before="0" w:after="180"/>
        <w:jc w:val="left"/>
        <w:rPr/>
      </w:pPr>
      <w:r>
        <w:rPr>
          <w:rFonts w:ascii="Arial;sans-serif" w:hAnsi="Arial;sans-serif"/>
          <w:b/>
          <w:color w:val="000000"/>
          <w:sz w:val="20"/>
        </w:rPr>
        <w:t>Letters of Credit</w:t>
      </w:r>
      <w:r>
        <w:rPr>
          <w:color w:val="000000"/>
        </w:rPr>
        <w:t xml:space="preserve">— </w:t>
      </w:r>
      <w:r>
        <w:rPr>
          <w:rFonts w:ascii="Arial;sans-serif" w:hAnsi="Arial;sans-serif"/>
          <w:b w:val="false"/>
          <w:color w:val="000000"/>
          <w:sz w:val="20"/>
        </w:rPr>
        <w:t xml:space="preserve">The Company has a standby letter of credit obtained in connection with an operating lease. This letter of credit acts as security for the faithful performance by us of all terms, covenants and conditions of the lease agreement. The amount of the letter of credit is equal to six months rent of $442, totaling $2,656. The cash collateral for the letter of credit has been recognized as restricted cash in the Unaudited Condensed Consolidated Balance Sheet and is equivalent to 103% of the letter of credit and totaled $2,735.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4" w:name="ibc2816d51283412383dc6bf076a92f91"/>
      <w:bookmarkEnd w:id="14"/>
      <w:r>
        <w:rPr>
          <w:rFonts w:ascii="Arial;sans-serif" w:hAnsi="Arial;sans-serif"/>
          <w:b/>
          <w:color w:val="000000"/>
          <w:sz w:val="20"/>
        </w:rPr>
        <w:t>10.    EMPLOYEE BENEFIT PLAN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sponsors a profit sharing plan with an Internal Revenue Code Section 401(k) feature, the Duolingo Retirement Trust (the “Plan”), for eligible employees. The Plan, effective January 1, 2021, provides for Company safe harbor matching contributions of 100% of the first 4% of the employees’ elective deferrals and 50% of the next 2%, with vesting starting upon the first day of employment. The Company also has the option to make discretionary matching or profit sharing contributions. The Company made safe harbor matching contributions of approximately $2,476 and $4,689 during the three and six months ended June 30, 2026, and $2,060 and $4,029 during the three and six months ended June 30, 2025, respectively. The Company did not make any discretionary matching or profit sharing contributions during the three and six months ended June 30,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5" w:name="i7282b3ae573a422689dbe994e58de825"/>
      <w:bookmarkEnd w:id="15"/>
      <w:r>
        <w:rPr>
          <w:rFonts w:ascii="Arial;sans-serif" w:hAnsi="Arial;sans-serif"/>
          <w:b/>
          <w:color w:val="000000"/>
          <w:sz w:val="20"/>
        </w:rPr>
        <w:t>11.    EARNINGS PER SHARE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Basic net income per share attributable to common stockholders is calculated by dividing net income by the weighted-average number of shares of common stock outstanding during the period, less shares subject to repurchase. Diluted net income per share is calculated by giving effect to all potentially dilutive common stock equivalents.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rights of Class A and Class B common stock are identical, except with respect to voting and conversion. As a result, undistributed earnings are allocated on a proportional basis and net income per share is the same for both classes.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computation of basic and diluted earnings per share attributable to common shareholders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118"/>
        <w:gridCol w:w="1440"/>
        <w:gridCol w:w="1445"/>
        <w:gridCol w:w="211"/>
        <w:gridCol w:w="751"/>
        <w:gridCol w:w="109"/>
        <w:gridCol w:w="109"/>
        <w:gridCol w:w="109"/>
        <w:gridCol w:w="109"/>
        <w:gridCol w:w="211"/>
        <w:gridCol w:w="751"/>
        <w:gridCol w:w="109"/>
        <w:gridCol w:w="211"/>
        <w:gridCol w:w="751"/>
        <w:gridCol w:w="109"/>
        <w:gridCol w:w="109"/>
        <w:gridCol w:w="109"/>
        <w:gridCol w:w="109"/>
        <w:gridCol w:w="211"/>
        <w:gridCol w:w="751"/>
        <w:gridCol w:w="109"/>
        <w:gridCol w:w="109"/>
        <w:gridCol w:w="155"/>
      </w:tblGrid>
      <w:tr>
        <w:trPr/>
        <w:tc>
          <w:tcPr>
            <w:tcW w:w="211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5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 share data)</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Class A and Class B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in computing net income per share attributable to Class A and Class B common stockholders, basic</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Founder awards where performance has been met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outstanding (1)</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 outstanding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 for dilutive net income per common share - weighted-average shares</w:t>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50,080 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income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income per common share</w:t>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0.91 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The Company had 0.6 million options outstanding as of June 30, 2026. The estimated dilutive effect is calculated as the number of shares expected to be issued upon vesting or exercise, adjusted for the strike price proceeds that are received by the Company and assumed to be used to repurchase shares of Duolingo common stock.</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6" w:name="ic1dfc579bea54076acdf15ac5ff74ea9"/>
      <w:bookmarkEnd w:id="16"/>
      <w:r>
        <w:rPr>
          <w:rFonts w:ascii="Arial;sans-serif" w:hAnsi="Arial;sans-serif"/>
          <w:b/>
          <w:color w:val="000000"/>
          <w:sz w:val="20"/>
        </w:rPr>
        <w:t>12.    SUBSEQUENT EVENTS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17" w:name="i32450fd1e07546699cc5ce125ebe2226"/>
      <w:bookmarkEnd w:id="17"/>
      <w:r>
        <w:rPr>
          <w:rFonts w:ascii="Arial;sans-serif" w:hAnsi="Arial;sans-serif"/>
          <w:b/>
          <w:color w:val="000000"/>
          <w:sz w:val="20"/>
        </w:rPr>
        <w:t>Item 2. Management's Discussion and Analysis of Financial Condition and Results of Operations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the audited consolidated financial statements and related notes included in our Annual Report on Form 10-K and in Part II, Item 7. “Management’s Discussion and Analysis of Financial Condition and Results of Operations” of our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“Special Note Regarding Forward-Looking Statements,” and included elsewhere in this Quarterly Report on Form 10-Q, and in Part I, Item 1A. “Risk Factors,” and Part II, Item 7. “Management’s Discussion and Analysis of Financial Condition and Results of Operations” of our Annual Report on Form 10-K. Our historical results are not necessarily indicative of the results that may be expected for any periods in the future.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8" w:name="ia2e2fc38d16e4ee1b2d7530c2411e45f"/>
      <w:bookmarkEnd w:id="18"/>
      <w:r>
        <w:rPr>
          <w:rFonts w:ascii="Arial;sans-serif" w:hAnsi="Arial;sans-serif"/>
          <w:b/>
          <w:color w:val="000000"/>
          <w:sz w:val="20"/>
        </w:rPr>
        <w:t>Overview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flagship app has become the world’s most popular way to learn languages and the top-grossing Education app in the App Stores, offering over 250 total language courses to over 58 million daily active users for the three months ended June 30, 2026. We believe that we have become the preeminent online destination for language learning due to our beautifully designed products, exceptional user engagement, and demonstrated learning efficacy.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9" w:name="i87eacd7aa74c4950abbc5e407fa56120"/>
      <w:bookmarkEnd w:id="19"/>
      <w:r>
        <w:rPr>
          <w:rFonts w:ascii="Arial;sans-serif" w:hAnsi="Arial;sans-serif"/>
          <w:b/>
          <w:color w:val="000000"/>
          <w:sz w:val="20"/>
        </w:rPr>
        <w:t>Key Operating Metrics and 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generally accepted accounting principles in the U.S. (“GAAP”). Daily active users (DAUs), along with paid subscribers, subscription bookings and total bookings, are operating metrics that help inform management about the underlying growth in users of our platform, and are a measure of our monetization efforts. To calculate the year-over-year change in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 </w:t>
      </w:r>
    </w:p>
    <w:tbl>
      <w:tblPr>
        <w:tblW w:w="5817" w:type="dxa"/>
        <w:jc w:val="left"/>
        <w:tblInd w:w="0" w:type="dxa"/>
        <w:tblLayout w:type="fixed"/>
        <w:tblCellMar>
          <w:top w:w="28" w:type="dxa"/>
          <w:left w:w="28" w:type="dxa"/>
          <w:bottom w:w="28" w:type="dxa"/>
          <w:right w:w="28" w:type="dxa"/>
        </w:tblCellMar>
      </w:tblPr>
      <w:tblGrid>
        <w:gridCol w:w="1043"/>
        <w:gridCol w:w="916"/>
        <w:gridCol w:w="920"/>
        <w:gridCol w:w="273"/>
        <w:gridCol w:w="273"/>
        <w:gridCol w:w="273"/>
        <w:gridCol w:w="273"/>
        <w:gridCol w:w="273"/>
        <w:gridCol w:w="273"/>
        <w:gridCol w:w="273"/>
        <w:gridCol w:w="273"/>
        <w:gridCol w:w="273"/>
        <w:gridCol w:w="109"/>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6"/>
              </w:rPr>
            </w:pPr>
            <w:r>
              <w:rPr>
                <w:rFonts w:ascii="Arial;sans-serif" w:hAnsi="Arial;sans-serif"/>
                <w:b/>
                <w:i/>
                <w:color w:val="000000"/>
                <w:sz w:val="16"/>
              </w:rPr>
              <w:t>(In millions)</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Operating Metrics </w:t>
            </w:r>
          </w:p>
        </w:tc>
        <w:tc>
          <w:tcPr>
            <w:tcW w:w="8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Daily active users (DAUs) (1)</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 subscribers (at period end)</w:t>
            </w:r>
          </w:p>
        </w:tc>
        <w:tc>
          <w:tcPr>
            <w:tcW w:w="5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125" w:type="dxa"/>
        <w:jc w:val="left"/>
        <w:tblInd w:w="0" w:type="dxa"/>
        <w:tblLayout w:type="fixed"/>
        <w:tblCellMar>
          <w:top w:w="28" w:type="dxa"/>
          <w:left w:w="28" w:type="dxa"/>
          <w:bottom w:w="28" w:type="dxa"/>
          <w:right w:w="28" w:type="dxa"/>
        </w:tblCellMar>
      </w:tblPr>
      <w:tblGrid>
        <w:gridCol w:w="1588"/>
        <w:gridCol w:w="1401"/>
        <w:gridCol w:w="140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Metrics</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bookings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bookings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289,054 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597,538 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539,668 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Financial Measures</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141,484 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Net cash provided by operating activities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196,306 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78,630 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189,336 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We primarily evaluate user engagement using DAUs, with MAUs as a supplementary metric. MAUs were 140.6 million and 128.3 million for the three months ended June 30, 2026 and 2025, respectively.</w:t>
      </w:r>
    </w:p>
    <w:p>
      <w:pPr>
        <w:pStyle w:val="TextBody"/>
        <w:bidi w:val="0"/>
        <w:spacing w:before="0" w:after="0"/>
        <w:jc w:val="left"/>
        <w:rPr/>
      </w:pPr>
      <w:r>
        <w:rPr/>
      </w:r>
    </w:p>
    <w:p>
      <w:pPr>
        <w:pStyle w:val="TextBody"/>
        <w:bidi w:val="0"/>
        <w:spacing w:lineRule="auto" w:line="288" w:before="0" w:after="180"/>
        <w:jc w:val="left"/>
        <w:rPr>
          <w:rFonts w:ascii="Arial;sans-serif" w:hAnsi="Arial;sans-serif"/>
          <w:b/>
          <w:i/>
          <w:color w:val="000000"/>
          <w:sz w:val="20"/>
        </w:rPr>
      </w:pPr>
      <w:bookmarkStart w:id="20" w:name="ibf626fd59cad4b72ac4fff50eea158c5"/>
      <w:bookmarkEnd w:id="20"/>
      <w:r>
        <w:rPr>
          <w:rFonts w:ascii="Arial;sans-serif" w:hAnsi="Arial;sans-serif"/>
          <w:b/>
          <w:i/>
          <w:color w:val="000000"/>
          <w:sz w:val="20"/>
        </w:rPr>
        <w:t>Operating Metrics</w:t>
      </w:r>
    </w:p>
    <w:p>
      <w:pPr>
        <w:pStyle w:val="TextBody"/>
        <w:bidi w:val="0"/>
        <w:spacing w:lineRule="auto" w:line="312" w:before="0" w:after="180"/>
        <w:jc w:val="left"/>
        <w:rPr/>
      </w:pPr>
      <w:r>
        <w:rPr>
          <w:rFonts w:ascii="Arial;sans-serif" w:hAnsi="Arial;sans-serif"/>
          <w:b/>
          <w:i/>
          <w:color w:val="000000"/>
          <w:sz w:val="20"/>
        </w:rPr>
        <w:t>Daily active users (DAUs).</w:t>
      </w:r>
      <w:r>
        <w:rPr>
          <w:color w:val="000000"/>
        </w:rPr>
        <w:t xml:space="preserve"> </w:t>
      </w:r>
      <w:r>
        <w:rPr>
          <w:rFonts w:ascii="Arial;sans-serif" w:hAnsi="Arial;sans-serif"/>
          <w:b w:val="false"/>
          <w:color w:val="000000"/>
          <w:sz w:val="20"/>
        </w:rPr>
        <w:t xml:space="preserve">DAUs are defined as unique users who engage with our Duolingo App or the learning section of our website each calendar day. DAUs are reported for a measurement period by taking the average of the DAUs for each day in that measurement period. The measurement period for DAUs is the three months ended June 30, 2026 and the same period in the prior year where applicable,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analysis of results is based on those periods. DAUs are a measure of the consistent engagement of our global user community on Duolingo.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had approximately 58.7 million and 47.7 million DAUs for the three months ended June 30, 2026 and 2025, respectively, representing an increase of 23% from the prior year period, driven largely by an increase in retention of current users. We grew DAUs through a combination of product initiatives and marketing. Product improvements, such as making the app more social and engaging, helped attract new users, retain existing users, and reengage former users, while marketing expanded our reach.</w:t>
      </w:r>
    </w:p>
    <w:p>
      <w:pPr>
        <w:pStyle w:val="TextBody"/>
        <w:bidi w:val="0"/>
        <w:spacing w:lineRule="auto" w:line="312" w:before="0" w:after="180"/>
        <w:jc w:val="left"/>
        <w:rPr/>
      </w:pPr>
      <w:r>
        <w:rPr>
          <w:rFonts w:ascii="Arial;sans-serif" w:hAnsi="Arial;sans-serif"/>
          <w:b/>
          <w:i/>
          <w:color w:val="000000"/>
          <w:sz w:val="20"/>
        </w:rPr>
        <w:t>Paid Subscribers.</w:t>
      </w:r>
      <w:r>
        <w:rPr>
          <w:color w:val="000000"/>
        </w:rPr>
        <w:t xml:space="preserve"> </w:t>
      </w:r>
      <w:r>
        <w:rPr>
          <w:rFonts w:ascii="Arial;sans-serif" w:hAnsi="Arial;sans-serif"/>
          <w:b w:val="false"/>
          <w:color w:val="000000"/>
          <w:sz w:val="20"/>
        </w:rPr>
        <w:t xml:space="preserve">Paid subscribers are defined as users who pay for access to any Duolingo subscription offering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of June 30, 2026 and 2025, we had approximately 12.7 million and 10.9 million paid subscribers, respectively, representing an increase of 17% from the prior year period. We grew paid subscribers through product initiatives designed to make our subscription offerings more appealing, which helped attract new subscribers and retain existing subscribers. </w:t>
      </w:r>
    </w:p>
    <w:p>
      <w:pPr>
        <w:pStyle w:val="TextBody"/>
        <w:bidi w:val="0"/>
        <w:spacing w:lineRule="auto" w:line="312" w:before="0" w:after="180"/>
        <w:jc w:val="left"/>
        <w:rPr/>
      </w:pPr>
      <w:r>
        <w:rPr>
          <w:rFonts w:ascii="Arial;sans-serif" w:hAnsi="Arial;sans-serif"/>
          <w:b/>
          <w:i/>
          <w:color w:val="000000"/>
          <w:sz w:val="20"/>
        </w:rPr>
        <w:t>Subscription Bookings and Total Bookings.</w:t>
      </w:r>
      <w:r>
        <w:rPr>
          <w:color w:val="000000"/>
        </w:rPr>
        <w:t xml:space="preserve"> </w:t>
      </w:r>
      <w:r>
        <w:rPr>
          <w:rFonts w:ascii="Arial;sans-serif" w:hAnsi="Arial;sans-serif"/>
          <w:b w:val="false"/>
          <w:color w:val="000000"/>
          <w:sz w:val="20"/>
        </w:rPr>
        <w:t>Subscription bookings represent the amounts we receive from a purchase of any Duolingo subscription offering. Total bookings include subscription bookings, income from advertising networks for advertisements served to our users, purchases of the Duolingo English Test, and in-app purchases of virtual goods ("IAPs").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2026 and 2025, we generated $250.3 million and $227.3 million of subscription bookings, respectively, representing an increase of $23.1 million or 10%, driven by growth in volume and price of subscriptions sold. For the six months ended June 30, 2026 and 2025, we generated $518.4 million and $459.4 million of subscription bookings, respectively, representing an increase of $58.9 million or 13%, driven by growth in volume and price of subscriptions sold.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2026 and 2025, we generated $289.1 million and $268.0 million total bookings, respectively, representing an increase of $21.0 million or 8% from the prior year period. For the six months ended June 30, 2026 and 2025, we generated $597.5 million and $539.7 million total bookings, respectively, representing an increase of $57.9 million or 11% from the prior year period. We grew total bookings primarily through growth in subscription bookings.</w:t>
      </w:r>
    </w:p>
    <w:p>
      <w:pPr>
        <w:pStyle w:val="TextBody"/>
        <w:bidi w:val="0"/>
        <w:spacing w:lineRule="auto" w:line="312" w:before="0" w:after="180"/>
        <w:jc w:val="left"/>
        <w:rPr/>
      </w:pPr>
      <w:r>
        <w:rPr>
          <w:rFonts w:ascii="Arial;sans-serif" w:hAnsi="Arial;sans-serif"/>
          <w:b/>
          <w:i/>
          <w:color w:val="000000"/>
          <w:sz w:val="20"/>
        </w:rPr>
        <w:t>Monthly active users (MAUs).</w:t>
      </w:r>
      <w:r>
        <w:rPr>
          <w:color w:val="000000"/>
        </w:rPr>
        <w:t xml:space="preserve"> </w:t>
      </w:r>
      <w:r>
        <w:rPr>
          <w:rFonts w:ascii="Arial;sans-serif" w:hAnsi="Arial;sans-serif"/>
          <w:b w:val="false"/>
          <w:color w:val="000000"/>
          <w:sz w:val="20"/>
        </w:rPr>
        <w:t xml:space="preserve">MAUs are defined as unique users who engage with our Duolingo App or the learning section of our website each month. MAUs are reported for a measurement period by taking the average of the MAUs for each calendar month in that measurement period. The measurement period for MAUs is the three months ended June 30, 2026 and the same period in the prior year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applicable, and the analysis of results is based on those periods. MAUs are a supplemental measure and help illustrate the size of our global active user community on Duolingo.</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had approximately 140.6 million and 128.3 million MAUs for the three months ended June 30, 2026 and 2025, respectively, representing an increase of 10% from the prior year period. We grew MAUs through the same product and marketing initiatives as DAUs.</w:t>
      </w:r>
    </w:p>
    <w:p>
      <w:pPr>
        <w:pStyle w:val="TextBody"/>
        <w:bidi w:val="0"/>
        <w:spacing w:lineRule="auto" w:line="288" w:before="0" w:after="180"/>
        <w:jc w:val="left"/>
        <w:rPr>
          <w:rFonts w:ascii="Arial;sans-serif" w:hAnsi="Arial;sans-serif"/>
          <w:b/>
          <w:color w:val="000000"/>
          <w:sz w:val="20"/>
        </w:rPr>
      </w:pPr>
      <w:bookmarkStart w:id="21" w:name="i97cf404fab814e8eb9a64e45c800675d"/>
      <w:bookmarkEnd w:id="21"/>
      <w:r>
        <w:rPr>
          <w:rFonts w:ascii="Arial;sans-serif" w:hAnsi="Arial;sans-serif"/>
          <w:b/>
          <w:color w:val="000000"/>
          <w:sz w:val="20"/>
        </w:rPr>
        <w:t>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use certain non-GAAP financial measures to supplement our reported financial results, which are presented in accordance with GAAP. These non-GAAP financial measures include Adjusted EBITDA, free cash flow and constant-currency measures. We use these non-GAAP financial measures for financial and operational decision-making and as a means to evaluate period-to-period comparisons. By excluding certain items that may not be indicative of our recurring core operating results, we believe that Adjusted EBITDA, free cash flow and constant-currency provide meaningful supplemental information regarding our performance. The effect of currency exchange rates on our business is an important factor in understanding period-to-period comparisons. We use non-GAAP constant-currency measures and non-GAAP percentage change in constant-currency measures for financial and operational decision-making and as a means to evaluate period-to-period comparisons.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lineRule="auto" w:line="312" w:before="0" w:after="180"/>
        <w:jc w:val="left"/>
        <w:rPr/>
      </w:pPr>
      <w:r>
        <w:rPr>
          <w:rFonts w:ascii="Arial;sans-serif" w:hAnsi="Arial;sans-serif"/>
          <w:b/>
          <w:i/>
          <w:color w:val="000000"/>
          <w:sz w:val="20"/>
        </w:rPr>
        <w:t>Adjusted EBITDA.</w:t>
      </w:r>
      <w:r>
        <w:rPr>
          <w:color w:val="000000"/>
        </w:rPr>
        <w:t xml:space="preserve"> </w:t>
      </w:r>
      <w:r>
        <w:rPr>
          <w:rFonts w:ascii="Arial;sans-serif" w:hAnsi="Arial;sans-serif"/>
          <w:b w:val="false"/>
          <w:color w:val="000000"/>
          <w:sz w:val="20"/>
        </w:rPr>
        <w:t xml:space="preserve">Adjusted EBITDA is defined as net income excluding interest income, income taxes, depreciation and amortization, stock-based compensation expenses related to equity awards, including employer payroll taxes related to equity transactions, acquisition transaction and integration costs, acquisition earn-out costs, and impairment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w:t>
      </w:r>
      <w:r>
        <w:rPr>
          <w:rFonts w:ascii="Arial;sans-serif" w:hAnsi="Arial;sans-serif"/>
          <w:b w:val="false"/>
          <w:color w:val="000000"/>
          <w:sz w:val="20"/>
          <w:shd w:fill="FFFFFF" w:val="clear"/>
        </w:rPr>
        <w:t xml:space="preserve">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table presents a reconciliation of our net income, the most directly comparable financial measure presented in accordance with GAAP, to Adjusted EBITDA.</w:t>
      </w:r>
    </w:p>
    <w:tbl>
      <w:tblPr>
        <w:tblW w:w="10205" w:type="dxa"/>
        <w:jc w:val="left"/>
        <w:tblInd w:w="0" w:type="dxa"/>
        <w:tblLayout w:type="fixed"/>
        <w:tblCellMar>
          <w:top w:w="28" w:type="dxa"/>
          <w:left w:w="28" w:type="dxa"/>
          <w:bottom w:w="28" w:type="dxa"/>
          <w:right w:w="28" w:type="dxa"/>
        </w:tblCellMar>
      </w:tblPr>
      <w:tblGrid>
        <w:gridCol w:w="1749"/>
        <w:gridCol w:w="1465"/>
        <w:gridCol w:w="146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74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83"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18"/>
              </w:rPr>
              <w:t>(</w:t>
            </w:r>
            <w:r>
              <w:rPr>
                <w:rFonts w:ascii="Arial;sans-serif" w:hAnsi="Arial;sans-serif"/>
                <w:b/>
                <w:i/>
                <w:color w:val="000000"/>
                <w:sz w:val="18"/>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Add (deduct):</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(21,842)</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Provision for income taxes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7,030 </w:t>
            </w:r>
          </w:p>
        </w:tc>
        <w:tc>
          <w:tcPr>
            <w:tcW w:w="156" w:type="dxa"/>
            <w:tcBorders/>
            <w:shd w:fill="DBDBDB"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expenses related to equity awards (1)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74,046 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transaction and integration costs (2)</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earn-out costs (3)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68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capitalized software (4)</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 addition to stock-based compensation expense of $38.2 million and $34.6 million for the three months ended June 30, 2026 and 2025, respectively, and $72.9 million and $65.6 million for the six months ended June 30, 2026 and 2025, respectively, this includes costs incurred related to taxes paid on equity transactions as follows:</w:t>
      </w:r>
    </w:p>
    <w:p>
      <w:pPr>
        <w:pStyle w:val="TextBody"/>
        <w:bidi w:val="0"/>
        <w:spacing w:before="0" w:after="0"/>
        <w:jc w:val="left"/>
        <w:rPr/>
      </w:pPr>
      <w:r>
        <w:rPr/>
      </w:r>
    </w:p>
    <w:tbl>
      <w:tblPr>
        <w:tblW w:w="7206" w:type="dxa"/>
        <w:jc w:val="left"/>
        <w:tblInd w:w="0" w:type="dxa"/>
        <w:tblLayout w:type="fixed"/>
        <w:tblCellMar>
          <w:top w:w="28" w:type="dxa"/>
          <w:left w:w="28" w:type="dxa"/>
          <w:bottom w:w="28" w:type="dxa"/>
          <w:right w:w="28" w:type="dxa"/>
        </w:tblCellMar>
      </w:tblPr>
      <w:tblGrid>
        <w:gridCol w:w="770"/>
        <w:gridCol w:w="679"/>
        <w:gridCol w:w="681"/>
        <w:gridCol w:w="252"/>
        <w:gridCol w:w="541"/>
        <w:gridCol w:w="140"/>
        <w:gridCol w:w="140"/>
        <w:gridCol w:w="140"/>
        <w:gridCol w:w="140"/>
        <w:gridCol w:w="252"/>
        <w:gridCol w:w="714"/>
        <w:gridCol w:w="140"/>
        <w:gridCol w:w="109"/>
        <w:gridCol w:w="109"/>
        <w:gridCol w:w="109"/>
        <w:gridCol w:w="229"/>
        <w:gridCol w:w="493"/>
        <w:gridCol w:w="127"/>
        <w:gridCol w:w="127"/>
        <w:gridCol w:w="127"/>
        <w:gridCol w:w="127"/>
        <w:gridCol w:w="229"/>
        <w:gridCol w:w="651"/>
        <w:gridCol w:w="180"/>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3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25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4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1,605 </w:t>
            </w:r>
          </w:p>
        </w:tc>
        <w:tc>
          <w:tcPr>
            <w:tcW w:w="14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568 </w:t>
            </w:r>
          </w:p>
        </w:tc>
        <w:tc>
          <w:tcPr>
            <w:tcW w:w="127"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2,764 </w:t>
            </w:r>
          </w:p>
        </w:tc>
        <w:tc>
          <w:tcPr>
            <w:tcW w:w="180"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r>
      <w:tr>
        <w:trPr/>
        <w:tc>
          <w:tcPr>
            <w:tcW w:w="213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9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4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3,245 </w:t>
            </w:r>
          </w:p>
        </w:tc>
        <w:tc>
          <w:tcPr>
            <w:tcW w:w="14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12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5,515 </w:t>
            </w:r>
          </w:p>
        </w:tc>
        <w:tc>
          <w:tcPr>
            <w:tcW w:w="18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4,935 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(2)Represents costs incurred related to acquisitions, which are included in General and administration expense within our Unaudited Condensed Consolidated Statements of Operations and Comprehensive Income.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(3)Represents costs incurred related to the earn-out payments on acquisitions, which is included within General and administrative expense within our Unaudited Condensed Consolidated Statements of Operations and Comprehensive Income.</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(4)Represents impairment of capitalized software, which is included within Research and development expense within our Unaudited Condensed Consolidated Statements of Operations and Comprehensive Income.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and 2025, we generated net income of $33.2 million and $44.8 million, respectively representing a decrease of $11.6 million. For the six months ended June 30, 2026 and 2025, we generated net income of $76.6 million and $79.9 million, respectively, representing a decrease of $3.3 million. The decrease in net income for the three months ended June 30, 2026, as compared to the comparative prior period was primarily due to operating expenses increasing slightly faster than revenue during the period. The increase in net income for the six months ended June 30, 2026, as compared to the comparative prior period was primarily due to revenue growth and gross margin expansion during the period.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and 2025, we generated Adjusted EBITDA of $77.3 million and $78.7 million, respectively, representing a decrease of $1.4 million. For the six months ended June 30, 2026 and 2025, we generated Adjusted EBITDA of $160.7 million and $141.5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representing an increase of $19.3 million. Adjusted EBITDA changed as compared to the comparative periods for the reasons noted above in net income.</w:t>
      </w:r>
    </w:p>
    <w:p>
      <w:pPr>
        <w:pStyle w:val="TextBody"/>
        <w:bidi w:val="0"/>
        <w:spacing w:lineRule="auto" w:line="312" w:before="0" w:after="180"/>
        <w:jc w:val="left"/>
        <w:rPr/>
      </w:pPr>
      <w:r>
        <w:rPr>
          <w:rFonts w:ascii="Arial;sans-serif" w:hAnsi="Arial;sans-serif"/>
          <w:b/>
          <w:i/>
          <w:color w:val="000000"/>
          <w:sz w:val="20"/>
        </w:rPr>
        <w:t>Free Cash Flow</w:t>
      </w:r>
      <w:r>
        <w:rPr>
          <w:rFonts w:ascii="Arial;sans-serif" w:hAnsi="Arial;sans-serif"/>
          <w:b/>
          <w:color w:val="000000"/>
          <w:sz w:val="20"/>
        </w:rPr>
        <w:t xml:space="preserve">. </w:t>
      </w:r>
      <w:r>
        <w:rPr>
          <w:rFonts w:ascii="Arial;sans-serif" w:hAnsi="Arial;sans-serif"/>
          <w:b w:val="false"/>
          <w:color w:val="000000"/>
          <w:sz w:val="20"/>
        </w:rPr>
        <w:t>Free cash flow is defined as net cash provided by operating activities, less capitalized software development costs and purchases of property and equipment.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tbl>
      <w:tblPr>
        <w:tblW w:w="10205" w:type="dxa"/>
        <w:jc w:val="left"/>
        <w:tblInd w:w="0" w:type="dxa"/>
        <w:tblLayout w:type="fixed"/>
        <w:tblCellMar>
          <w:top w:w="28" w:type="dxa"/>
          <w:left w:w="28" w:type="dxa"/>
          <w:bottom w:w="28" w:type="dxa"/>
          <w:right w:w="28" w:type="dxa"/>
        </w:tblCellMar>
      </w:tblPr>
      <w:tblGrid>
        <w:gridCol w:w="1755"/>
        <w:gridCol w:w="1462"/>
        <w:gridCol w:w="1466"/>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7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83"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18"/>
              </w:rPr>
              <w:t>(</w:t>
            </w:r>
            <w:r>
              <w:rPr>
                <w:rFonts w:ascii="Arial;sans-serif" w:hAnsi="Arial;sans-serif"/>
                <w:b/>
                <w:i/>
                <w:color w:val="000000"/>
                <w:sz w:val="18"/>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2025</w:t>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90,675 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196,306 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Capitalized software development costs and purchases of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Purchases of property and equipment</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(2,507)</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189,336 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2026 and 2025, we generated $88.3 million and $90.7 million of net cash provided by operating activities, respectively, representing a decrease of $2.4 million. The decrease was primarily due to changes in working capital during the period. For the six months ended June 30, 2026 and 2025, we generated $239.0 million and $196.3 million of net cash provided by operating activities, respectively, representing an increase of $42.7 million. The increase was primarily due to higher operating income and changes in working capital.</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June 30, 2026 and 2025, we generated $78.6 million and $86.3 million of free cash flow, respectively, representing a decrease of $7.7 million. Free cash flow decreased in line with operating cash flow, reflecting the same underlying drivers of cash provided by operating activities and by higher capital investments as we expand our office footprints. For the six months ended June 30, 2026 and 2025, we generated $226.4 million and $189.3 million of free cash flow, respectively, representing an increase of $37.1 million. Free cash flow increased in line with operating cash flow, reflecting the same underlying drivers of cash provided by operating activities, partially offset by higher capital investments.</w:t>
      </w:r>
    </w:p>
    <w:p>
      <w:pPr>
        <w:pStyle w:val="TextBody"/>
        <w:bidi w:val="0"/>
        <w:spacing w:lineRule="auto" w:line="312" w:before="0" w:after="180"/>
        <w:jc w:val="left"/>
        <w:rPr/>
      </w:pPr>
      <w:r>
        <w:rPr>
          <w:rFonts w:ascii="Arial;sans-serif" w:hAnsi="Arial;sans-serif"/>
          <w:b/>
          <w:i/>
          <w:color w:val="000000"/>
          <w:sz w:val="20"/>
        </w:rPr>
        <w:t>Constant-Currency.</w:t>
      </w:r>
      <w:r>
        <w:rPr>
          <w:color w:val="000000"/>
        </w:rPr>
        <w:t xml:space="preserve"> </w:t>
      </w:r>
      <w:r>
        <w:rPr>
          <w:rFonts w:ascii="Arial;sans-serif" w:hAnsi="Arial;sans-serif"/>
          <w:b w:val="false"/>
          <w:color w:val="000000"/>
          <w:sz w:val="20"/>
        </w:rPr>
        <w:t>The effect of currency exchange rates on our business is an important factor in understanding period-to-period comparisons. We use non-GAAP percentage change in constant-currency 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constant-currency revenues by translating current period foreign currency revenues using prior-year exchange rates applied consistently over the full revenue recognition period. We calculate constant-currency bookings by using current period foreign currency bookings and translating them to constant currency using prior-year comparable period exchange rates. The constant-currency percentage change for revenues and bookings is calculated by dividing the difference between the constant-currency amount and the prior-year comparable period amount by the prior-year comparable period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table provides the changes in bookings and revenues on a reported basis and constant-currency basis:</w:t>
      </w:r>
    </w:p>
    <w:tbl>
      <w:tblPr>
        <w:tblW w:w="12593" w:type="dxa"/>
        <w:jc w:val="left"/>
        <w:tblInd w:w="0" w:type="dxa"/>
        <w:tblLayout w:type="fixed"/>
        <w:tblCellMar>
          <w:top w:w="28" w:type="dxa"/>
          <w:left w:w="28" w:type="dxa"/>
          <w:bottom w:w="28" w:type="dxa"/>
          <w:right w:w="28" w:type="dxa"/>
        </w:tblCellMar>
      </w:tblPr>
      <w:tblGrid>
        <w:gridCol w:w="398"/>
        <w:gridCol w:w="311"/>
        <w:gridCol w:w="312"/>
        <w:gridCol w:w="196"/>
        <w:gridCol w:w="736"/>
        <w:gridCol w:w="109"/>
        <w:gridCol w:w="109"/>
        <w:gridCol w:w="109"/>
        <w:gridCol w:w="109"/>
        <w:gridCol w:w="196"/>
        <w:gridCol w:w="736"/>
        <w:gridCol w:w="109"/>
        <w:gridCol w:w="109"/>
        <w:gridCol w:w="109"/>
        <w:gridCol w:w="109"/>
        <w:gridCol w:w="305"/>
        <w:gridCol w:w="305"/>
        <w:gridCol w:w="306"/>
        <w:gridCol w:w="109"/>
        <w:gridCol w:w="109"/>
        <w:gridCol w:w="109"/>
        <w:gridCol w:w="540"/>
        <w:gridCol w:w="540"/>
        <w:gridCol w:w="541"/>
        <w:gridCol w:w="109"/>
        <w:gridCol w:w="109"/>
        <w:gridCol w:w="109"/>
        <w:gridCol w:w="196"/>
        <w:gridCol w:w="736"/>
        <w:gridCol w:w="109"/>
        <w:gridCol w:w="109"/>
        <w:gridCol w:w="109"/>
        <w:gridCol w:w="109"/>
        <w:gridCol w:w="196"/>
        <w:gridCol w:w="736"/>
        <w:gridCol w:w="109"/>
        <w:gridCol w:w="109"/>
        <w:gridCol w:w="109"/>
        <w:gridCol w:w="109"/>
        <w:gridCol w:w="305"/>
        <w:gridCol w:w="305"/>
        <w:gridCol w:w="306"/>
        <w:gridCol w:w="109"/>
        <w:gridCol w:w="109"/>
        <w:gridCol w:w="109"/>
        <w:gridCol w:w="488"/>
        <w:gridCol w:w="488"/>
        <w:gridCol w:w="690"/>
      </w:tblGrid>
      <w:tr>
        <w:trPr/>
        <w:tc>
          <w:tcPr>
            <w:tcW w:w="3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Constant-Currency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Constant-Currency Change %</w:t>
            </w:r>
          </w:p>
        </w:tc>
      </w:tr>
      <w:tr>
        <w:trPr/>
        <w:tc>
          <w:tcPr>
            <w:tcW w:w="10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24%</w:t>
            </w:r>
          </w:p>
        </w:tc>
      </w:tr>
      <w:tr>
        <w:trPr/>
        <w:tc>
          <w:tcPr>
            <w:tcW w:w="10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298,454 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252,265 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590,421 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483,008 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Bookings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Subscription </w:t>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250,316 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227,259 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518,381 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459,443 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Bookings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22" w:name="i34ab924acc8f4a9da12eb968451f05c9"/>
      <w:bookmarkEnd w:id="22"/>
      <w:r>
        <w:rPr>
          <w:rFonts w:ascii="Arial;sans-serif" w:hAnsi="Arial;sans-serif"/>
          <w:b/>
          <w:color w:val="000000"/>
          <w:sz w:val="20"/>
        </w:rPr>
        <w:t>Components of Our Results of Operations</w:t>
      </w:r>
    </w:p>
    <w:p>
      <w:pPr>
        <w:pStyle w:val="TextBody"/>
        <w:bidi w:val="0"/>
        <w:spacing w:lineRule="auto" w:line="288" w:before="0" w:after="180"/>
        <w:jc w:val="left"/>
        <w:rPr>
          <w:rFonts w:ascii="Arial;sans-serif" w:hAnsi="Arial;sans-serif"/>
          <w:b/>
          <w:color w:val="000000"/>
          <w:sz w:val="20"/>
        </w:rPr>
      </w:pPr>
      <w:bookmarkStart w:id="23" w:name="i99699ed92a8a4dc49228c4a658cec697"/>
      <w:bookmarkEnd w:id="23"/>
      <w:r>
        <w:rPr>
          <w:rFonts w:ascii="Arial;sans-serif" w:hAnsi="Arial;sans-serif"/>
          <w:b/>
          <w:color w:val="000000"/>
          <w:sz w:val="20"/>
        </w:rPr>
        <w:t>Revenue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generate revenues primarily from the sale of subscriptions. The term-length of our subscription agreements are primarily monthly or annual, with the family plan offered as an annual subscription. We also generate revenue from advertising, the in-app sale of virtual goods, and the Duolingo English Test. We may run experiments that result in a different mix of revenue from these levers in the future.</w:t>
      </w:r>
    </w:p>
    <w:p>
      <w:pPr>
        <w:pStyle w:val="TextBody"/>
        <w:bidi w:val="0"/>
        <w:spacing w:lineRule="auto" w:line="288" w:before="0" w:after="180"/>
        <w:jc w:val="left"/>
        <w:rPr>
          <w:rFonts w:ascii="Arial;sans-serif" w:hAnsi="Arial;sans-serif"/>
          <w:b/>
          <w:color w:val="000000"/>
          <w:sz w:val="20"/>
        </w:rPr>
      </w:pPr>
      <w:bookmarkStart w:id="24" w:name="i91d8633b845a48b39b91b26d038bba8f"/>
      <w:bookmarkEnd w:id="24"/>
      <w:r>
        <w:rPr>
          <w:rFonts w:ascii="Arial;sans-serif" w:hAnsi="Arial;sans-serif"/>
          <w:b/>
          <w:color w:val="000000"/>
          <w:sz w:val="20"/>
        </w:rPr>
        <w:t>Cost of Revenues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Cost of revenues predominantly consists of third-party payment processing fees charged by various distribution channels in addition to hosting fees and third-party AI costs. To a much lesser extent, cost of revenues includes customer support costs, such as contractor fees, wages and stock-based compensation for certain employees working in customer support. It also includes the amortization of revenue generating capitalized software, and depreciation of certain property and equipment.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intend to continue to invest in the development and enhancement of our products to expand their capabilities and allow our users to realize the full benefit of our offerings. The level, timing, and relative investment in these areas could affect our cost of revenues in the future.</w:t>
      </w:r>
    </w:p>
    <w:p>
      <w:pPr>
        <w:pStyle w:val="TextBody"/>
        <w:bidi w:val="0"/>
        <w:spacing w:lineRule="auto" w:line="288" w:before="0" w:after="180"/>
        <w:jc w:val="left"/>
        <w:rPr>
          <w:rFonts w:ascii="Arial;sans-serif" w:hAnsi="Arial;sans-serif"/>
          <w:b/>
          <w:color w:val="000000"/>
          <w:sz w:val="20"/>
        </w:rPr>
      </w:pPr>
      <w:bookmarkStart w:id="25" w:name="i024de5bb9eca485e98846136ffdc6254"/>
      <w:bookmarkEnd w:id="25"/>
      <w:r>
        <w:rPr>
          <w:rFonts w:ascii="Arial;sans-serif" w:hAnsi="Arial;sans-serif"/>
          <w:b/>
          <w:color w:val="000000"/>
          <w:sz w:val="20"/>
        </w:rPr>
        <w:t>Gross Profit and Gross Margin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pStyle w:val="TextBody"/>
        <w:bidi w:val="0"/>
        <w:spacing w:lineRule="auto" w:line="288" w:before="0" w:after="180"/>
        <w:jc w:val="left"/>
        <w:rPr>
          <w:rFonts w:ascii="Arial;sans-serif" w:hAnsi="Arial;sans-serif"/>
          <w:b/>
          <w:color w:val="000000"/>
          <w:sz w:val="20"/>
        </w:rPr>
      </w:pPr>
      <w:bookmarkStart w:id="26" w:name="i6bed79aa5ba24c11bf800ca55d344de7"/>
      <w:bookmarkEnd w:id="26"/>
      <w:r>
        <w:rPr>
          <w:rFonts w:ascii="Arial;sans-serif" w:hAnsi="Arial;sans-serif"/>
          <w:b/>
          <w:color w:val="000000"/>
          <w:sz w:val="20"/>
        </w:rPr>
        <w:t>Operating Expenses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pStyle w:val="TextBody"/>
        <w:bidi w:val="0"/>
        <w:spacing w:lineRule="auto" w:line="312" w:before="0" w:after="180"/>
        <w:jc w:val="left"/>
        <w:rPr/>
      </w:pPr>
      <w:r>
        <w:rPr>
          <w:rFonts w:ascii="Arial;sans-serif" w:hAnsi="Arial;sans-serif"/>
          <w:b/>
          <w:i/>
          <w:color w:val="000000"/>
          <w:sz w:val="20"/>
        </w:rPr>
        <w:t>Research and Development.</w:t>
      </w:r>
      <w:r>
        <w:rPr>
          <w:color w:val="000000"/>
        </w:rPr>
        <w:t xml:space="preserve"> </w:t>
      </w:r>
      <w:r>
        <w:rPr>
          <w:rFonts w:ascii="Arial;sans-serif" w:hAnsi="Arial;sans-serif"/>
          <w:b w:val="false"/>
          <w:color w:val="000000"/>
          <w:sz w:val="20"/>
        </w:rPr>
        <w:t xml:space="preserve">We invest heavily in research and development to create new products and product features that are intended to help us grow our user base, engage our users, monetize our users, and teach our users. This, in turn, can impact the growth in, and lifetime value of, our paid subscribers, as well as increased advertising revenue from impressions from our free users. Expenses are primarily made up of costs incurred for the development of new and improved products and features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in our applications during the preliminary product development stage. Such expenses include employee-related compensation, including stock-based compensation, of engineers, designers, and product managers, in addition to materials, travel and direct costs associated with the design, required testing of our platform and depreciation of certain property and equipment. We expect engineers, designers, and product managers to represent a significant portion of our employees for the foreseeable future. We typically capitalize a portion of research and development costs once the product has reached application development phase, mostly consisting of wages, each period into capitalized software when the work is specific to launching a new product, or making major upgrades to our existing products or platforms.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and product improvements may not be well received or may take a long time for users to adopt. As a result, the impact resulting from our research and development investments may be difficult to forecast. </w:t>
      </w:r>
    </w:p>
    <w:p>
      <w:pPr>
        <w:pStyle w:val="TextBody"/>
        <w:bidi w:val="0"/>
        <w:spacing w:lineRule="auto" w:line="312" w:before="0" w:after="180"/>
        <w:jc w:val="left"/>
        <w:rPr/>
      </w:pPr>
      <w:r>
        <w:rPr>
          <w:rFonts w:ascii="Arial;sans-serif" w:hAnsi="Arial;sans-serif"/>
          <w:b/>
          <w:i/>
          <w:color w:val="000000"/>
          <w:sz w:val="20"/>
        </w:rPr>
        <w:t>Sales and Marketing.</w:t>
      </w:r>
      <w:r>
        <w:rPr>
          <w:color w:val="000000"/>
        </w:rPr>
        <w:t xml:space="preserve"> </w:t>
      </w:r>
      <w:r>
        <w:rPr>
          <w:rFonts w:ascii="Arial;sans-serif" w:hAnsi="Arial;sans-serif"/>
          <w:b w:val="false"/>
          <w:color w:val="000000"/>
          <w:sz w:val="20"/>
        </w:rPr>
        <w:t xml:space="preserve">Sales and marketing expenses are expensed as incurred and consists primarily of new user acquisition, brand marketing, digital and social media content, and employee-related compensation, including stock-based compensation, for personnel engaged in sales and marketing functions, amortization of non-revenue generating capitalized software used to promote Duolingo and depreciation of certain property and equipment. </w:t>
      </w:r>
    </w:p>
    <w:p>
      <w:pPr>
        <w:pStyle w:val="TextBody"/>
        <w:bidi w:val="0"/>
        <w:spacing w:lineRule="auto" w:line="312" w:before="0" w:after="180"/>
        <w:jc w:val="left"/>
        <w:rPr/>
      </w:pPr>
      <w:r>
        <w:rPr>
          <w:rFonts w:ascii="Arial;sans-serif" w:hAnsi="Arial;sans-serif"/>
          <w:b/>
          <w:i/>
          <w:color w:val="000000"/>
          <w:sz w:val="20"/>
        </w:rPr>
        <w:t>General and Administrative.</w:t>
      </w:r>
      <w:r>
        <w:rPr>
          <w:color w:val="000000"/>
        </w:rPr>
        <w:t xml:space="preserve"> </w:t>
      </w:r>
      <w:r>
        <w:rPr>
          <w:rFonts w:ascii="Arial;sans-serif" w:hAnsi="Arial;sans-serif"/>
          <w:b w:val="false"/>
          <w:color w:val="000000"/>
          <w:sz w:val="20"/>
        </w:rPr>
        <w:t xml:space="preserve">General and administrative expenses primarily consist of employee-related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public company costs to comply with the rules and regulations of the Securities and Exchange Commission (“SEC”) and the Listing Rules of the Nasdaq Global Select Market, and other general overhead costs that support our operations. </w:t>
      </w:r>
    </w:p>
    <w:p>
      <w:pPr>
        <w:pStyle w:val="TextBody"/>
        <w:bidi w:val="0"/>
        <w:spacing w:lineRule="auto" w:line="288" w:before="0" w:after="180"/>
        <w:jc w:val="left"/>
        <w:rPr>
          <w:rFonts w:ascii="Arial;sans-serif" w:hAnsi="Arial;sans-serif"/>
          <w:b/>
          <w:color w:val="000000"/>
          <w:sz w:val="20"/>
        </w:rPr>
      </w:pPr>
      <w:bookmarkStart w:id="27" w:name="i5e8e67b13da1478999e082d470a172b1"/>
      <w:bookmarkEnd w:id="27"/>
      <w:r>
        <w:rPr>
          <w:rFonts w:ascii="Arial;sans-serif" w:hAnsi="Arial;sans-serif"/>
          <w:b/>
          <w:color w:val="000000"/>
          <w:sz w:val="20"/>
        </w:rPr>
        <w:t>Interest Income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Interest income consists of income earned on our cash and money market funds included in cash and cash equivalents and income earned and net accretion on our marketable securities.</w:t>
      </w:r>
    </w:p>
    <w:p>
      <w:pPr>
        <w:pStyle w:val="TextBody"/>
        <w:bidi w:val="0"/>
        <w:spacing w:lineRule="auto" w:line="288" w:before="0" w:after="180"/>
        <w:jc w:val="left"/>
        <w:rPr>
          <w:rFonts w:ascii="Arial;sans-serif" w:hAnsi="Arial;sans-serif"/>
          <w:b/>
          <w:color w:val="000000"/>
          <w:sz w:val="20"/>
        </w:rPr>
      </w:pPr>
      <w:bookmarkStart w:id="28" w:name="i119e2c8e10954cdd98bd0996c1f4a959"/>
      <w:bookmarkEnd w:id="28"/>
      <w:r>
        <w:rPr>
          <w:rFonts w:ascii="Arial;sans-serif" w:hAnsi="Arial;sans-serif"/>
          <w:b/>
          <w:color w:val="000000"/>
          <w:sz w:val="20"/>
        </w:rPr>
        <w:t>Other (expense) income,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Other (expense) income, net consists primarily of foreign currency exchange gains and losses. </w:t>
      </w:r>
    </w:p>
    <w:p>
      <w:pPr>
        <w:pStyle w:val="TextBody"/>
        <w:bidi w:val="0"/>
        <w:spacing w:lineRule="auto" w:line="288" w:before="0" w:after="180"/>
        <w:jc w:val="left"/>
        <w:rPr>
          <w:rFonts w:ascii="Arial;sans-serif" w:hAnsi="Arial;sans-serif"/>
          <w:b/>
          <w:color w:val="000000"/>
          <w:sz w:val="20"/>
        </w:rPr>
      </w:pPr>
      <w:bookmarkStart w:id="29" w:name="ic8257cecb13c4858ab8a8ff422129aa8"/>
      <w:bookmarkEnd w:id="29"/>
      <w:r>
        <w:rPr>
          <w:rFonts w:ascii="Arial;sans-serif" w:hAnsi="Arial;sans-serif"/>
          <w:b/>
          <w:color w:val="000000"/>
          <w:sz w:val="20"/>
        </w:rPr>
        <w:t>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Income taxes represent the tax impact associated with our operations under the tax laws of the jurisdictions in which we operate. In addition to the U.S., we also operate in foreign jurisdictions that have different statutory rates. Our effective tax rate may vary based on the relative proportion of foreign to domestic income, the tax effects of stock-based compensation (which can fluctuate with our stock price), and changes in tax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30" w:name="ifc0e6ecfc7844d4589312c7951f48dad"/>
      <w:bookmarkEnd w:id="30"/>
      <w:r>
        <w:rPr>
          <w:rFonts w:ascii="Arial;sans-serif" w:hAnsi="Arial;sans-serif"/>
          <w:b/>
          <w:color w:val="000000"/>
          <w:sz w:val="20"/>
        </w:rPr>
        <w:t>Results of Operations</w:t>
      </w:r>
    </w:p>
    <w:p>
      <w:pPr>
        <w:pStyle w:val="TextBody"/>
        <w:bidi w:val="0"/>
        <w:spacing w:lineRule="auto" w:line="288" w:before="0" w:after="180"/>
        <w:jc w:val="left"/>
        <w:rPr>
          <w:rFonts w:ascii="Arial;sans-serif" w:hAnsi="Arial;sans-serif"/>
          <w:b/>
          <w:i/>
          <w:color w:val="000000"/>
          <w:sz w:val="20"/>
        </w:rPr>
      </w:pPr>
      <w:bookmarkStart w:id="31" w:name="i27c3d435dc8a44f8bdbf03030012ddf9"/>
      <w:bookmarkEnd w:id="31"/>
      <w:r>
        <w:rPr>
          <w:rFonts w:ascii="Arial;sans-serif" w:hAnsi="Arial;sans-serif"/>
          <w:b/>
          <w:i/>
          <w:color w:val="000000"/>
          <w:sz w:val="20"/>
        </w:rPr>
        <w:t>Comparison of the three and six months ended June 30, 2026 and 2025</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sets forth our Unaudited Condensed Consolidated Statements of Operations and Comprehensive Income data, including year-over-year change, for the periods indicated:</w:t>
      </w:r>
    </w:p>
    <w:tbl>
      <w:tblPr>
        <w:tblW w:w="10205" w:type="dxa"/>
        <w:jc w:val="left"/>
        <w:tblInd w:w="0" w:type="dxa"/>
        <w:tblLayout w:type="fixed"/>
        <w:tblCellMar>
          <w:top w:w="28" w:type="dxa"/>
          <w:left w:w="28" w:type="dxa"/>
          <w:bottom w:w="28" w:type="dxa"/>
          <w:right w:w="28" w:type="dxa"/>
        </w:tblCellMar>
      </w:tblPr>
      <w:tblGrid>
        <w:gridCol w:w="960"/>
        <w:gridCol w:w="513"/>
        <w:gridCol w:w="515"/>
        <w:gridCol w:w="211"/>
        <w:gridCol w:w="856"/>
        <w:gridCol w:w="109"/>
        <w:gridCol w:w="109"/>
        <w:gridCol w:w="109"/>
        <w:gridCol w:w="109"/>
        <w:gridCol w:w="211"/>
        <w:gridCol w:w="856"/>
        <w:gridCol w:w="109"/>
        <w:gridCol w:w="109"/>
        <w:gridCol w:w="109"/>
        <w:gridCol w:w="109"/>
        <w:gridCol w:w="305"/>
        <w:gridCol w:w="305"/>
        <w:gridCol w:w="306"/>
        <w:gridCol w:w="109"/>
        <w:gridCol w:w="109"/>
        <w:gridCol w:w="109"/>
        <w:gridCol w:w="211"/>
        <w:gridCol w:w="856"/>
        <w:gridCol w:w="109"/>
        <w:gridCol w:w="109"/>
        <w:gridCol w:w="109"/>
        <w:gridCol w:w="109"/>
        <w:gridCol w:w="211"/>
        <w:gridCol w:w="856"/>
        <w:gridCol w:w="109"/>
        <w:gridCol w:w="109"/>
        <w:gridCol w:w="109"/>
        <w:gridCol w:w="109"/>
        <w:gridCol w:w="281"/>
        <w:gridCol w:w="281"/>
        <w:gridCol w:w="400"/>
      </w:tblGrid>
      <w:tr>
        <w:trPr/>
        <w:tc>
          <w:tcPr>
            <w:tcW w:w="96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298,454 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252,265 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590,421 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483,008 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 (1)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182,581 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429,836 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346,677 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(1) (2)</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73,670 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175,169 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144,060 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20"/>
              </w:rPr>
            </w:pPr>
            <w:r>
              <w:rPr>
                <w:rFonts w:ascii="Arial;sans-serif" w:hAnsi="Arial;sans-serif"/>
                <w:b w:val="false"/>
                <w:color w:val="000000"/>
                <w:sz w:val="20"/>
              </w:rPr>
              <w:t>22</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(1)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val="false"/>
                <w:color w:val="000000"/>
                <w:sz w:val="20"/>
              </w:rPr>
            </w:pPr>
            <w:r>
              <w:rPr>
                <w:rFonts w:ascii="Arial;sans-serif" w:hAnsi="Arial;sans-serif"/>
                <w:b w:val="false"/>
                <w:color w:val="000000"/>
                <w:sz w:val="20"/>
              </w:rPr>
              <w:t>41</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(1) (2)</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21</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78,472 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38</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nm</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77,276 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8</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46,450 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24</w:t>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20"/>
              </w:rPr>
            </w:pPr>
            <w:r>
              <w:rPr>
                <w:rFonts w:ascii="Arial;sans-serif" w:hAnsi="Arial;sans-serif"/>
                <w:b w:val="false"/>
                <w:color w:val="000000"/>
                <w:sz w:val="20"/>
              </w:rPr>
              <w:t>&gt;100</w:t>
            </w:r>
          </w:p>
        </w:tc>
      </w:tr>
      <w:tr>
        <w:trPr/>
        <w:tc>
          <w:tcPr>
            <w:tcW w:w="19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76,618 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79,916 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stock-based compensation expenses as follows:</w:t>
      </w:r>
    </w:p>
    <w:tbl>
      <w:tblPr>
        <w:tblW w:w="7207" w:type="dxa"/>
        <w:jc w:val="left"/>
        <w:tblInd w:w="0" w:type="dxa"/>
        <w:tblLayout w:type="fixed"/>
        <w:tblCellMar>
          <w:top w:w="28" w:type="dxa"/>
          <w:left w:w="28" w:type="dxa"/>
          <w:bottom w:w="28" w:type="dxa"/>
          <w:right w:w="28" w:type="dxa"/>
        </w:tblCellMar>
      </w:tblPr>
      <w:tblGrid>
        <w:gridCol w:w="770"/>
        <w:gridCol w:w="679"/>
        <w:gridCol w:w="680"/>
        <w:gridCol w:w="216"/>
        <w:gridCol w:w="713"/>
        <w:gridCol w:w="120"/>
        <w:gridCol w:w="120"/>
        <w:gridCol w:w="120"/>
        <w:gridCol w:w="120"/>
        <w:gridCol w:w="216"/>
        <w:gridCol w:w="713"/>
        <w:gridCol w:w="120"/>
        <w:gridCol w:w="109"/>
        <w:gridCol w:w="109"/>
        <w:gridCol w:w="109"/>
        <w:gridCol w:w="197"/>
        <w:gridCol w:w="652"/>
        <w:gridCol w:w="110"/>
        <w:gridCol w:w="110"/>
        <w:gridCol w:w="110"/>
        <w:gridCol w:w="110"/>
        <w:gridCol w:w="197"/>
        <w:gridCol w:w="652"/>
        <w:gridCol w:w="155"/>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revenues</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2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w:t>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2,008 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1,593 </w:t>
            </w:r>
          </w:p>
        </w:tc>
        <w:tc>
          <w:tcPr>
            <w:tcW w:w="12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3,804 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38,210 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34,592 </w:t>
            </w:r>
          </w:p>
        </w:tc>
        <w:tc>
          <w:tcPr>
            <w:tcW w:w="12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72,857 </w:t>
            </w:r>
          </w:p>
        </w:tc>
        <w:tc>
          <w:tcPr>
            <w:tcW w:w="1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65,610 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(2)Includes amortization of capitalized software and depreciation of property and equipment as follows:</w:t>
      </w:r>
    </w:p>
    <w:tbl>
      <w:tblPr>
        <w:tblW w:w="7200" w:type="dxa"/>
        <w:jc w:val="left"/>
        <w:tblInd w:w="0" w:type="dxa"/>
        <w:tblLayout w:type="fixed"/>
        <w:tblCellMar>
          <w:top w:w="28" w:type="dxa"/>
          <w:left w:w="28" w:type="dxa"/>
          <w:bottom w:w="28" w:type="dxa"/>
          <w:right w:w="28" w:type="dxa"/>
        </w:tblCellMar>
      </w:tblPr>
      <w:tblGrid>
        <w:gridCol w:w="770"/>
        <w:gridCol w:w="679"/>
        <w:gridCol w:w="680"/>
        <w:gridCol w:w="235"/>
        <w:gridCol w:w="667"/>
        <w:gridCol w:w="130"/>
        <w:gridCol w:w="130"/>
        <w:gridCol w:w="130"/>
        <w:gridCol w:w="130"/>
        <w:gridCol w:w="235"/>
        <w:gridCol w:w="667"/>
        <w:gridCol w:w="130"/>
        <w:gridCol w:w="109"/>
        <w:gridCol w:w="109"/>
        <w:gridCol w:w="109"/>
        <w:gridCol w:w="214"/>
        <w:gridCol w:w="609"/>
        <w:gridCol w:w="119"/>
        <w:gridCol w:w="119"/>
        <w:gridCol w:w="119"/>
        <w:gridCol w:w="119"/>
        <w:gridCol w:w="214"/>
        <w:gridCol w:w="609"/>
        <w:gridCol w:w="168"/>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revenues (a)</w:t>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2,824 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5,598 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4,168 </w:t>
            </w:r>
          </w:p>
        </w:tc>
        <w:tc>
          <w:tcPr>
            <w:tcW w:w="1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 (a)</w:t>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1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4,247 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3,440 </w:t>
            </w:r>
          </w:p>
        </w:tc>
        <w:tc>
          <w:tcPr>
            <w:tcW w:w="13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8,438 </w:t>
            </w:r>
          </w:p>
        </w:tc>
        <w:tc>
          <w:tcPr>
            <w:tcW w:w="11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7,030 </w:t>
            </w:r>
          </w:p>
        </w:tc>
        <w:tc>
          <w:tcPr>
            <w:tcW w:w="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Amortization of capitalized software is recorded to Cost of revenue and Sales and marketing for revenue and non-revenue generating capitalized software,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sets forth the components of our Unaudited Condensed Consolidated Statements of Operations and Comprehensive Income for each of the periods presented as a percentage of revenue:</w:t>
      </w:r>
    </w:p>
    <w:tbl>
      <w:tblPr>
        <w:tblW w:w="9837" w:type="dxa"/>
        <w:jc w:val="left"/>
        <w:tblInd w:w="0" w:type="dxa"/>
        <w:tblLayout w:type="fixed"/>
        <w:tblCellMar>
          <w:top w:w="28" w:type="dxa"/>
          <w:left w:w="28" w:type="dxa"/>
          <w:bottom w:w="28" w:type="dxa"/>
          <w:right w:w="28" w:type="dxa"/>
        </w:tblCellMar>
      </w:tblPr>
      <w:tblGrid>
        <w:gridCol w:w="1582"/>
        <w:gridCol w:w="1386"/>
        <w:gridCol w:w="1396"/>
        <w:gridCol w:w="262"/>
        <w:gridCol w:w="219"/>
        <w:gridCol w:w="527"/>
        <w:gridCol w:w="200"/>
        <w:gridCol w:w="200"/>
        <w:gridCol w:w="200"/>
        <w:gridCol w:w="262"/>
        <w:gridCol w:w="219"/>
        <w:gridCol w:w="527"/>
        <w:gridCol w:w="109"/>
        <w:gridCol w:w="109"/>
        <w:gridCol w:w="109"/>
        <w:gridCol w:w="240"/>
        <w:gridCol w:w="241"/>
        <w:gridCol w:w="475"/>
        <w:gridCol w:w="181"/>
        <w:gridCol w:w="181"/>
        <w:gridCol w:w="181"/>
        <w:gridCol w:w="240"/>
        <w:gridCol w:w="241"/>
        <w:gridCol w:w="550"/>
      </w:tblGrid>
      <w:tr>
        <w:trPr/>
        <w:tc>
          <w:tcPr>
            <w:tcW w:w="15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4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2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5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12" w:before="0" w:after="180"/>
        <w:jc w:val="left"/>
        <w:rPr/>
      </w:pPr>
      <w:r>
        <w:rPr>
          <w:rFonts w:ascii="Arial;sans-serif" w:hAnsi="Arial;sans-serif"/>
          <w:b/>
          <w:i/>
          <w:color w:val="000000"/>
          <w:sz w:val="20"/>
        </w:rPr>
        <w:t>Revenues</w:t>
      </w:r>
      <w:r>
        <w:rPr>
          <w:color w:val="000000"/>
        </w:rPr>
        <w:t xml:space="preserv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Revenues increased by $46.2 million, or 18% to $298.5 million during the three months ended June 30, 2026, from revenues of $252.3 million during the three months ended June 30, 2025. Revenues increased by $107.4 million, or 22%, to $590.4 million during the six months ended June 30, 2026, from revenues of $483.0 million during the six months ended June 30, 2025.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provides the changes in revenues by product type:</w:t>
      </w:r>
    </w:p>
    <w:tbl>
      <w:tblPr>
        <w:tblW w:w="10205" w:type="dxa"/>
        <w:jc w:val="left"/>
        <w:tblInd w:w="0" w:type="dxa"/>
        <w:tblLayout w:type="fixed"/>
        <w:tblCellMar>
          <w:top w:w="28" w:type="dxa"/>
          <w:left w:w="28" w:type="dxa"/>
          <w:bottom w:w="28" w:type="dxa"/>
          <w:right w:w="28" w:type="dxa"/>
        </w:tblCellMar>
      </w:tblPr>
      <w:tblGrid>
        <w:gridCol w:w="488"/>
        <w:gridCol w:w="389"/>
        <w:gridCol w:w="346"/>
        <w:gridCol w:w="273"/>
        <w:gridCol w:w="273"/>
        <w:gridCol w:w="240"/>
        <w:gridCol w:w="133"/>
        <w:gridCol w:w="133"/>
        <w:gridCol w:w="133"/>
        <w:gridCol w:w="273"/>
        <w:gridCol w:w="273"/>
        <w:gridCol w:w="240"/>
        <w:gridCol w:w="109"/>
        <w:gridCol w:w="109"/>
        <w:gridCol w:w="109"/>
        <w:gridCol w:w="240"/>
        <w:gridCol w:w="240"/>
        <w:gridCol w:w="241"/>
        <w:gridCol w:w="109"/>
        <w:gridCol w:w="109"/>
        <w:gridCol w:w="109"/>
        <w:gridCol w:w="305"/>
        <w:gridCol w:w="305"/>
        <w:gridCol w:w="306"/>
        <w:gridCol w:w="109"/>
        <w:gridCol w:w="109"/>
        <w:gridCol w:w="109"/>
        <w:gridCol w:w="415"/>
        <w:gridCol w:w="192"/>
        <w:gridCol w:w="193"/>
        <w:gridCol w:w="130"/>
        <w:gridCol w:w="130"/>
        <w:gridCol w:w="130"/>
        <w:gridCol w:w="415"/>
        <w:gridCol w:w="192"/>
        <w:gridCol w:w="193"/>
        <w:gridCol w:w="109"/>
        <w:gridCol w:w="109"/>
        <w:gridCol w:w="109"/>
        <w:gridCol w:w="259"/>
        <w:gridCol w:w="259"/>
        <w:gridCol w:w="263"/>
        <w:gridCol w:w="109"/>
        <w:gridCol w:w="109"/>
        <w:gridCol w:w="109"/>
        <w:gridCol w:w="281"/>
        <w:gridCol w:w="281"/>
        <w:gridCol w:w="406"/>
      </w:tblGrid>
      <w:tr>
        <w:trPr/>
        <w:tc>
          <w:tcPr>
            <w:tcW w:w="4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2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Subscription</w:t>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$258,035</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$210,678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$47,357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$508,943</w:t>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$401,665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$107,278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7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21,052</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20,603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41,666</w:t>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38,485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3,181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Duolingo English Test</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10,109</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21,426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r>
      <w:tr>
        <w:trPr/>
        <w:tc>
          <w:tcPr>
            <w:tcW w:w="12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In-App Purchases</w:t>
            </w:r>
          </w:p>
        </w:tc>
        <w:tc>
          <w:tcPr>
            <w:tcW w:w="7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8,002</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10,390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16,448</w:t>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19,832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(3,384)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1,938</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&gt;100</w:t>
            </w:r>
          </w:p>
        </w:tc>
      </w:tr>
      <w:tr>
        <w:trPr/>
        <w:tc>
          <w:tcPr>
            <w:tcW w:w="122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w:t>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$40,419</w:t>
            </w:r>
          </w:p>
        </w:tc>
        <w:tc>
          <w:tcPr>
            <w:tcW w:w="3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$41,587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$(1,168)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$81,478</w:t>
            </w:r>
          </w:p>
        </w:tc>
        <w:tc>
          <w:tcPr>
            <w:tcW w:w="3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$81,343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6"/>
              </w:rPr>
              <w:t>%</w:t>
            </w:r>
          </w:p>
        </w:tc>
      </w:tr>
      <w:tr>
        <w:trPr/>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revenues</w:t>
            </w:r>
          </w:p>
        </w:tc>
        <w:tc>
          <w:tcPr>
            <w:tcW w:w="7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$298,454</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$252,265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$590,421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$483,008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main drivers of the increases were: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Subscription revenue increased $47.4 million, or 22%, to $258.0 million during the three months ended June 30, 2026, and subscription revenue increased $107.3 million, or 27%, to $508.9 million during the six months ended June 30, 2026, primarily due to growth in the average number of paid subscribers, and to a lesser extent, an increase in average revenue per user.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Other revenue decreased $1.2 million, or 3%, to $40.4 million during the three months ended June 30, 2026, and other revenue increased $0.1 million to $81.5 million during the six months ended June 30, 2026. The decrease in the three months ended June 30, 2026 was primarily due to decreased IAP revenue. The increase in the six months ended June 30, 2026 was primarily driven by higher advertising revenue and, to a lesser extent, higher revenue from partnerships, partially offset by lower IAP revenue.</w:t>
      </w:r>
    </w:p>
    <w:p>
      <w:pPr>
        <w:pStyle w:val="TextBody"/>
        <w:bidi w:val="0"/>
        <w:spacing w:before="0" w:after="0"/>
        <w:ind w:left="0" w:right="0" w:hanging="360"/>
        <w:jc w:val="left"/>
        <w:rPr/>
      </w:pPr>
      <w:r>
        <w:rPr/>
      </w:r>
    </w:p>
    <w:p>
      <w:pPr>
        <w:pStyle w:val="TextBody"/>
        <w:bidi w:val="0"/>
        <w:spacing w:lineRule="auto" w:line="312" w:before="0" w:after="180"/>
        <w:jc w:val="left"/>
        <w:rPr/>
      </w:pPr>
      <w:r>
        <w:rPr>
          <w:rFonts w:ascii="Arial;sans-serif" w:hAnsi="Arial;sans-serif"/>
          <w:b/>
          <w:color w:val="000000"/>
          <w:sz w:val="20"/>
        </w:rPr>
        <w:t>Cost of Revenues and Gross Margin.</w:t>
      </w:r>
      <w:r>
        <w:rPr>
          <w:color w:val="000000"/>
        </w:rPr>
        <w:t xml:space="preserve"> </w:t>
      </w:r>
      <w:r>
        <w:rPr>
          <w:rFonts w:ascii="Arial;sans-serif" w:hAnsi="Arial;sans-serif"/>
          <w:b w:val="false"/>
          <w:color w:val="000000"/>
          <w:sz w:val="20"/>
        </w:rPr>
        <w:t>Total gross margin increased to 72.6% from 72.4% during the three months ended June 30, 2026 and 2025, and total gross margin increased to 72.8% from 71.8% during the six months ended June 30, 2026 and 2025. The increase was primarily attributable to an increase in subscription gross margin, reflecting continued reductions in per-unit third-party AI costs.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provides the change in cost of revenues, along with related gross margins:</w:t>
      </w:r>
    </w:p>
    <w:tbl>
      <w:tblPr>
        <w:tblW w:w="12770" w:type="dxa"/>
        <w:jc w:val="left"/>
        <w:tblInd w:w="0" w:type="dxa"/>
        <w:tblLayout w:type="fixed"/>
        <w:tblCellMar>
          <w:top w:w="28" w:type="dxa"/>
          <w:left w:w="28" w:type="dxa"/>
          <w:bottom w:w="28" w:type="dxa"/>
          <w:right w:w="28" w:type="dxa"/>
        </w:tblCellMar>
      </w:tblPr>
      <w:tblGrid>
        <w:gridCol w:w="294"/>
        <w:gridCol w:w="258"/>
        <w:gridCol w:w="259"/>
        <w:gridCol w:w="196"/>
        <w:gridCol w:w="646"/>
        <w:gridCol w:w="109"/>
        <w:gridCol w:w="109"/>
        <w:gridCol w:w="109"/>
        <w:gridCol w:w="109"/>
        <w:gridCol w:w="233"/>
        <w:gridCol w:w="233"/>
        <w:gridCol w:w="293"/>
        <w:gridCol w:w="109"/>
        <w:gridCol w:w="109"/>
        <w:gridCol w:w="109"/>
        <w:gridCol w:w="196"/>
        <w:gridCol w:w="646"/>
        <w:gridCol w:w="109"/>
        <w:gridCol w:w="109"/>
        <w:gridCol w:w="109"/>
        <w:gridCol w:w="109"/>
        <w:gridCol w:w="233"/>
        <w:gridCol w:w="233"/>
        <w:gridCol w:w="293"/>
        <w:gridCol w:w="196"/>
        <w:gridCol w:w="646"/>
        <w:gridCol w:w="109"/>
        <w:gridCol w:w="223"/>
        <w:gridCol w:w="153"/>
        <w:gridCol w:w="293"/>
        <w:gridCol w:w="196"/>
        <w:gridCol w:w="736"/>
        <w:gridCol w:w="109"/>
        <w:gridCol w:w="109"/>
        <w:gridCol w:w="109"/>
        <w:gridCol w:w="109"/>
        <w:gridCol w:w="233"/>
        <w:gridCol w:w="233"/>
        <w:gridCol w:w="293"/>
        <w:gridCol w:w="109"/>
        <w:gridCol w:w="109"/>
        <w:gridCol w:w="109"/>
        <w:gridCol w:w="196"/>
        <w:gridCol w:w="736"/>
        <w:gridCol w:w="109"/>
        <w:gridCol w:w="109"/>
        <w:gridCol w:w="109"/>
        <w:gridCol w:w="109"/>
        <w:gridCol w:w="233"/>
        <w:gridCol w:w="233"/>
        <w:gridCol w:w="293"/>
        <w:gridCol w:w="196"/>
        <w:gridCol w:w="646"/>
        <w:gridCol w:w="109"/>
        <w:gridCol w:w="118"/>
        <w:gridCol w:w="118"/>
        <w:gridCol w:w="17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6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21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 except 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4"/>
              </w:rPr>
            </w:pPr>
            <w:r>
              <w:rPr>
                <w:rFonts w:ascii="Arial;sans-serif" w:hAnsi="Arial;sans-serif"/>
                <w:b/>
                <w:color w:val="000000"/>
                <w:sz w:val="14"/>
              </w:rPr>
              <w:t>Gross Margin</w:t>
            </w:r>
          </w:p>
        </w:tc>
      </w:tr>
      <w:tr>
        <w:trPr/>
        <w:tc>
          <w:tcPr>
            <w:tcW w:w="81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81,714 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72.6 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69,684 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160,585 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136,331 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71.8 </w:t>
            </w:r>
          </w:p>
        </w:tc>
        <w:tc>
          <w:tcPr>
            <w:tcW w:w="2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r>
    </w:tbl>
    <w:p>
      <w:pPr>
        <w:pStyle w:val="TextBody"/>
        <w:bidi w:val="0"/>
        <w:spacing w:lineRule="auto" w:line="288" w:before="0" w:after="180"/>
        <w:jc w:val="left"/>
        <w:rPr>
          <w:rFonts w:ascii="Arial;sans-serif" w:hAnsi="Arial;sans-serif"/>
          <w:b/>
          <w:color w:val="000000"/>
          <w:sz w:val="20"/>
        </w:rPr>
      </w:pPr>
      <w:bookmarkStart w:id="32" w:name="i8967b99d11ed4cb5b741bdefc530d953"/>
      <w:bookmarkEnd w:id="32"/>
      <w:r>
        <w:rPr>
          <w:rFonts w:ascii="Arial;sans-serif" w:hAnsi="Arial;sans-serif"/>
          <w:b/>
          <w:color w:val="000000"/>
          <w:sz w:val="20"/>
        </w:rPr>
        <w:t>Operating Expenses</w:t>
      </w:r>
    </w:p>
    <w:p>
      <w:pPr>
        <w:pStyle w:val="TextBody"/>
        <w:bidi w:val="0"/>
        <w:spacing w:lineRule="auto" w:line="312" w:before="0" w:after="180"/>
        <w:jc w:val="left"/>
        <w:rPr/>
      </w:pPr>
      <w:r>
        <w:rPr>
          <w:rFonts w:ascii="Arial;sans-serif" w:hAnsi="Arial;sans-serif"/>
          <w:b/>
          <w:i/>
          <w:color w:val="000000"/>
          <w:sz w:val="20"/>
        </w:rPr>
        <w:t>Research and Development.</w:t>
      </w:r>
      <w:r>
        <w:rPr>
          <w:color w:val="000000"/>
        </w:rPr>
        <w:t xml:space="preserve"> </w:t>
      </w:r>
      <w:r>
        <w:rPr>
          <w:rFonts w:ascii="Arial;sans-serif" w:hAnsi="Arial;sans-serif"/>
          <w:b w:val="false"/>
          <w:color w:val="000000"/>
          <w:sz w:val="20"/>
        </w:rPr>
        <w:t>Research and development expense increased by $18.5 million, or 25%, to $92.2 million during the three months ended June 30, 2026 from $73.7 million during the three months ended June 30, 2025. The increase was primarily due to higher net personnel costs of $13.8 million, driven primarily by growth in headcount, including increased stock-based compensation expenses related to equity awards of $5.0 million, and increased software and third-party AI costs of $3.3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Research and development expense increased by $31.1 million, or 22%, to $175.2 million during the six months ended June 30, 2026 from $144.1 million during the six months ended June 30, 2025. The increase was primarily due to higher net personnel costs of $23.6 million, driven primarily by the growth in headcount, including increased stock-based compensation expenses related to equity awards of $8.9 million, and increased software and third-party AI costs of $5.5 million.</w:t>
      </w:r>
    </w:p>
    <w:p>
      <w:pPr>
        <w:pStyle w:val="TextBody"/>
        <w:bidi w:val="0"/>
        <w:spacing w:lineRule="auto" w:line="312" w:before="0" w:after="180"/>
        <w:jc w:val="left"/>
        <w:rPr/>
      </w:pPr>
      <w:r>
        <w:rPr>
          <w:rFonts w:ascii="Arial;sans-serif" w:hAnsi="Arial;sans-serif"/>
          <w:b/>
          <w:i/>
          <w:color w:val="000000"/>
          <w:sz w:val="20"/>
        </w:rPr>
        <w:t xml:space="preserve">Sales and Marketing. </w:t>
      </w:r>
      <w:r>
        <w:rPr>
          <w:rFonts w:ascii="Arial;sans-serif" w:hAnsi="Arial;sans-serif"/>
          <w:b w:val="false"/>
          <w:color w:val="000000"/>
          <w:sz w:val="20"/>
        </w:rPr>
        <w:t>Sales and marketing expense increased by $10.4 million, or 35%, to $40.0 million during the three months ended June 30, 2026 from $29.6 million during the three months ended June 30, 2025. This increase was mainly due to increased advertising costs of $8.6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Sales and marketing expense increased by $23.0 million, or 41%, to $79.3 million during the six months ended June 30, 2026 from $56.2 million during the six months ended June 30, 2025. This increase was mainly due to increased advertising costs of $19.2 million.</w:t>
      </w:r>
    </w:p>
    <w:p>
      <w:pPr>
        <w:pStyle w:val="TextBody"/>
        <w:bidi w:val="0"/>
        <w:spacing w:lineRule="auto" w:line="312" w:before="0" w:after="180"/>
        <w:jc w:val="left"/>
        <w:rPr/>
      </w:pPr>
      <w:r>
        <w:rPr>
          <w:rFonts w:ascii="Arial;sans-serif" w:hAnsi="Arial;sans-serif"/>
          <w:b/>
          <w:i/>
          <w:color w:val="000000"/>
          <w:sz w:val="20"/>
        </w:rPr>
        <w:t>General and Administrative.</w:t>
      </w:r>
      <w:r>
        <w:rPr>
          <w:color w:val="000000"/>
        </w:rPr>
        <w:t xml:space="preserve"> </w:t>
      </w:r>
      <w:r>
        <w:rPr>
          <w:rFonts w:ascii="Arial;sans-serif" w:hAnsi="Arial;sans-serif"/>
          <w:b w:val="false"/>
          <w:color w:val="000000"/>
          <w:sz w:val="20"/>
        </w:rPr>
        <w:t>General and administrative expense increased by $4.6 million, or 10%, to $50.6 million during the three months ended June 30, 2026, from $46.0 million during the three months ended June 30, 2025. This increase was primarily due to higher legal and accounting fees of $5.4 million and higher facilities and office expenses of $1.2 million, partially offset by a $3.7 million decrease in personnel costs. The decrease in personnel costs was primarily due to a $3.2 million decrease in stock-based compensation expense, including the impact of a PSU award modification described within Part I, Item 1 Financial Statements – Note 8, “Stockholders’ Equity”, and lower employer taxes related to stock-based compensation, partially offset by higher gross wages resulting from increased average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General and administrative expense increased by $7.5 million, or 8%, to $96.9 million during the six months ended June 30, 2026, from $89.4 million during the six months ended June 30, 2025. This increase was primarily due to higher legal and accounting fees of $5.8 million, higher facilities and office expenses of $4.0 million, partially offset by a decrease in personnel costs of $4.8 million. The decrease in personnel costs was driven by the same factors described above for the three-month period, including lower stock-based compensation expense and employer taxes related to stock-based compensation, partially offset by higher gross wages resulting from increased average headcount.</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Interest Income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Interest income increased by $0.4 million, or 4%, to $11.8 million during the three months ended June 30, 2026 from $11.4 million during the three months ended June 30, 2025. Interest income increased by $1.8 million, or 8%, to $23.6 million during the six months ended June 30, 2026, from $21.8 million during the six months ended June 30, 2025. Both period increases were due to higher average interest-bearing balances partially offset by lower interest rates.</w:t>
      </w:r>
    </w:p>
    <w:p>
      <w:pPr>
        <w:pStyle w:val="TextBody"/>
        <w:bidi w:val="0"/>
        <w:spacing w:lineRule="auto" w:line="288" w:before="0" w:after="180"/>
        <w:jc w:val="left"/>
        <w:rPr>
          <w:rFonts w:ascii="Arial;sans-serif" w:hAnsi="Arial;sans-serif"/>
          <w:b/>
          <w:color w:val="000000"/>
          <w:sz w:val="20"/>
        </w:rPr>
      </w:pPr>
      <w:bookmarkStart w:id="33" w:name="i3ebc1d27fa8946bc9be9013331370476"/>
      <w:bookmarkEnd w:id="33"/>
      <w:r>
        <w:rPr>
          <w:rFonts w:ascii="Arial;sans-serif" w:hAnsi="Arial;sans-serif"/>
          <w:b/>
          <w:color w:val="000000"/>
          <w:sz w:val="20"/>
        </w:rPr>
        <w:t>Other (expense) income,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Other (expense) income, net was $0.4 million of expense during the three months ended June 30, 2026 and $1.7 million of income during the three months ended June 30, 2025, respectively, and $1.2 million of expense during the six months ended June 30, 2026 and $2.7 million of income during the six months ended June 30, 2025. The fluctuations were mainly from the impact from changes in foreign currency rates compared to prior periods.</w:t>
      </w:r>
    </w:p>
    <w:p>
      <w:pPr>
        <w:pStyle w:val="TextBody"/>
        <w:bidi w:val="0"/>
        <w:spacing w:lineRule="auto" w:line="288" w:before="0" w:after="180"/>
        <w:jc w:val="left"/>
        <w:rPr>
          <w:rFonts w:ascii="Arial;sans-serif" w:hAnsi="Arial;sans-serif"/>
          <w:b/>
          <w:color w:val="000000"/>
          <w:sz w:val="20"/>
        </w:rPr>
      </w:pPr>
      <w:bookmarkStart w:id="34" w:name="ib7a9ed3779eb4a1295320de00d24eceb"/>
      <w:bookmarkEnd w:id="34"/>
      <w:r>
        <w:rPr>
          <w:rFonts w:ascii="Arial;sans-serif" w:hAnsi="Arial;sans-serif"/>
          <w:b/>
          <w:color w:val="000000"/>
          <w:sz w:val="20"/>
        </w:rPr>
        <w:t>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income tax provision was $12.2 million and $24.3 million during the three and six months ended June 30, 2026, respectively, and $1.7 million and $1.5 million during the three and six months ended June 30, 2025, respectively. This increase was primarily due to discrete tax expense related to stock-based compensation activity in the current period compared to benefits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35" w:name="ide2a72cfdcf647ff9794deab323aadd5"/>
      <w:bookmarkEnd w:id="35"/>
      <w:r>
        <w:rPr>
          <w:rFonts w:ascii="Arial;sans-serif" w:hAnsi="Arial;sans-serif"/>
          <w:b/>
          <w:color w:val="000000"/>
          <w:sz w:val="20"/>
        </w:rPr>
        <w:t>Liquidity and Capital Resources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finance our operations primarily through revenues and the net proceeds we have received from the issuance of equity.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2026, we had $1,181 million in cash and cash equivalents and $133 million of short-term investments. Our cash and cash equivalents primarily consist of bank deposits and money market funds. Our short-term investments consist mainly of corporate debt securities, U.S. Treasury securities and commercial paper.</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believe that our existing cash and cash equivalents, short-term investments and cash flow from operations will be sufficient to support working capital and capital expenditure requirements, and any future share repurchases, for at least the next 12 months. Our future capital requirements will depend on many factors, including our subscription growth rate and renewal activity, the timing of cash received from our payment processing platforms, the expansion and efficacy of our sales and marketing investments, the research and development investment related to the introduction of new products and the enhancements to existing products, and the current uncertainty in the global markets impacting, for example, consumer spending, inflation and foreign currency exchange rates. If we cannot meet our future capital requirements, we may be required to seek additional liquidity. If we are unable to raise additional capital or generate cash flows necessary to expand our operations and invest in continued innovation, we may not be able to compete successfully, which would harm our business and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 February 2026, Duolingo’s Board of Directors authorized a share repurchase program of up to $400 million. Repurchases under the program may be made from time to time in the open market or through privately negotiated transactions, pursuant to Rule 10b5-1 trading plans or other available means, each in compliance with Rule 10b-18 under the Exchange Act. The actual timing, number and value of shares repurchased is subject to various factors such as market conditions, the Company’s capital and liquidity positions, contractual requirements and other considerations. The timing and amount of any repurchases will be determined at the Company’s discretion, and the program does not obligate the Company to acquire any particular amount of shares. The program has no expiration date and may be terminated, modified or discontinued at any time.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During the six months ended June 30, 2026, the Company repurchased a total of 694,630 shares of the Company’s Class A common stock through open market purchases at an average per share price of $101.15 for a total of $70.3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substantial source of our cash from operations comes from deferred revenue, which is included in the liabilities section of our Unaudited Condensed Consolidated Balance Sheet. Deferred revenues consist of the unearned portion of customer billings, primarily related to subscription offerings, which is recognized as revenue in accordance with our revenue recognition policy. As of June 30, 2026, we had deferred revenues of $505.1 million, which is recorded as a current liability and expected to be recognized as revenue in the next 12 months, provided all other revenue recognition criteria have been met.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w:t>
      </w:r>
    </w:p>
    <w:tbl>
      <w:tblPr>
        <w:tblW w:w="7944" w:type="dxa"/>
        <w:jc w:val="left"/>
        <w:tblInd w:w="0" w:type="dxa"/>
        <w:tblLayout w:type="fixed"/>
        <w:tblCellMar>
          <w:top w:w="28" w:type="dxa"/>
          <w:left w:w="28" w:type="dxa"/>
          <w:bottom w:w="28" w:type="dxa"/>
          <w:right w:w="28" w:type="dxa"/>
        </w:tblCellMar>
      </w:tblPr>
      <w:tblGrid>
        <w:gridCol w:w="1887"/>
        <w:gridCol w:w="1664"/>
        <w:gridCol w:w="1669"/>
        <w:gridCol w:w="211"/>
        <w:gridCol w:w="856"/>
        <w:gridCol w:w="109"/>
        <w:gridCol w:w="109"/>
        <w:gridCol w:w="109"/>
        <w:gridCol w:w="109"/>
        <w:gridCol w:w="211"/>
        <w:gridCol w:w="85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196,306 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provided by financing activities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bookmarkStart w:id="36" w:name="i849350674c6a450ba41ca4a9b43d935d"/>
      <w:bookmarkEnd w:id="36"/>
      <w:r>
        <w:rPr>
          <w:rFonts w:ascii="Arial;sans-serif" w:hAnsi="Arial;sans-serif"/>
          <w:b/>
          <w:i/>
          <w:color w:val="000000"/>
          <w:sz w:val="20"/>
        </w:rPr>
        <w:t>Operating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Cash provided by operating activities increased by $42.7 million, or 22%, to $239.0 million for the six months ended June 30, 2026 from $196.3 million for the six months ended June 30, 2025. This increase was primarily driven by higher operating income and changes in working capital.</w:t>
      </w:r>
    </w:p>
    <w:p>
      <w:pPr>
        <w:pStyle w:val="TextBody"/>
        <w:bidi w:val="0"/>
        <w:spacing w:lineRule="auto" w:line="288" w:before="0" w:after="180"/>
        <w:jc w:val="left"/>
        <w:rPr>
          <w:rFonts w:ascii="Arial;sans-serif" w:hAnsi="Arial;sans-serif"/>
          <w:b/>
          <w:i/>
          <w:color w:val="000000"/>
          <w:sz w:val="20"/>
        </w:rPr>
      </w:pPr>
      <w:bookmarkStart w:id="37" w:name="ie1ee6d6a3dea491d9338e1cbde29309b"/>
      <w:bookmarkEnd w:id="37"/>
      <w:r>
        <w:rPr>
          <w:rFonts w:ascii="Arial;sans-serif" w:hAnsi="Arial;sans-serif"/>
          <w:b/>
          <w:i/>
          <w:color w:val="000000"/>
          <w:sz w:val="20"/>
        </w:rPr>
        <w:t>Investing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Cash used for investing activities decreased by $4.4 million to $8.5 million for the six months ended June 30, 2026, from $12.8 million for the six months ended June 30, 2025. This decrease was primarily due to higher net maturities of investments of $10.0 million during the six months ended June 30, 2026, partially offset by a $5.6 million increase in capital expenditures.</w:t>
      </w:r>
    </w:p>
    <w:p>
      <w:pPr>
        <w:pStyle w:val="TextBody"/>
        <w:bidi w:val="0"/>
        <w:spacing w:lineRule="auto" w:line="288" w:before="0" w:after="180"/>
        <w:jc w:val="left"/>
        <w:rPr>
          <w:rFonts w:ascii="Arial;sans-serif" w:hAnsi="Arial;sans-serif"/>
          <w:b/>
          <w:i/>
          <w:color w:val="000000"/>
          <w:sz w:val="20"/>
        </w:rPr>
      </w:pPr>
      <w:bookmarkStart w:id="38" w:name="i334da30d2a0645eeb7ac69c4295a0a67"/>
      <w:bookmarkEnd w:id="38"/>
      <w:r>
        <w:rPr>
          <w:rFonts w:ascii="Arial;sans-serif" w:hAnsi="Arial;sans-serif"/>
          <w:b/>
          <w:i/>
          <w:color w:val="000000"/>
          <w:sz w:val="20"/>
        </w:rPr>
        <w:t>Financing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Cash used for financing activities for the six months ended June 30, 2026 was due to repurchases of common stock of $69.6 million in addition to taxes paid on the net-share settlements of share-based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compensation awards of $18.8 million. These amounts were partially offset by proceeds from exercises of stock options of $2.3 million. Cash provided by financing activities for the six months ended June 30, 2025 was due to proceeds from exercises of stock options of $7.0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39" w:name="i6561e2ed39f045da801d935f63d04efc"/>
      <w:bookmarkEnd w:id="39"/>
      <w:r>
        <w:rPr>
          <w:rFonts w:ascii="Arial;sans-serif" w:hAnsi="Arial;sans-serif"/>
          <w:b/>
          <w:color w:val="000000"/>
          <w:sz w:val="20"/>
        </w:rPr>
        <w:t>Critical Accounting Estimates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Unaudited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compared to those described in “Management’s Discussion and Analysis of Financial Condition and Results of Operations” set forth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40" w:name="i149be6b1dee244868e72cd5dca57858f"/>
      <w:bookmarkEnd w:id="40"/>
      <w:r>
        <w:rPr>
          <w:rFonts w:ascii="Arial;sans-serif" w:hAnsi="Arial;sans-serif"/>
          <w:b/>
          <w:color w:val="000000"/>
          <w:sz w:val="20"/>
        </w:rPr>
        <w:t>Recent Accounting Pronouncements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See Note 1, “Description of the Business and Basis of Presentation,” and Note 2, “Summary of Significant Accounting Policies,” in the notes to our Unaudited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1" w:name="i779d98f89be040619209290136fc17f8"/>
      <w:bookmarkEnd w:id="41"/>
      <w:r>
        <w:rPr>
          <w:rFonts w:ascii="Arial;sans-serif" w:hAnsi="Arial;sans-serif"/>
          <w:b/>
          <w:color w:val="000000"/>
          <w:sz w:val="20"/>
        </w:rPr>
        <w:t>Item 3. Quantitative and Qualitative Disclosures About Market Risk</w:t>
      </w:r>
    </w:p>
    <w:p>
      <w:pPr>
        <w:pStyle w:val="TextBody"/>
        <w:bidi w:val="0"/>
        <w:spacing w:lineRule="auto" w:line="288" w:before="0" w:after="180"/>
        <w:jc w:val="left"/>
        <w:rPr>
          <w:rFonts w:ascii="Arial;sans-serif" w:hAnsi="Arial;sans-serif"/>
          <w:b/>
          <w:i/>
          <w:color w:val="000000"/>
          <w:sz w:val="20"/>
        </w:rPr>
      </w:pPr>
      <w:bookmarkStart w:id="42" w:name="iebb14e3b54a841adab53c8b1f6f6d3ec"/>
      <w:bookmarkEnd w:id="42"/>
      <w:r>
        <w:rPr>
          <w:rFonts w:ascii="Arial;sans-serif" w:hAnsi="Arial;sans-serif"/>
          <w:b/>
          <w:i/>
          <w:color w:val="000000"/>
          <w:sz w:val="20"/>
        </w:rPr>
        <w:t>Interest Rate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June 30, 2026, we had $996.0 million of cash equivalents invested in money market funds and $235.7 million of investments mainly in corporate debt securities, U.S. Treasury securities, asset-backed securities and commercial paper.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June 30, 2026, a hypothetical 10% relative change in interest rates would not have a material impact on our Unaudited Condensed Consolidated Financial Statements.</w:t>
      </w:r>
    </w:p>
    <w:p>
      <w:pPr>
        <w:pStyle w:val="TextBody"/>
        <w:bidi w:val="0"/>
        <w:spacing w:lineRule="auto" w:line="288" w:before="0" w:after="180"/>
        <w:jc w:val="left"/>
        <w:rPr>
          <w:rFonts w:ascii="Arial;sans-serif" w:hAnsi="Arial;sans-serif"/>
          <w:b/>
          <w:i/>
          <w:color w:val="000000"/>
          <w:sz w:val="20"/>
        </w:rPr>
      </w:pPr>
      <w:bookmarkStart w:id="43" w:name="ie5d4acb3af834a598d076dc888fc7dad"/>
      <w:bookmarkEnd w:id="43"/>
      <w:r>
        <w:rPr>
          <w:rFonts w:ascii="Arial;sans-serif" w:hAnsi="Arial;sans-serif"/>
          <w:b/>
          <w:i/>
          <w:color w:val="000000"/>
          <w:sz w:val="20"/>
        </w:rPr>
        <w:t>Foreign Currency Exchange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U.S., China, the United Kingdom and Germany.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although we may choose to do so in the future. A hypothetical 10% increase or decrease in the relative value of the U.S. dollar to other currencies would not have a material effect on our operating results.</w:t>
      </w:r>
    </w:p>
    <w:p>
      <w:pPr>
        <w:pStyle w:val="TextBody"/>
        <w:bidi w:val="0"/>
        <w:spacing w:lineRule="auto" w:line="288" w:before="0" w:after="180"/>
        <w:jc w:val="left"/>
        <w:rPr>
          <w:rFonts w:ascii="Arial;sans-serif" w:hAnsi="Arial;sans-serif"/>
          <w:b/>
          <w:i/>
          <w:color w:val="000000"/>
          <w:sz w:val="20"/>
        </w:rPr>
      </w:pPr>
      <w:bookmarkStart w:id="44" w:name="ic56b1f4b3a2b4c7290f92a1b1e3fcea2"/>
      <w:bookmarkEnd w:id="44"/>
      <w:r>
        <w:rPr>
          <w:rFonts w:ascii="Arial;sans-serif" w:hAnsi="Arial;sans-serif"/>
          <w:b/>
          <w:i/>
          <w:color w:val="000000"/>
          <w:sz w:val="20"/>
        </w:rPr>
        <w:t>Inflation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we may not be able to fully offset such higher costs through price increases. Our inability or failure to do so could harm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5" w:name="i589cf93637cd4074ae6970c8357fec18"/>
      <w:bookmarkEnd w:id="45"/>
      <w:r>
        <w:rPr>
          <w:rFonts w:ascii="Arial;sans-serif" w:hAnsi="Arial;sans-serif"/>
          <w:b/>
          <w:color w:val="000000"/>
          <w:sz w:val="20"/>
        </w:rPr>
        <w:t>Item 4. Controls and Procedures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Limitations on Effectiveness of Controls and Procedures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lineRule="auto" w:line="288" w:before="0" w:after="180"/>
        <w:jc w:val="left"/>
        <w:rPr>
          <w:rFonts w:ascii="Arial;sans-serif" w:hAnsi="Arial;sans-serif"/>
          <w:b/>
          <w:color w:val="000000"/>
          <w:sz w:val="20"/>
        </w:rPr>
      </w:pPr>
      <w:bookmarkStart w:id="46" w:name="ia521c19f50ee44d2b8899787c7ae8993"/>
      <w:bookmarkEnd w:id="46"/>
      <w:r>
        <w:rPr>
          <w:rFonts w:ascii="Arial;sans-serif" w:hAnsi="Arial;sans-serif"/>
          <w:b/>
          <w:color w:val="000000"/>
          <w:sz w:val="20"/>
        </w:rPr>
        <w:t>Evaluation of Disclosure Controls and Procedures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180"/>
        <w:jc w:val="left"/>
        <w:rPr>
          <w:rFonts w:ascii="Arial;sans-serif" w:hAnsi="Arial;sans-serif"/>
          <w:b/>
          <w:color w:val="000000"/>
          <w:sz w:val="20"/>
        </w:rPr>
      </w:pPr>
      <w:bookmarkStart w:id="47" w:name="i8e103444402e4693af734165d531698a"/>
      <w:bookmarkEnd w:id="47"/>
      <w:r>
        <w:rPr>
          <w:rFonts w:ascii="Arial;sans-serif" w:hAnsi="Arial;sans-serif"/>
          <w:b/>
          <w:color w:val="000000"/>
          <w:sz w:val="20"/>
        </w:rPr>
        <w:t>Changes in Internal Control Over Financial Reporting</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under the Exchange Act, during the three months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48" w:name="i19580954d250484eae3979d1e68b52b3"/>
      <w:bookmarkEnd w:id="48"/>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9" w:name="i1a261ef1281a40aaaaeaf9ee6202b898"/>
      <w:bookmarkEnd w:id="49"/>
      <w:r>
        <w:rPr>
          <w:rFonts w:ascii="Arial;sans-serif" w:hAnsi="Arial;sans-serif"/>
          <w:b/>
          <w:color w:val="000000"/>
          <w:sz w:val="20"/>
        </w:rPr>
        <w:t>Item 1. Legal Proceedings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From time to time we may be involved in claims and proceedings arising in the course of our business. The outcome of any such claims or proceedings, regardless of the merits, is inherently uncertain. We are not currently party to any material legal proceedings. For further information, please see Part I, Item 1 Financial Statements – Note 9, “Commitments and Contingencies,” which is incorporated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0" w:name="i9bda62ca70cf4ef39ba202760d29ada9"/>
      <w:bookmarkEnd w:id="50"/>
      <w:r>
        <w:rPr>
          <w:rFonts w:ascii="Arial;sans-serif" w:hAnsi="Arial;sans-serif"/>
          <w:b/>
          <w:color w:val="000000"/>
          <w:sz w:val="20"/>
        </w:rPr>
        <w:t>Item 1A. Risk Factors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Company's risk factors are described in Part I, Item 1A, "Risk Factors" of the Annual Report on Form 10-K. These factors could materially adversely affect our business, financial condition, and results of operations, and could cause our actual results to differ materially from our historical results or the results contemplated by any forward-looking statements contained in this Quarterly Report on Form 10-Q. There have been no material changes from the risk factors previously disclosed under the heading “Risk Factors” in the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1" w:name="i04ca480f02b84f00bda4f654561795db"/>
      <w:bookmarkEnd w:id="51"/>
      <w:r>
        <w:rPr>
          <w:rFonts w:ascii="Arial;sans-serif" w:hAnsi="Arial;sans-serif"/>
          <w:b/>
          <w:color w:val="000000"/>
          <w:sz w:val="20"/>
        </w:rPr>
        <w:t>Item 2. Unregistered Sales of Equity Securities and Use of Proceeds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summarizes our share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341"/>
        <w:gridCol w:w="281"/>
        <w:gridCol w:w="284"/>
        <w:gridCol w:w="697"/>
        <w:gridCol w:w="547"/>
        <w:gridCol w:w="549"/>
        <w:gridCol w:w="309"/>
        <w:gridCol w:w="1102"/>
        <w:gridCol w:w="159"/>
        <w:gridCol w:w="1042"/>
        <w:gridCol w:w="939"/>
        <w:gridCol w:w="941"/>
        <w:gridCol w:w="519"/>
        <w:gridCol w:w="2109"/>
        <w:gridCol w:w="386"/>
      </w:tblGrid>
      <w:tr>
        <w:trPr/>
        <w:tc>
          <w:tcPr>
            <w:tcW w:w="3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w:t>
            </w:r>
            <w:r>
              <w:rPr>
                <w:rFonts w:ascii="Arial;sans-serif" w:hAnsi="Arial;sans-serif"/>
                <w:b/>
                <w:color w:val="000000"/>
                <w:sz w:val="10"/>
              </w:rPr>
              <w:t>(1)</w:t>
            </w:r>
          </w:p>
        </w:tc>
        <w:tc>
          <w:tcPr>
            <w:tcW w:w="15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2"/>
              </w:rPr>
              <w:t>(2)</w:t>
            </w:r>
          </w:p>
        </w:tc>
        <w:tc>
          <w:tcPr>
            <w:tcW w:w="29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as Part of the Share Repurchase Program </w:t>
            </w:r>
            <w:r>
              <w:rPr>
                <w:rFonts w:ascii="Arial;sans-serif" w:hAnsi="Arial;sans-serif"/>
                <w:b/>
                <w:color w:val="000000"/>
                <w:sz w:val="10"/>
              </w:rPr>
              <w:t>(1)</w:t>
            </w:r>
          </w:p>
        </w:tc>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Approximate Dollar Value of Shares That May Yet Be Purchased Under the Plan</w:t>
            </w:r>
            <w:r>
              <w:rPr>
                <w:color w:val="000000"/>
              </w:rPr>
              <w:t xml:space="preserve"> </w:t>
            </w:r>
            <w:r>
              <w:rPr>
                <w:rFonts w:ascii="Arial;sans-serif" w:hAnsi="Arial;sans-serif"/>
                <w:b/>
                <w:color w:val="000000"/>
                <w:sz w:val="10"/>
              </w:rPr>
              <w:t>(1)</w:t>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r>
      <w:tr>
        <w:trPr/>
        <w:tc>
          <w:tcPr>
            <w:tcW w:w="9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1 - 30, 2026</w:t>
            </w:r>
          </w:p>
        </w:tc>
        <w:tc>
          <w:tcPr>
            <w:tcW w:w="12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245,286 </w:t>
            </w:r>
          </w:p>
        </w:tc>
        <w:tc>
          <w:tcPr>
            <w:tcW w:w="5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97.81 </w:t>
            </w:r>
          </w:p>
        </w:tc>
        <w:tc>
          <w:tcPr>
            <w:tcW w:w="15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245,286 </w:t>
            </w:r>
          </w:p>
        </w:tc>
        <w:tc>
          <w:tcPr>
            <w:tcW w:w="9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350,173 </w:t>
            </w:r>
          </w:p>
        </w:tc>
        <w:tc>
          <w:tcPr>
            <w:tcW w:w="3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1 - 31, 2026</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142,465 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142,465 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334,725 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1 - 30, 2026</w:t>
            </w:r>
          </w:p>
        </w:tc>
        <w:tc>
          <w:tcPr>
            <w:tcW w:w="124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44,555 </w:t>
            </w:r>
          </w:p>
        </w:tc>
        <w:tc>
          <w:tcPr>
            <w:tcW w:w="54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2"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112.27 </w:t>
            </w:r>
          </w:p>
        </w:tc>
        <w:tc>
          <w:tcPr>
            <w:tcW w:w="15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44,555 </w:t>
            </w:r>
          </w:p>
        </w:tc>
        <w:tc>
          <w:tcPr>
            <w:tcW w:w="9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329,722 </w:t>
            </w:r>
          </w:p>
        </w:tc>
        <w:tc>
          <w:tcPr>
            <w:tcW w:w="38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432,306 </w:t>
            </w:r>
          </w:p>
        </w:tc>
        <w:tc>
          <w:tcPr>
            <w:tcW w:w="5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432,306 </w:t>
            </w:r>
          </w:p>
        </w:tc>
        <w:tc>
          <w:tcPr>
            <w:tcW w:w="9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In February 2026, Duolingo’s Board of Directors authorized a share repurchase program of up to $400 million. Repurchases under the program may be made from time to time in the open market or through privately negotiated transactions, pursuant to Rule 10b5-1 trading plans or other available means, each in compliance with Rule 10b-18 under the Exchange Act. The actual timing, number and value of shares repurchased is subject to various factors such as market conditions, our capital and liquidity positions, contractual requirements and other considerations. The timing and amount of any repurchases will be determined at our discretion, and the program does not obligate us to acquire any particular amount of shares. The program has no expiration date and may be terminated, modified or discontinued at any time.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Average price paid per share excludes broker commissions and other costs of execution.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2" w:name="i1a33be4336df48219c0f44054412ecad"/>
      <w:bookmarkEnd w:id="52"/>
      <w:r>
        <w:rPr>
          <w:rFonts w:ascii="Arial;sans-serif" w:hAnsi="Arial;sans-serif"/>
          <w:b/>
          <w:color w:val="000000"/>
          <w:sz w:val="20"/>
        </w:rPr>
        <w:t>Item 3. Defaults Upon Senior Securities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3" w:name="i723ad38e631d4e2e9c1976b796453353"/>
      <w:bookmarkEnd w:id="53"/>
      <w:r>
        <w:rPr>
          <w:rFonts w:ascii="Arial;sans-serif" w:hAnsi="Arial;sans-serif"/>
          <w:b/>
          <w:color w:val="000000"/>
          <w:sz w:val="20"/>
        </w:rPr>
        <w:t>Item 4. Mine Safety Disclosures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4" w:name="i7c688b85c89e4f8d8a9a56fe47fad5a6"/>
      <w:bookmarkEnd w:id="54"/>
      <w:r>
        <w:rPr>
          <w:rFonts w:ascii="Arial;sans-serif" w:hAnsi="Arial;sans-serif"/>
          <w:b/>
          <w:color w:val="000000"/>
          <w:sz w:val="20"/>
        </w:rPr>
        <w:t>Item 5. Other Information</w:t>
      </w:r>
    </w:p>
    <w:p>
      <w:pPr>
        <w:pStyle w:val="TextBody"/>
        <w:bidi w:val="0"/>
        <w:spacing w:lineRule="auto" w:line="288" w:before="0" w:after="180"/>
        <w:jc w:val="left"/>
        <w:rPr>
          <w:rFonts w:ascii="Arial;sans-serif" w:hAnsi="Arial;sans-serif"/>
          <w:b/>
          <w:i/>
          <w:color w:val="000000"/>
          <w:sz w:val="20"/>
        </w:rPr>
      </w:pPr>
      <w:bookmarkStart w:id="55" w:name="i37bc21e456154ee2ab90f3ac2b1f2dcd"/>
      <w:bookmarkEnd w:id="55"/>
      <w:r>
        <w:rPr>
          <w:rFonts w:ascii="Arial;sans-serif" w:hAnsi="Arial;sans-serif"/>
          <w:b/>
          <w:i/>
          <w:color w:val="000000"/>
          <w:sz w:val="20"/>
        </w:rPr>
        <w:t>(a) None.</w:t>
      </w:r>
    </w:p>
    <w:p>
      <w:pPr>
        <w:pStyle w:val="TextBody"/>
        <w:bidi w:val="0"/>
        <w:spacing w:lineRule="auto" w:line="288" w:before="0" w:after="180"/>
        <w:jc w:val="left"/>
        <w:rPr>
          <w:rFonts w:ascii="Arial;sans-serif" w:hAnsi="Arial;sans-serif"/>
          <w:b/>
          <w:i/>
          <w:color w:val="000000"/>
          <w:sz w:val="20"/>
        </w:rPr>
      </w:pPr>
      <w:bookmarkStart w:id="56" w:name="i9e0f8c78f4ef4345acee69ac8639b114"/>
      <w:bookmarkEnd w:id="56"/>
      <w:r>
        <w:rPr>
          <w:rFonts w:ascii="Arial;sans-serif" w:hAnsi="Arial;sans-serif"/>
          <w:b/>
          <w:i/>
          <w:color w:val="000000"/>
          <w:sz w:val="20"/>
        </w:rPr>
        <w:t xml:space="preserve">(b)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20"/>
        </w:rPr>
      </w:pPr>
      <w:bookmarkStart w:id="57" w:name="i634887e7db584d94972cdfb84101b0d8"/>
      <w:bookmarkEnd w:id="57"/>
      <w:r>
        <w:rPr>
          <w:rFonts w:ascii="Arial;sans-serif" w:hAnsi="Arial;sans-serif"/>
          <w:b/>
          <w:i/>
          <w:color w:val="000000"/>
          <w:sz w:val="20"/>
        </w:rPr>
        <w:t>(c) Trading Plans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During the three months ended June 30, 2026, certain of our directors and officers adopted or terminated a “Rule 10b5-1 trading arrangement” or “non-Rule 10b5-1 trading arrangement,” as each term is defined in Item 408(a) of Regulation S-K as follows: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On June 9, 2026, William "Bing" Gordon, a member of our Board of Directors, modified his Rule 10b5-1 sales plan that was originally adopted on December 11, 2025. The modified trading arrangement is intended to satisfy the affirmative defense of Rule 10b5-1(c) under the Exchange Act and provides for the sale of up to 40,000 shares of the Company’s Class A common stock. The trading arrangement will remain in effect until the earlier of (i) June 30, 2027, (ii) the completion of all authorized transactions, or (iii) termination in accordance with its terms.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On June 2, 2026, Dr. Luis von Ahn, Chief Executive Officer and member of the Company’s Board of Directors, and the Luis von Ahn Foundation, entered into a 10b5-1 sales plan (the “von Ahn 10b5-1 Sales Plan”) intended to satisfy the affirmative defense of Rule 10b5-1(c) under the Exchange Act, pursuant to which a maximum aggregate amount of up to 626,000 shares of the Company’s Class A common stock may be sold, consisting of (i) up to 226,000 shares issuable upon the exercise of vested stock options held by Dr. von Ahn and (ii) up to 400,000 shares held by Dr. von Ahn. Additionally, under the von Ahn 10b5-1 Sales Plan, up to 54,000 shares held by the Luis von Ahn Foundation) may be sold. The von Ahn 10b5-1 Sales Plan will remain in effect until the earlier of (1) September 15, 2027, (2) the date on which all trades set forth in the von Ahn 10b5-1 Sales Plan have been executed, or (3) such time as the von Ahn 10b5-1 Sales Plan is otherwise terminated or expires according to its terms.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On June 14, 2026, Stephen Chen, General Counsel, entered into a 10b5-1 sales plan (the “Chen 10b5-1 Sales Plan”) intended to satisfy the affirmative defense of Rule 10b5-1(c) of the Exchange Act and providing for (i) the sale of the net number of shares of Class A common stock underlying 12,524 unvested restricted stock units received after giving effect to the number of shares automatically sold to satisfy tax withholding obligations on each applicable vesting date (such total number of shares covered under clause (i) is not determinable) and (ii) the sale of 12,696 shares of Class A common stock. The Chen 10b5-1 Sales Plan will remain in effect until the earlier of (1) August 14, 2027, (2) the date on which all trades set forth in the Chen 10b5-1 Sales Plan have been executed, or (3) such time as the Chen 10b5-1 Sales Plan is otherwise terminated according to its terms.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 other “officer” (as defined in Rule 16a-1(f) under the Exchange Act) or director of the Company adopted, modified or terminated “Rule 10b5-1 trading arrangements” and/or “non-Rule 10b5-1 trading arrangements” (each as defined in Item 408 of Regulation S-K)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58" w:name="i71cf85b2379f4ae996e6bdf1f2f3fd9d"/>
      <w:bookmarkEnd w:id="58"/>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0"/>
        <w:gridCol w:w="281"/>
        <w:gridCol w:w="282"/>
        <w:gridCol w:w="109"/>
        <w:gridCol w:w="109"/>
        <w:gridCol w:w="109"/>
        <w:gridCol w:w="1548"/>
        <w:gridCol w:w="1321"/>
        <w:gridCol w:w="1317"/>
        <w:gridCol w:w="109"/>
        <w:gridCol w:w="109"/>
        <w:gridCol w:w="109"/>
        <w:gridCol w:w="175"/>
        <w:gridCol w:w="175"/>
        <w:gridCol w:w="176"/>
        <w:gridCol w:w="244"/>
        <w:gridCol w:w="244"/>
        <w:gridCol w:w="225"/>
        <w:gridCol w:w="109"/>
        <w:gridCol w:w="109"/>
        <w:gridCol w:w="109"/>
        <w:gridCol w:w="211"/>
        <w:gridCol w:w="211"/>
        <w:gridCol w:w="216"/>
        <w:gridCol w:w="109"/>
        <w:gridCol w:w="109"/>
        <w:gridCol w:w="109"/>
        <w:gridCol w:w="220"/>
        <w:gridCol w:w="220"/>
        <w:gridCol w:w="221"/>
        <w:gridCol w:w="109"/>
        <w:gridCol w:w="109"/>
        <w:gridCol w:w="109"/>
        <w:gridCol w:w="278"/>
        <w:gridCol w:w="278"/>
        <w:gridCol w:w="40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Amended and Restated Certificate of Incorporation,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Bylaws,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ardirectorcompe.htm">
              <w:r>
                <w:rPr>
                  <w:rStyle w:val="InternetLink"/>
                  <w:rFonts w:ascii="Arial;sans-serif" w:hAnsi="Arial;sans-serif"/>
                  <w:b w:val="false"/>
                  <w:color w:val="0000FF"/>
                  <w:sz w:val="18"/>
                  <w:u w:val="single"/>
                </w:rPr>
                <w:t>Amended and Restated Non-Employee Director Compensation Program, effective July 23,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6q210xqex311.htm">
              <w:r>
                <w:rPr>
                  <w:rStyle w:val="InternetLink"/>
                  <w:rFonts w:ascii="Arial;sans-serif" w:hAnsi="Arial;sans-serif"/>
                  <w:b w:val="false"/>
                  <w:color w:val="0000FF"/>
                  <w:sz w:val="18"/>
                  <w:u w:val="single"/>
                </w:rPr>
                <w:t>Certification of Principal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6q210xqex312.htm">
              <w:r>
                <w:rPr>
                  <w:rStyle w:val="InternetLink"/>
                  <w:rFonts w:ascii="Arial;sans-serif" w:hAnsi="Arial;sans-serif"/>
                  <w:b w:val="false"/>
                  <w:color w:val="0000FF"/>
                  <w:sz w:val="18"/>
                  <w:u w:val="single"/>
                </w:rPr>
                <w:t>Certification of Principal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6q210xqex321.htm">
              <w:r>
                <w:rPr>
                  <w:rStyle w:val="InternetLink"/>
                  <w:rFonts w:ascii="Arial;sans-serif" w:hAnsi="Arial;sans-serif"/>
                  <w:b w:val="false"/>
                  <w:color w:val="0000FF"/>
                  <w:sz w:val="18"/>
                  <w:u w:val="single"/>
                </w:rPr>
                <w:t>Certification of Principal Executive Officer and Principal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certification attached as Exhibit 32.1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59" w:name="i7f70a4542ffb427fb844df3995f77296"/>
      <w:bookmarkEnd w:id="59"/>
      <w:r>
        <w:rPr>
          <w:rFonts w:ascii="Arial;sans-serif" w:hAnsi="Arial;sans-serif"/>
          <w:b/>
          <w:color w:val="000000"/>
          <w:sz w:val="20"/>
        </w:rPr>
        <w:t>Signatures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736"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79"/>
        <w:gridCol w:w="179"/>
        <w:gridCol w:w="179"/>
        <w:gridCol w:w="179"/>
        <w:gridCol w:w="179"/>
        <w:gridCol w:w="179"/>
        <w:gridCol w:w="1559"/>
        <w:gridCol w:w="1559"/>
        <w:gridCol w:w="2252"/>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DUOLINGO,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Luis von Ahn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Luis von Ahn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Gillian Munson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Gillian Munson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60" w:name="duolingo-ardirectorcompe.htm"/>
      <w:bookmarkStart w:id="61" w:name="ksduolingoardirectorcompe"/>
      <w:bookmarkEnd w:id="60"/>
      <w:bookmarkEnd w:id="61"/>
      <w:r>
        <w:rPr/>
        <w:drawing>
          <wp:inline distT="0" distB="0" distL="0" distR="0">
            <wp:extent cx="10048875" cy="13001625"/>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jc w:val="center"/>
        <w:rPr>
          <w:color w:val="FFFFFF"/>
          <w:sz w:val="2"/>
        </w:rPr>
      </w:pPr>
      <w:r>
        <w:rPr>
          <w:color w:val="FFFFFF"/>
          <w:sz w:val="2"/>
        </w:rPr>
        <w:t xml:space="preserve">DUOLINGO, INC. AMENDED AND RESTATED​ NON-EMPLOYEE DIRECTOR COMPENSATION PROGRAM This Duolingo, Inc. (the “Company”) Amended and Restated Non-Employee Director Compensation Program (this “Program”) has been adopted under the Company’s 2021 Incentive Award Plan (the “Plan”) and, effective as of July 23, 2026 (the “Effective Date”), amends, restates and supersedes the Non-Employee Director Compensation Program in effect immediately prior to the Effective Date. Capitalized terms not otherwise defined herein shall have the meaning ascribed in the Plan. Cash Compensation As of the Effective Date, annual retainers will be paid in the following amounts to Non-Employee Directors: Board Service Non-Employee Director: $45,000 Non-Executive Chair/Lead Director: $47,500 Committee Service Chair Non-Chair Audit Committee Member $25,000 $10,000 Compensation Committee Member $20,000 $9,000 Nominating and Corporate Governance Committee Member $10,000 $5,000 Mergers and Acquisitions Committee Member $10,000 $5,000 All annual retainers are additive and, except to the extent of any Retainer RSU Election (as further described below),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 Election to Receive Restricted Stock Units In Lieu of Annual Retainer General: Each Non-Employee Director may elect to convert all or a portion of his or her annual retainer into a number of Restricted Stock Units (“Retainer RSUs”) granted under the Plan or any other applicable Company equity incentive plan then-maintained by the Company covering a number of shares US-DOCS\125168229.1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Company Class A common stock (the “Common Stock”) calculated by dividing (i) the amount of the annual retainer that would have otherwise been paid to such Non-Employee Director on the applicable grant date by (ii) the closing trading price of a share of Common Stock as of the grant date or, if the grant date is not a trading day, the trading day immediately preceding the grant date (such election, a “Retainer RSU Election”). Each award of Retainer RSUs will be granted on the 10th day of the month immediately following the end of the quarter for which the corresponding portion of the annual retainer was earned. Each award of Retainer RSUs will be fully vested on the date of grant. Election Method: Each Retainer RSU Election must be submitted to the Company in the form and manner specified by the Board of Directors of the Company (the “Board”) or Compensation and Leadership Committee of the Board (the “Compensation Committee”). An individual who fails to make a timely Retainer RSU Election shall not receive Retainer RSUs and instead shall receive the applicable annual retainer in cash. Retainer RSU Elections must comply with the following timing requirements: ●​ Initial Election. Each individual who first becomes a Non-Employee Director after the Effective Date (a “New Director”) may make a Retainer RSU Election with respect to annual retainer payments relating to services to be performed in the same calendar year such individual becomes a New Director (the “Initial Election”). The Initial Election must be submitted to the Company on or before the date the individual becomes a New Director (the “Initial Election Deadline”), and the Initial Election shall become final and irrevocable as of the Initial Election Deadline. ●​ Annual Election. No later than December 31 of each calendar year (the “Annual Election Deadline”), each individual who is a Non-Employee Director as of immediately prior to the Annual Election Deadline may make a Retainer RSU Election with respect to the annual retainer relating to services to be performed in the following calendar year (the “Annual Election”). The Annual Election must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submitted to the Company on or prior to the applicable Annual Election Deadline and shall become effective and irrevocable as of the Annual Election Deadline. Equity Compensation Initial RSU Award: Each New Director shall be granted under the Plan or any other applicable Company equity incentive plan then-maintained by the Company an award of that number of restricted stock units (“RSUs”) calculated by dividing (i) $450,000 by (ii) the closing trading price of a share of Common Stock as of the grant date or, if the grant date is not a trading day, the trading day immediately preceding the grant date (the “Initial RSU Award”). The Initial RSU Award will be automatically granted on the date the individual becomes a New Director, and will vest as to 50% of the Initial RSU Award on the first anniversary of the applicable grant date, 25% of the Initial RSU Award on the second anniversary of the applicable grant date, and the remaining 25% of the Initial RSU Award on the third anniversary of the applicable grant date, in each case, subject to the Non-Employee Director continuing to serve on the Board through the applicable vesting date. Annual RSU Award: Each Non-Employee Director who (i) has been serving on the Board for at least six months as of each meeting of the Company’s stockholders (each, an “Annual Meeting”) and (ii) will continue to serve as a Non-Employee Director immediately following such meeting, shall be granted under the Plan or any other applicable Company equity incentive plan then-maintained by the Company an award of that number of RSUs calculated by dividing (i) $215,000 by (ii) the closing trading price of a share of Common Stock as of the grant date or, if the grant date is not a trading day, the trading day immediately preceding the grant date (the “Annual RSU Award”). The Annual RSU Award will be automatically granted on the date of the applicable Annual Meeting, and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vest in full on the earlier of (i) the first anniversary of the grant date or (ii) immediately before the Annual Meeting following the grant date, subject to the Non-Employee Director continuing to serve on the Board through such vesting date. Except as otherwise determined by the Board, no portion of an Initial RSU Award or Annual RSU Award which is unvested at the time of a Non-Employee Director’s termination of service on the Board shall become vested. An individual who terminates employment with the Company or any Subsidiary and remains, or on the date of such termination becomes, a Director will not be automatically granted an Initial RSU Award, but to the extent that the Director is otherwise eligible, will be eligible to receive, after termination from employment with the Company or any Subsidiary, Annual RSU Awards as described above. Election to Defer Issuances General: Each Non-Employee Director shall have the opportunity to defer the issuance of the shares underlying RSUs granted under this Program, including Retainer RSU Awards, Initial RSU Awards and Annual RSU Awards, that would otherwise be issued to the Non-Employee Director in connection with the vesting or grant of the RSUs until the earliest of a fixed date properly elected by the Non-Employee Director, the Non-Employee Director’s Termination of Service or a Change in Control. Any such deferral election (a “Deferral Election”) shall be subject to such rules, conditions and procedures as shall be determined by the Company, which rules, conditions and procedures shall at all times comply with the requirements of Section 409A of the Code, unless otherwise specifically determined by the Board or the Compensation Committee. If a Non-Employee Director elects to defer the delivery of the shares underlying RSUs granted under this Program, settlement of the deferred RSUs shall be made in accordance with the terms of the Deferral Election. Election Method: Each Deferral Election must be submitted to the Company in the form and manner specified by the Board or the Compensation Committee. Deferral Elections must comply with the following timing requirements: ●​ Initial Deferral Election. Each New Director may make a Deferral Election with respect to such New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Director’s RSU Awards to be granted, or with respect to Retainer RSUs, relating to services to be performed, in the same calendar year such individual becomes a New Director (including, for the avoidance of doubt, with respect to such New Director’s Initial RSU Award) (the “Initial Deferral Election”). The Initial Deferral Election must be submitted to the Company on or before the date the individual becomes a New Director (the “Initial Deferral Election Deadline”), and the Initial Deferral Election shall become final and irrevocable as of the Initial Deferral Election Deadline. In no event shall an Initial Deferral Election apply to the portion of RSUs for which services necessary to vest the RSUs have been performed as of the date of the Initial Deferral Election ●​ Annual Deferral Election. No later than December 31 of each year (the “Annual Deferral Election Deadline”), each individual who is a Non-Employee Director as of immediately before the Annual Deferral Election Deadline may make a Deferral Election with respect to RSU Awards to be granted, or with respect to Retainer RSUs, relating to services to be performed, in the following calendar year (the “Annual Deferral Election”). The Annual Deferral Election must be submitted to the Company on or before the applicable Annual Deferral Election Deadline and shall become final and irrevocable for the subsequent calendar year as of the applicable Annual Deferral Election Deadline. Change in Control 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 Reimbursements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Miscellaneous 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 * *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Luis von Ahn, certify that:</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Duolingo,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590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973"/>
        <w:gridCol w:w="973"/>
        <w:gridCol w:w="138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Gillian Munson, certify that:</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Duolingo,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799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34"/>
        <w:gridCol w:w="134"/>
        <w:gridCol w:w="136"/>
        <w:gridCol w:w="1586"/>
        <w:gridCol w:w="1586"/>
        <w:gridCol w:w="224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Gillian Munson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Gillian Munson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40" w:after="283"/>
        <w:jc w:val="both"/>
        <w:rPr/>
      </w:pPr>
      <w:r>
        <w:rPr>
          <w:rFonts w:ascii="Times New Roman;serif" w:hAnsi="Times New Roman;serif"/>
          <w:b w:val="false"/>
          <w:color w:val="000000"/>
          <w:sz w:val="20"/>
        </w:rPr>
        <w:t>In connection with the Quarterly Report on Form 10-Q of Duolingo, Inc. (the “Company”) for the quarter ended</w:t>
      </w:r>
      <w:r>
        <w:rPr>
          <w:color w:val="000000"/>
        </w:rPr>
        <w:t xml:space="preserve"> </w:t>
      </w:r>
      <w:r>
        <w:rPr>
          <w:rFonts w:ascii="Times New Roman;serif" w:hAnsi="Times New Roman;serif"/>
          <w:b w:val="false"/>
          <w:color w:val="000000"/>
          <w:sz w:val="20"/>
        </w:rPr>
        <w:t>June 30, 2026 as filed with the Securities and Exchange Commission on the date hereof (the “Report”), Luis von Ahn, President and Chief Executive Officer of the Company, and Gillian Munson, Chief Financial Officer of the Company, each hereby certifies, pursuant to 18 U.S.C. Section 1350, as adopted pursuant to Section 906 of the Sarbanes-Oxley Act of 2002, that: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and</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120" w:after="283"/>
        <w:jc w:val="left"/>
        <w:rPr/>
      </w:pPr>
      <w:r>
        <w:rPr/>
      </w:r>
    </w:p>
    <w:tbl>
      <w:tblPr>
        <w:tblW w:w="7807"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551"/>
        <w:gridCol w:w="1551"/>
        <w:gridCol w:w="220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Luis von Ahn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333" w:before="0" w:after="3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Gillian Munson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Gillian Munson</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3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2088/000162828021015040/exhibit31-8xk.htm" TargetMode="External"/><Relationship Id="rId3" Type="http://schemas.openxmlformats.org/officeDocument/2006/relationships/hyperlink" Target="https://www.sec.gov/Archives/edgar/data/1562088/000156208823000247/duol-bylawsupdatesapprov.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18421</Words>
  <Characters>101291</Characters>
  <CharactersWithSpaces>122828</CharactersWithSpaces>
  <Paragraphs>2621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duolingo-ardirectorcompe</dc:title>
</cp:coreProperties>
</file>