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quarterly period ended September 30, 2021</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5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For the transition period from ___ to ___</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Commission file number 001-40653</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8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5"/>
        </w:trPr>
        <w:tc>
          <w:tcPr>
            <w:tcW w:w="3840" w:type="dxa"/>
            <w:vAlign w:val="bottom"/>
          </w:tcPr>
          <w:p>
            <w:pPr>
              <w:spacing w:after="0"/>
              <w:rPr>
                <w:sz w:val="24"/>
                <w:szCs w:val="2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40"/>
                <w:szCs w:val="40"/>
                <w:b w:val="1"/>
                <w:bCs w:val="1"/>
                <w:color w:val="auto"/>
                <w:w w:val="99"/>
              </w:rPr>
              <w:t>Duolingo,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7"/>
              </w:rPr>
              <w:t>(Exact name of registrant as specified in its charter)</w:t>
            </w: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840" w:type="dxa"/>
            <w:vAlign w:val="bottom"/>
          </w:tcPr>
          <w:p>
            <w:pPr>
              <w:jc w:val="center"/>
              <w:ind w:left="517"/>
              <w:spacing w:after="0"/>
              <w:rPr>
                <w:sz w:val="20"/>
                <w:szCs w:val="20"/>
                <w:color w:val="auto"/>
              </w:rPr>
            </w:pPr>
            <w:r>
              <w:rPr>
                <w:rFonts w:ascii="Arial" w:cs="Arial" w:eastAsia="Arial" w:hAnsi="Arial"/>
                <w:sz w:val="13"/>
                <w:szCs w:val="13"/>
                <w:b w:val="1"/>
                <w:bCs w:val="1"/>
                <w:color w:val="auto"/>
                <w:w w:val="94"/>
              </w:rPr>
              <w:t>Delaware</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jc w:val="right"/>
              <w:ind w:right="1917"/>
              <w:spacing w:after="0"/>
              <w:rPr>
                <w:sz w:val="20"/>
                <w:szCs w:val="20"/>
                <w:color w:val="auto"/>
              </w:rPr>
            </w:pPr>
            <w:r>
              <w:rPr>
                <w:rFonts w:ascii="Arial" w:cs="Arial" w:eastAsia="Arial" w:hAnsi="Arial"/>
                <w:sz w:val="13"/>
                <w:szCs w:val="13"/>
                <w:b w:val="1"/>
                <w:bCs w:val="1"/>
                <w:color w:val="auto"/>
              </w:rPr>
              <w:t>45-3055872</w:t>
            </w:r>
          </w:p>
        </w:tc>
        <w:tc>
          <w:tcPr>
            <w:tcW w:w="0" w:type="dxa"/>
            <w:vAlign w:val="bottom"/>
          </w:tcPr>
          <w:p>
            <w:pPr>
              <w:spacing w:after="0"/>
              <w:rPr>
                <w:sz w:val="1"/>
                <w:szCs w:val="1"/>
                <w:color w:val="auto"/>
              </w:rPr>
            </w:pPr>
          </w:p>
        </w:tc>
      </w:tr>
      <w:tr>
        <w:trPr>
          <w:trHeight w:val="203"/>
        </w:trPr>
        <w:tc>
          <w:tcPr>
            <w:tcW w:w="3840" w:type="dxa"/>
            <w:vAlign w:val="bottom"/>
          </w:tcPr>
          <w:p>
            <w:pPr>
              <w:jc w:val="center"/>
              <w:ind w:left="517"/>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20" w:type="dxa"/>
            <w:vAlign w:val="bottom"/>
          </w:tcPr>
          <w:p>
            <w:pPr>
              <w:jc w:val="center"/>
              <w:ind w:right="87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78"/>
        </w:trPr>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7"/>
              </w:rPr>
              <w:t>5900 Penn Avenue</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6"/>
              </w:rPr>
              <w:t>Pittsburgh, Pennsylvania 15206</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96"/>
              </w:rPr>
              <w:t>(412) 567-6602</w:t>
            </w:r>
          </w:p>
        </w:tc>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Area Code, of Registrant’s Principal Executive Offices)</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7"/>
        </w:trPr>
        <w:tc>
          <w:tcPr>
            <w:tcW w:w="38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6"/>
              </w:rPr>
              <w:t>Title of each class</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0" w:type="dxa"/>
            <w:vAlign w:val="bottom"/>
          </w:tcPr>
          <w:p>
            <w:pPr>
              <w:spacing w:after="0"/>
              <w:rPr>
                <w:sz w:val="14"/>
                <w:szCs w:val="14"/>
                <w:color w:val="auto"/>
              </w:rPr>
            </w:pPr>
          </w:p>
        </w:tc>
        <w:tc>
          <w:tcPr>
            <w:tcW w:w="3720" w:type="dxa"/>
            <w:vAlign w:val="bottom"/>
            <w:tcBorders>
              <w:right w:val="single" w:sz="8" w:color="auto"/>
            </w:tcBorders>
          </w:tcPr>
          <w:p>
            <w:pPr>
              <w:jc w:val="center"/>
              <w:ind w:right="75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30"/>
        </w:trPr>
        <w:tc>
          <w:tcPr>
            <w:tcW w:w="38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840" w:type="dxa"/>
            <w:vAlign w:val="bottom"/>
            <w:tcBorders>
              <w:left w:val="single" w:sz="8" w:color="auto"/>
            </w:tcBorders>
            <w:vMerge w:val="restart"/>
          </w:tcPr>
          <w:p>
            <w:pPr>
              <w:jc w:val="center"/>
              <w:ind w:left="497"/>
              <w:spacing w:after="0"/>
              <w:rPr>
                <w:sz w:val="20"/>
                <w:szCs w:val="20"/>
                <w:color w:val="auto"/>
              </w:rPr>
            </w:pPr>
            <w:r>
              <w:rPr>
                <w:rFonts w:ascii="Arial" w:cs="Arial" w:eastAsia="Arial" w:hAnsi="Arial"/>
                <w:sz w:val="13"/>
                <w:szCs w:val="13"/>
                <w:color w:val="auto"/>
                <w:w w:val="96"/>
              </w:rPr>
              <w:t>Class A common stock, $0.0001 per share</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DUOL</w:t>
            </w:r>
          </w:p>
        </w:tc>
        <w:tc>
          <w:tcPr>
            <w:tcW w:w="800" w:type="dxa"/>
            <w:vAlign w:val="bottom"/>
          </w:tcPr>
          <w:p>
            <w:pPr>
              <w:spacing w:after="0"/>
              <w:rPr>
                <w:sz w:val="14"/>
                <w:szCs w:val="14"/>
                <w:color w:val="auto"/>
              </w:rPr>
            </w:pPr>
          </w:p>
        </w:tc>
        <w:tc>
          <w:tcPr>
            <w:tcW w:w="3720" w:type="dxa"/>
            <w:vAlign w:val="bottom"/>
            <w:tcBorders>
              <w:right w:val="single" w:sz="8" w:color="auto"/>
            </w:tcBorders>
          </w:tcPr>
          <w:p>
            <w:pPr>
              <w:jc w:val="center"/>
              <w:ind w:right="737"/>
              <w:spacing w:after="0"/>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r>
        <w:trPr>
          <w:trHeight w:val="81"/>
        </w:trPr>
        <w:tc>
          <w:tcPr>
            <w:tcW w:w="3840" w:type="dxa"/>
            <w:vAlign w:val="bottom"/>
            <w:tcBorders>
              <w:lef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84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4" w:lineRule="exact"/>
        <w:rPr>
          <w:sz w:val="24"/>
          <w:szCs w:val="24"/>
          <w:color w:val="auto"/>
        </w:rPr>
      </w:pPr>
    </w:p>
    <w:p>
      <w:pPr>
        <w:ind w:right="360"/>
        <w:spacing w:after="0" w:line="25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160"/>
        <w:spacing w:after="0" w:line="25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 w:lineRule="exact"/>
        <w:rPr>
          <w:sz w:val="24"/>
          <w:szCs w:val="24"/>
          <w:color w:val="auto"/>
        </w:rPr>
      </w:pPr>
    </w:p>
    <w:p>
      <w:pPr>
        <w:ind w:right="4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60"/>
          </w:cols>
          <w:pgMar w:left="320" w:top="1414" w:right="319" w:bottom="1440" w:gutter="0" w:footer="0" w:header="0"/>
        </w:sectPr>
      </w:pPr>
    </w:p>
    <w:p>
      <w:pPr>
        <w:spacing w:after="0" w:line="37"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6"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2220" w:space="720"/>
            <w:col w:w="6380" w:space="720"/>
            <w:col w:w="920" w:space="20"/>
            <w:col w:w="280"/>
          </w:cols>
          <w:pgMar w:left="320" w:top="1414" w:right="31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2220" w:space="720"/>
            <w:col w:w="5780" w:space="720"/>
            <w:col w:w="1520" w:space="20"/>
            <w:col w:w="280"/>
          </w:cols>
          <w:pgMar w:left="320" w:top="1414" w:right="319" w:bottom="1440" w:gutter="0" w:footer="0" w:header="0"/>
          <w:type w:val="continuous"/>
        </w:sectPr>
      </w:pPr>
    </w:p>
    <w:p>
      <w:pPr>
        <w:spacing w:after="0" w:line="33" w:lineRule="exact"/>
        <w:rPr>
          <w:sz w:val="24"/>
          <w:szCs w:val="24"/>
          <w:color w:val="auto"/>
        </w:rPr>
      </w:pPr>
    </w:p>
    <w:p>
      <w:pPr>
        <w:ind w:left="946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6" w:lineRule="exact"/>
        <w:rPr>
          <w:sz w:val="24"/>
          <w:szCs w:val="24"/>
          <w:color w:val="auto"/>
        </w:rPr>
      </w:pPr>
    </w:p>
    <w:p>
      <w:pPr>
        <w:sectPr>
          <w:pgSz w:w="11900" w:h="16838" w:orient="portrait"/>
          <w:cols w:equalWidth="0" w:num="2">
            <w:col w:w="10960" w:space="20"/>
            <w:col w:w="280"/>
          </w:cols>
          <w:pgMar w:left="320" w:top="1414" w:right="319" w:bottom="1440" w:gutter="0" w:footer="0" w:header="0"/>
          <w:type w:val="continuous"/>
        </w:sectPr>
      </w:pPr>
    </w:p>
    <w:p>
      <w:pPr>
        <w:ind w:right="460"/>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8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11, 2021, 15,796,838 shares of the registrant's Class A common stock were outstanding, 21,675,473 shares of the registrant's Class B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14" w:right="319" w:bottom="1440" w:gutter="0" w:footer="0" w:header="0"/>
          <w:type w:val="continuous"/>
        </w:sectPr>
      </w:pPr>
    </w:p>
    <w:bookmarkStart w:id="1" w:name="page2"/>
    <w:bookmarkEnd w:id="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0" w:type="dxa"/>
            <w:vAlign w:val="bottom"/>
            <w:gridSpan w:val="3"/>
          </w:tcPr>
          <w:p>
            <w:pPr>
              <w:ind w:left="1260"/>
              <w:spacing w:after="0"/>
              <w:rPr>
                <w:sz w:val="20"/>
                <w:szCs w:val="20"/>
                <w:color w:val="auto"/>
              </w:rPr>
            </w:pPr>
            <w:r>
              <w:rPr>
                <w:rFonts w:ascii="Arial" w:cs="Arial" w:eastAsia="Arial" w:hAnsi="Arial"/>
                <w:sz w:val="14"/>
                <w:szCs w:val="14"/>
                <w:b w:val="1"/>
                <w:bCs w:val="1"/>
                <w:color w:val="auto"/>
                <w:w w:val="95"/>
              </w:rPr>
              <w:t>Page</w:t>
            </w:r>
          </w:p>
        </w:tc>
      </w:tr>
      <w:tr>
        <w:trPr>
          <w:trHeight w:val="209"/>
        </w:trPr>
        <w:tc>
          <w:tcPr>
            <w:tcW w:w="9400" w:type="dxa"/>
            <w:vAlign w:val="bottom"/>
            <w:gridSpan w:val="17"/>
          </w:tcPr>
          <w:p>
            <w:pPr>
              <w:spacing w:after="0"/>
              <w:rPr>
                <w:sz w:val="20"/>
                <w:szCs w:val="20"/>
                <w:color w:val="auto"/>
              </w:rPr>
            </w:pPr>
            <w:r>
              <w:rPr>
                <w:rFonts w:ascii="Arial" w:cs="Arial" w:eastAsia="Arial" w:hAnsi="Arial"/>
                <w:sz w:val="16"/>
                <w:szCs w:val="16"/>
                <w:color w:val="auto"/>
              </w:rPr>
              <w:t>Special Note Regarding Forward-Looking Statements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00" w:type="dxa"/>
            <w:vAlign w:val="bottom"/>
            <w:gridSpan w:val="17"/>
          </w:tcPr>
          <w:p>
            <w:pPr>
              <w:spacing w:after="0"/>
              <w:rPr>
                <w:sz w:val="20"/>
                <w:szCs w:val="20"/>
                <w:color w:val="auto"/>
              </w:rPr>
            </w:pPr>
            <w:r>
              <w:rPr>
                <w:rFonts w:ascii="Arial" w:cs="Arial" w:eastAsia="Arial" w:hAnsi="Arial"/>
                <w:sz w:val="16"/>
                <w:szCs w:val="16"/>
                <w:color w:val="auto"/>
              </w:rPr>
              <w:t>Special Note Regarding Operating Metrics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2060" w:type="dxa"/>
            <w:vAlign w:val="bottom"/>
            <w:gridSpan w:val="6"/>
          </w:tcPr>
          <w:p>
            <w:pPr>
              <w:spacing w:after="0" w:line="181" w:lineRule="exact"/>
              <w:rPr>
                <w:rFonts w:ascii="Arial" w:cs="Arial" w:eastAsia="Arial" w:hAnsi="Arial"/>
                <w:sz w:val="16"/>
                <w:szCs w:val="16"/>
                <w:b w:val="1"/>
                <w:bCs w:val="1"/>
                <w:color w:val="0000FF"/>
                <w:w w:val="97"/>
              </w:rPr>
            </w:pPr>
            <w:hyperlink w:anchor="page5">
              <w:r>
                <w:rPr>
                  <w:rFonts w:ascii="Arial" w:cs="Arial" w:eastAsia="Arial" w:hAnsi="Arial"/>
                  <w:sz w:val="16"/>
                  <w:szCs w:val="16"/>
                  <w:b w:val="1"/>
                  <w:bCs w:val="1"/>
                  <w:color w:val="0000FF"/>
                  <w:w w:val="97"/>
                </w:rPr>
                <w:t>Part I Financial Information</w:t>
              </w:r>
            </w:hyperlink>
          </w:p>
        </w:tc>
        <w:tc>
          <w:tcPr>
            <w:tcW w:w="7340" w:type="dxa"/>
            <w:vAlign w:val="bottom"/>
            <w:gridSpan w:val="11"/>
          </w:tcPr>
          <w:p>
            <w:pPr>
              <w:spacing w:after="0"/>
              <w:rPr>
                <w:sz w:val="15"/>
                <w:szCs w:val="15"/>
                <w:color w:val="auto"/>
              </w:rPr>
            </w:pPr>
          </w:p>
        </w:tc>
        <w:tc>
          <w:tcPr>
            <w:tcW w:w="1480" w:type="dxa"/>
            <w:vAlign w:val="bottom"/>
            <w:gridSpan w:val="2"/>
          </w:tcPr>
          <w:p>
            <w:pPr>
              <w:jc w:val="center"/>
              <w:ind w:left="1317"/>
              <w:spacing w:after="0" w:line="181"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120" w:type="dxa"/>
            <w:vAlign w:val="bottom"/>
          </w:tcPr>
          <w:p>
            <w:pPr>
              <w:spacing w:after="0"/>
              <w:rPr>
                <w:sz w:val="15"/>
                <w:szCs w:val="15"/>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400" w:type="dxa"/>
            <w:vAlign w:val="bottom"/>
            <w:gridSpan w:val="17"/>
          </w:tcPr>
          <w:p>
            <w:pPr>
              <w:spacing w:after="0"/>
              <w:rPr>
                <w:sz w:val="20"/>
                <w:szCs w:val="20"/>
                <w:color w:val="auto"/>
              </w:rPr>
            </w:pPr>
            <w:r>
              <w:rPr>
                <w:rFonts w:ascii="Arial" w:cs="Arial" w:eastAsia="Arial" w:hAnsi="Arial"/>
                <w:sz w:val="16"/>
                <w:szCs w:val="16"/>
                <w:color w:val="0000FF"/>
              </w:rPr>
              <w:t xml:space="preserve">Item 1. Financial Statements </w:t>
            </w:r>
            <w:r>
              <w:rPr>
                <w:rFonts w:ascii="Arial" w:cs="Arial" w:eastAsia="Arial" w:hAnsi="Arial"/>
                <w:sz w:val="16"/>
                <w:szCs w:val="16"/>
                <w:color w:val="000000"/>
              </w:rPr>
              <w:t>(Unaudited)</w:t>
            </w:r>
          </w:p>
        </w:tc>
        <w:tc>
          <w:tcPr>
            <w:tcW w:w="1480" w:type="dxa"/>
            <w:vAlign w:val="bottom"/>
            <w:gridSpan w:val="2"/>
          </w:tcPr>
          <w:p>
            <w:pPr>
              <w:jc w:val="center"/>
              <w:ind w:left="1297"/>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400" w:type="dxa"/>
            <w:vAlign w:val="bottom"/>
            <w:gridSpan w:val="17"/>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Balance Sheets</w:t>
              </w:r>
            </w:hyperlink>
          </w:p>
        </w:tc>
        <w:tc>
          <w:tcPr>
            <w:tcW w:w="1480" w:type="dxa"/>
            <w:vAlign w:val="bottom"/>
            <w:gridSpan w:val="2"/>
          </w:tcPr>
          <w:p>
            <w:pPr>
              <w:jc w:val="center"/>
              <w:ind w:left="1297"/>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380" w:type="dxa"/>
            <w:vAlign w:val="bottom"/>
            <w:gridSpan w:val="14"/>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Operations and Comprehensive Loss</w:t>
              </w:r>
            </w:hyperlink>
          </w:p>
        </w:tc>
        <w:tc>
          <w:tcPr>
            <w:tcW w:w="3020" w:type="dxa"/>
            <w:vAlign w:val="bottom"/>
            <w:gridSpan w:val="3"/>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060" w:type="dxa"/>
            <w:vAlign w:val="bottom"/>
            <w:tcBorders>
              <w:bottom w:val="single" w:sz="8" w:color="0000FF"/>
            </w:tcBorders>
            <w:gridSpan w:val="16"/>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Unaudited Condensed Consolidated Statements of Convertible Preferred Stock and Stockholders’</w:t>
              </w:r>
            </w:hyperlink>
          </w:p>
        </w:tc>
        <w:tc>
          <w:tcPr>
            <w:tcW w:w="2340" w:type="dxa"/>
            <w:vAlign w:val="bottom"/>
          </w:tcPr>
          <w:p>
            <w:pPr>
              <w:spacing w:after="0"/>
              <w:rPr>
                <w:sz w:val="20"/>
                <w:szCs w:val="20"/>
                <w:color w:val="auto"/>
              </w:rPr>
            </w:pPr>
            <w:r>
              <w:rPr>
                <w:rFonts w:ascii="Arial" w:cs="Arial" w:eastAsia="Arial" w:hAnsi="Arial"/>
                <w:sz w:val="16"/>
                <w:szCs w:val="16"/>
                <w:color w:val="auto"/>
              </w:rPr>
              <w:t>Equity (Deficit)</w:t>
            </w:r>
          </w:p>
        </w:tc>
        <w:tc>
          <w:tcPr>
            <w:tcW w:w="1480" w:type="dxa"/>
            <w:vAlign w:val="bottom"/>
            <w:gridSpan w:val="2"/>
          </w:tcPr>
          <w:p>
            <w:pPr>
              <w:jc w:val="center"/>
              <w:ind w:left="1297"/>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12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400" w:type="dxa"/>
            <w:vAlign w:val="bottom"/>
            <w:gridSpan w:val="17"/>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Unaudited Condensed Consolidated Statements of Cash Flows</w:t>
              </w:r>
            </w:hyperlink>
          </w:p>
        </w:tc>
        <w:tc>
          <w:tcPr>
            <w:tcW w:w="1480" w:type="dxa"/>
            <w:vAlign w:val="bottom"/>
            <w:gridSpan w:val="2"/>
          </w:tcPr>
          <w:p>
            <w:pPr>
              <w:jc w:val="center"/>
              <w:ind w:left="1297"/>
              <w:spacing w:after="0" w:line="196"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9</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400" w:type="dxa"/>
            <w:vAlign w:val="bottom"/>
            <w:gridSpan w:val="17"/>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the Unaudited Condensed Consolidated Financial Statements</w:t>
              </w:r>
            </w:hyperlink>
          </w:p>
        </w:tc>
        <w:tc>
          <w:tcPr>
            <w:tcW w:w="1600" w:type="dxa"/>
            <w:vAlign w:val="bottom"/>
            <w:gridSpan w:val="3"/>
          </w:tcPr>
          <w:p>
            <w:pPr>
              <w:jc w:val="center"/>
              <w:ind w:left="1197"/>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10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6920" w:type="dxa"/>
            <w:vAlign w:val="bottom"/>
            <w:gridSpan w:val="15"/>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2. Management's Discussion and Analysis of Financial Condition and Results of Operations</w:t>
              </w:r>
            </w:hyperlink>
          </w:p>
        </w:tc>
        <w:tc>
          <w:tcPr>
            <w:tcW w:w="2480" w:type="dxa"/>
            <w:vAlign w:val="bottom"/>
            <w:gridSpan w:val="2"/>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20" w:type="dxa"/>
            <w:vAlign w:val="bottom"/>
            <w:gridSpan w:val="15"/>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3. Quantitative and Qualitative Disclosures About Market Risk</w:t>
              </w:r>
            </w:hyperlink>
          </w:p>
        </w:tc>
        <w:tc>
          <w:tcPr>
            <w:tcW w:w="2480" w:type="dxa"/>
            <w:vAlign w:val="bottom"/>
            <w:gridSpan w:val="2"/>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gridSpan w:val="7"/>
          </w:tcPr>
          <w:p>
            <w:pPr>
              <w:spacing w:after="0"/>
              <w:rPr>
                <w:rFonts w:ascii="Arial" w:cs="Arial" w:eastAsia="Arial" w:hAnsi="Arial"/>
                <w:sz w:val="16"/>
                <w:szCs w:val="16"/>
                <w:color w:val="0000FF"/>
                <w:w w:val="97"/>
              </w:rPr>
            </w:pPr>
            <w:hyperlink w:anchor="page38">
              <w:r>
                <w:rPr>
                  <w:rFonts w:ascii="Arial" w:cs="Arial" w:eastAsia="Arial" w:hAnsi="Arial"/>
                  <w:sz w:val="16"/>
                  <w:szCs w:val="16"/>
                  <w:color w:val="0000FF"/>
                  <w:w w:val="97"/>
                </w:rPr>
                <w:t>Item 4. Controls and Procedures</w:t>
              </w:r>
            </w:hyperlink>
          </w:p>
        </w:tc>
        <w:tc>
          <w:tcPr>
            <w:tcW w:w="2500" w:type="dxa"/>
            <w:vAlign w:val="bottom"/>
            <w:gridSpan w:val="4"/>
          </w:tcPr>
          <w:p>
            <w:pPr>
              <w:spacing w:after="0"/>
              <w:rPr>
                <w:sz w:val="17"/>
                <w:szCs w:val="17"/>
                <w:color w:val="auto"/>
              </w:rPr>
            </w:pPr>
          </w:p>
        </w:tc>
        <w:tc>
          <w:tcPr>
            <w:tcW w:w="4620" w:type="dxa"/>
            <w:vAlign w:val="bottom"/>
            <w:gridSpan w:val="6"/>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gridSpan w:val="7"/>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Part II Other Information</w:t>
              </w:r>
            </w:hyperlink>
          </w:p>
        </w:tc>
        <w:tc>
          <w:tcPr>
            <w:tcW w:w="7120" w:type="dxa"/>
            <w:vAlign w:val="bottom"/>
            <w:gridSpan w:val="10"/>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400" w:type="dxa"/>
            <w:vAlign w:val="bottom"/>
            <w:gridSpan w:val="17"/>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 Legal Proceedings</w:t>
              </w:r>
            </w:hyperlink>
          </w:p>
        </w:tc>
        <w:tc>
          <w:tcPr>
            <w:tcW w:w="1480" w:type="dxa"/>
            <w:vAlign w:val="bottom"/>
            <w:gridSpan w:val="2"/>
          </w:tcPr>
          <w:p>
            <w:pPr>
              <w:jc w:val="center"/>
              <w:ind w:left="1217"/>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560" w:type="dxa"/>
            <w:vAlign w:val="bottom"/>
            <w:gridSpan w:val="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1A. Risk Factors</w:t>
              </w:r>
            </w:hyperlink>
          </w:p>
        </w:tc>
        <w:tc>
          <w:tcPr>
            <w:tcW w:w="320" w:type="dxa"/>
            <w:vAlign w:val="bottom"/>
            <w:gridSpan w:val="2"/>
          </w:tcPr>
          <w:p>
            <w:pPr>
              <w:spacing w:after="0"/>
              <w:rPr>
                <w:sz w:val="17"/>
                <w:szCs w:val="17"/>
                <w:color w:val="auto"/>
              </w:rPr>
            </w:pPr>
          </w:p>
        </w:tc>
        <w:tc>
          <w:tcPr>
            <w:tcW w:w="7520" w:type="dxa"/>
            <w:vAlign w:val="bottom"/>
            <w:gridSpan w:val="12"/>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20" w:type="dxa"/>
            <w:vAlign w:val="bottom"/>
            <w:gridSpan w:val="12"/>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2. Unregistered Sales of Equity Securities and Use of Proceeds</w:t>
              </w:r>
            </w:hyperlink>
          </w:p>
        </w:tc>
        <w:tc>
          <w:tcPr>
            <w:tcW w:w="4480" w:type="dxa"/>
            <w:vAlign w:val="bottom"/>
            <w:gridSpan w:val="5"/>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83">
              <w:r>
                <w:rPr>
                  <w:rFonts w:ascii="Arial" w:cs="Arial" w:eastAsia="Arial" w:hAnsi="Arial"/>
                  <w:sz w:val="16"/>
                  <w:szCs w:val="16"/>
                  <w:color w:val="0000FF"/>
                </w:rPr>
                <w:t>82</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20" w:type="dxa"/>
            <w:vAlign w:val="bottom"/>
            <w:gridSpan w:val="12"/>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3. Defaults Upon Senior Securities</w:t>
              </w:r>
            </w:hyperlink>
          </w:p>
        </w:tc>
        <w:tc>
          <w:tcPr>
            <w:tcW w:w="4480" w:type="dxa"/>
            <w:vAlign w:val="bottom"/>
            <w:gridSpan w:val="5"/>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83">
              <w:r>
                <w:rPr>
                  <w:rFonts w:ascii="Arial" w:cs="Arial" w:eastAsia="Arial" w:hAnsi="Arial"/>
                  <w:sz w:val="16"/>
                  <w:szCs w:val="16"/>
                  <w:color w:val="0000FF"/>
                </w:rPr>
                <w:t>82</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840" w:type="dxa"/>
            <w:vAlign w:val="bottom"/>
            <w:gridSpan w:val="8"/>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4. Mine Safety Disclosures</w:t>
              </w:r>
            </w:hyperlink>
          </w:p>
        </w:tc>
        <w:tc>
          <w:tcPr>
            <w:tcW w:w="6560" w:type="dxa"/>
            <w:vAlign w:val="bottom"/>
            <w:gridSpan w:val="9"/>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83">
              <w:r>
                <w:rPr>
                  <w:rFonts w:ascii="Arial" w:cs="Arial" w:eastAsia="Arial" w:hAnsi="Arial"/>
                  <w:sz w:val="16"/>
                  <w:szCs w:val="16"/>
                  <w:color w:val="0000FF"/>
                </w:rPr>
                <w:t>82</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gridSpan w:val="7"/>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5. Other Information</w:t>
              </w:r>
            </w:hyperlink>
          </w:p>
        </w:tc>
        <w:tc>
          <w:tcPr>
            <w:tcW w:w="7120" w:type="dxa"/>
            <w:vAlign w:val="bottom"/>
            <w:gridSpan w:val="10"/>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83">
              <w:r>
                <w:rPr>
                  <w:rFonts w:ascii="Arial" w:cs="Arial" w:eastAsia="Arial" w:hAnsi="Arial"/>
                  <w:sz w:val="16"/>
                  <w:szCs w:val="16"/>
                  <w:color w:val="0000FF"/>
                </w:rPr>
                <w:t>82</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6. Exhibits</w:t>
              </w:r>
            </w:hyperlink>
          </w:p>
        </w:tc>
        <w:tc>
          <w:tcPr>
            <w:tcW w:w="680" w:type="dxa"/>
            <w:vAlign w:val="bottom"/>
            <w:gridSpan w:val="2"/>
          </w:tcPr>
          <w:p>
            <w:pPr>
              <w:spacing w:after="0"/>
              <w:rPr>
                <w:sz w:val="17"/>
                <w:szCs w:val="17"/>
                <w:color w:val="auto"/>
              </w:rPr>
            </w:pPr>
          </w:p>
        </w:tc>
        <w:tc>
          <w:tcPr>
            <w:tcW w:w="7600" w:type="dxa"/>
            <w:vAlign w:val="bottom"/>
            <w:gridSpan w:val="13"/>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83">
              <w:r>
                <w:rPr>
                  <w:rFonts w:ascii="Arial" w:cs="Arial" w:eastAsia="Arial" w:hAnsi="Arial"/>
                  <w:sz w:val="16"/>
                  <w:szCs w:val="16"/>
                  <w:color w:val="0000FF"/>
                </w:rPr>
                <w:t>83</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80" w:type="dxa"/>
            <w:vAlign w:val="bottom"/>
            <w:gridSpan w:val="15"/>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Signatures</w:t>
              </w:r>
            </w:hyperlink>
          </w:p>
        </w:tc>
        <w:tc>
          <w:tcPr>
            <w:tcW w:w="8280" w:type="dxa"/>
            <w:vAlign w:val="bottom"/>
            <w:gridSpan w:val="15"/>
          </w:tcPr>
          <w:p>
            <w:pPr>
              <w:spacing w:after="0"/>
              <w:rPr>
                <w:sz w:val="17"/>
                <w:szCs w:val="17"/>
                <w:color w:val="auto"/>
              </w:rPr>
            </w:pPr>
          </w:p>
        </w:tc>
        <w:tc>
          <w:tcPr>
            <w:tcW w:w="1480" w:type="dxa"/>
            <w:vAlign w:val="bottom"/>
            <w:gridSpan w:val="2"/>
          </w:tcPr>
          <w:p>
            <w:pPr>
              <w:jc w:val="center"/>
              <w:ind w:left="1217"/>
              <w:spacing w:after="0"/>
              <w:rPr>
                <w:rFonts w:ascii="Arial" w:cs="Arial" w:eastAsia="Arial" w:hAnsi="Arial"/>
                <w:sz w:val="16"/>
                <w:szCs w:val="16"/>
                <w:color w:val="0000FF"/>
              </w:rPr>
            </w:pPr>
            <w:hyperlink w:anchor="page84">
              <w:r>
                <w:rPr>
                  <w:rFonts w:ascii="Arial" w:cs="Arial" w:eastAsia="Arial" w:hAnsi="Arial"/>
                  <w:sz w:val="16"/>
                  <w:szCs w:val="16"/>
                  <w:color w:val="0000FF"/>
                </w:rPr>
                <w:t>84</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 w:name="page3"/>
    <w:bookmarkEnd w:id="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operating performance;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76"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 including our ability to grow our business in the countries we have identified as near-term priorities;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offerings and services to meet those needs;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 and new industries;</w:t>
      </w:r>
    </w:p>
    <w:p>
      <w:pPr>
        <w:spacing w:after="0" w:line="90"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 and our expectations regarding various laws and restrictions that relate to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8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Quarterly Report on Form 10-Q. The results, events, and circumstances reflected in the forward-looking statements may not be achieved or occur, and actual results, events, or circumstances could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those described in the forward-looking statements. You should not place undue reliance on our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the registration statement, of which this Quarterly Report on Form 10-Q is a part, completely and with the understanding that our actual future results may be materially different from what we expect. We qualify all of the forward-looking statements in this Quarterly Report on Form 10-Q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OPERATING METRICS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manage our business by tracking several operating metrics, including monthly active users (MAUs), daily active users (DAUs), paid subscribers, and bookings. We believe each of these operating metrics provides useful information to investors and others. For information concerning these metrics as measured by us, see “Management’s Discussion and Analysis of Financial Condition and Results of Operations.”</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the section titled “Risk Factors—Our user metrics and other estimates are subject to inherent challenges in measurement, and real or perceived inaccuracies in those metrics may significantly harm and negatively affect our reputation and our business”. Other companies, including companies in our industry, may calculate these metrics differently.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 w:name="page6"/>
    <w:bookmarkEnd w:id="5"/>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75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0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549,440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30"/>
        </w:trPr>
        <w:tc>
          <w:tcPr>
            <w:tcW w:w="7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29"/>
        </w:trPr>
        <w:tc>
          <w:tcPr>
            <w:tcW w:w="75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23"/>
        </w:trPr>
        <w:tc>
          <w:tcPr>
            <w:tcW w:w="75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596,344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6,428</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8,073</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5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5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r>
      <w:tr>
        <w:trPr>
          <w:trHeight w:val="175"/>
        </w:trPr>
        <w:tc>
          <w:tcPr>
            <w:tcW w:w="75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7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65,690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20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8,401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73,821</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20"/>
        </w:trPr>
        <w:tc>
          <w:tcPr>
            <w:tcW w:w="7580" w:type="dxa"/>
            <w:vAlign w:val="bottom"/>
          </w:tcPr>
          <w:p>
            <w:pPr>
              <w:ind w:left="80"/>
              <w:spacing w:after="0"/>
              <w:rPr>
                <w:sz w:val="20"/>
                <w:szCs w:val="20"/>
                <w:color w:val="auto"/>
              </w:rPr>
            </w:pPr>
            <w:r>
              <w:rPr>
                <w:rFonts w:ascii="Arial" w:cs="Arial" w:eastAsia="Arial" w:hAnsi="Arial"/>
                <w:sz w:val="18"/>
                <w:szCs w:val="18"/>
                <w:b w:val="1"/>
                <w:bCs w:val="1"/>
                <w:color w:val="auto"/>
              </w:rPr>
              <w:t>Convertible preferred stock, $0.0001 par value, — shares issued and outstanding at</w:t>
            </w: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182,609</w:t>
            </w:r>
          </w:p>
        </w:tc>
      </w:tr>
      <w:tr>
        <w:trPr>
          <w:trHeight w:val="239"/>
        </w:trPr>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September 30, 2021 and 19,074 shares issued and outstanding at December 31, 2020.</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42"/>
        </w:trPr>
        <w:tc>
          <w:tcPr>
            <w:tcW w:w="7580" w:type="dxa"/>
            <w:vAlign w:val="bottom"/>
          </w:tcPr>
          <w:p>
            <w:pPr>
              <w:ind w:left="80"/>
              <w:spacing w:after="0"/>
              <w:rPr>
                <w:sz w:val="20"/>
                <w:szCs w:val="20"/>
                <w:color w:val="auto"/>
              </w:rPr>
            </w:pPr>
            <w:r>
              <w:rPr>
                <w:rFonts w:ascii="Arial" w:cs="Arial" w:eastAsia="Arial" w:hAnsi="Arial"/>
                <w:sz w:val="18"/>
                <w:szCs w:val="18"/>
                <w:color w:val="auto"/>
              </w:rPr>
              <w:t>Common stock, $0.0001 par value; 2,000,000 shares of Class A common stock authorized</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580" w:type="dxa"/>
            <w:vAlign w:val="bottom"/>
          </w:tcPr>
          <w:p>
            <w:pPr>
              <w:ind w:left="240"/>
              <w:spacing w:after="0"/>
              <w:rPr>
                <w:sz w:val="20"/>
                <w:szCs w:val="20"/>
                <w:color w:val="auto"/>
              </w:rPr>
            </w:pPr>
            <w:r>
              <w:rPr>
                <w:rFonts w:ascii="Arial" w:cs="Arial" w:eastAsia="Arial" w:hAnsi="Arial"/>
                <w:sz w:val="18"/>
                <w:szCs w:val="18"/>
                <w:color w:val="auto"/>
              </w:rPr>
              <w:t>and 12,847 issued and outstanding at September 30, 2021; 30,000 shares of Class B</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80" w:type="dxa"/>
            <w:vAlign w:val="bottom"/>
          </w:tcPr>
          <w:p>
            <w:pPr>
              <w:ind w:left="240"/>
              <w:spacing w:after="0"/>
              <w:rPr>
                <w:sz w:val="20"/>
                <w:szCs w:val="20"/>
                <w:color w:val="auto"/>
              </w:rPr>
            </w:pPr>
            <w:r>
              <w:rPr>
                <w:rFonts w:ascii="Arial" w:cs="Arial" w:eastAsia="Arial" w:hAnsi="Arial"/>
                <w:sz w:val="18"/>
                <w:szCs w:val="18"/>
                <w:color w:val="auto"/>
              </w:rPr>
              <w:t>common stock authorized and 24,598 issued and outstanding at September 30, 2021;</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80" w:type="dxa"/>
            <w:vAlign w:val="bottom"/>
          </w:tcPr>
          <w:p>
            <w:pPr>
              <w:ind w:left="240"/>
              <w:spacing w:after="0"/>
              <w:rPr>
                <w:sz w:val="20"/>
                <w:szCs w:val="20"/>
                <w:color w:val="auto"/>
              </w:rPr>
            </w:pPr>
            <w:r>
              <w:rPr>
                <w:rFonts w:ascii="Arial" w:cs="Arial" w:eastAsia="Arial" w:hAnsi="Arial"/>
                <w:sz w:val="18"/>
                <w:szCs w:val="18"/>
                <w:color w:val="auto"/>
              </w:rPr>
              <w:t>42,800 authorized shares of common stock; 12,794 issued and outstanding at</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580" w:type="dxa"/>
            <w:vAlign w:val="bottom"/>
          </w:tcPr>
          <w:p>
            <w:pPr>
              <w:ind w:left="240"/>
              <w:spacing w:after="0"/>
              <w:rPr>
                <w:sz w:val="20"/>
                <w:szCs w:val="20"/>
                <w:color w:val="auto"/>
              </w:rPr>
            </w:pPr>
            <w:r>
              <w:rPr>
                <w:rFonts w:ascii="Arial" w:cs="Arial" w:eastAsia="Arial" w:hAnsi="Arial"/>
                <w:sz w:val="18"/>
                <w:szCs w:val="18"/>
                <w:color w:val="auto"/>
              </w:rPr>
              <w:t>December 31, 2020.</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664,124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r>
      <w:tr>
        <w:trPr>
          <w:trHeight w:val="229"/>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(153,397)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r>
      <w:tr>
        <w:trPr>
          <w:trHeight w:val="223"/>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510,731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1"/>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2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63,595</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45,305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177,758</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113,428</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18,078</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49,234</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0" w:type="dxa"/>
            <w:vAlign w:val="bottom"/>
          </w:tcPr>
          <w:p>
            <w:pPr>
              <w:spacing w:after="0"/>
              <w:rPr>
                <w:sz w:val="1"/>
                <w:szCs w:val="1"/>
                <w:color w:val="auto"/>
              </w:rPr>
            </w:pPr>
          </w:p>
        </w:tc>
      </w:tr>
      <w:tr>
        <w:trPr>
          <w:trHeight w:val="223"/>
        </w:trPr>
        <w:tc>
          <w:tcPr>
            <w:tcW w:w="4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45,517</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32,204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128,524</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80,304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29,345</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73,814</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37,581</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44,659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29"/>
        </w:trPr>
        <w:tc>
          <w:tcPr>
            <w:tcW w:w="42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29,605</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52,643</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22,885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74,217</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171,116</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85,744</w:t>
            </w:r>
          </w:p>
        </w:tc>
        <w:tc>
          <w:tcPr>
            <w:tcW w:w="0" w:type="dxa"/>
            <w:vAlign w:val="bottom"/>
          </w:tcPr>
          <w:p>
            <w:pPr>
              <w:spacing w:after="0"/>
              <w:rPr>
                <w:sz w:val="1"/>
                <w:szCs w:val="1"/>
                <w:color w:val="auto"/>
              </w:rPr>
            </w:pPr>
          </w:p>
        </w:tc>
      </w:tr>
      <w:tr>
        <w:trPr>
          <w:trHeight w:val="223"/>
        </w:trPr>
        <w:tc>
          <w:tcPr>
            <w:tcW w:w="4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(28,700)</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(42,592)</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(28,919)</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(42,549)</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(28,970)</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(42,618)</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0"/>
        </w:trPr>
        <w:tc>
          <w:tcPr>
            <w:tcW w:w="4200" w:type="dxa"/>
            <w:vAlign w:val="bottom"/>
            <w:tcBorders>
              <w:top w:val="single" w:sz="8" w:color="DBDBDB"/>
              <w:bottom w:val="single" w:sz="8" w:color="DBDBDB"/>
            </w:tcBorders>
            <w:vMerge w:val="restart"/>
          </w:tcPr>
          <w:p>
            <w:pPr>
              <w:ind w:left="20"/>
              <w:spacing w:after="0" w:line="176" w:lineRule="exact"/>
              <w:rPr>
                <w:sz w:val="20"/>
                <w:szCs w:val="20"/>
                <w:color w:val="auto"/>
              </w:rPr>
            </w:pPr>
            <w:r>
              <w:rPr>
                <w:rFonts w:ascii="Arial" w:cs="Arial" w:eastAsia="Arial" w:hAnsi="Arial"/>
                <w:sz w:val="18"/>
                <w:szCs w:val="18"/>
                <w:color w:val="auto"/>
              </w:rPr>
              <w:t>Net loss per share attributable to Class A and Class</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00" w:type="dxa"/>
            <w:vAlign w:val="bottom"/>
            <w:vMerge w:val="continue"/>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1"/>
                <w:szCs w:val="11"/>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1"/>
                <w:szCs w:val="11"/>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95"/>
        </w:trPr>
        <w:tc>
          <w:tcPr>
            <w:tcW w:w="4200" w:type="dxa"/>
            <w:vAlign w:val="bottom"/>
          </w:tcPr>
          <w:p>
            <w:pPr>
              <w:ind w:left="180"/>
              <w:spacing w:after="0" w:line="190" w:lineRule="exact"/>
              <w:rPr>
                <w:sz w:val="20"/>
                <w:szCs w:val="20"/>
                <w:color w:val="auto"/>
              </w:rPr>
            </w:pPr>
            <w:r>
              <w:rPr>
                <w:rFonts w:ascii="Arial" w:cs="Arial" w:eastAsia="Arial" w:hAnsi="Arial"/>
                <w:sz w:val="18"/>
                <w:szCs w:val="18"/>
                <w:color w:val="auto"/>
              </w:rPr>
              <w:t>B common stockholders, basic</w:t>
            </w:r>
          </w:p>
        </w:tc>
        <w:tc>
          <w:tcPr>
            <w:tcW w:w="1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shd w:val="clear" w:color="auto" w:fill="DBDBDB"/>
          </w:tcPr>
          <w:p>
            <w:pPr>
              <w:ind w:left="20"/>
              <w:spacing w:after="0" w:line="155" w:lineRule="exact"/>
              <w:rPr>
                <w:sz w:val="20"/>
                <w:szCs w:val="20"/>
                <w:color w:val="auto"/>
              </w:rPr>
            </w:pPr>
            <w:r>
              <w:rPr>
                <w:rFonts w:ascii="Arial" w:cs="Arial" w:eastAsia="Arial" w:hAnsi="Arial"/>
                <w:sz w:val="17"/>
                <w:szCs w:val="17"/>
                <w:color w:val="auto"/>
              </w:rPr>
              <w:t>Net loss per share attributable to Class A and Class</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DBDBDB"/>
          </w:tcPr>
          <w:p>
            <w:pPr>
              <w:spacing w:after="0"/>
              <w:rPr>
                <w:sz w:val="13"/>
                <w:szCs w:val="13"/>
                <w:color w:val="auto"/>
              </w:rPr>
            </w:pP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DBDBDB"/>
          </w:tcPr>
          <w:p>
            <w:pPr>
              <w:spacing w:after="0"/>
              <w:rPr>
                <w:sz w:val="13"/>
                <w:szCs w:val="13"/>
                <w:color w:val="auto"/>
              </w:rPr>
            </w:pP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DBDBDB"/>
          </w:tcPr>
          <w:p>
            <w:pPr>
              <w:spacing w:after="0"/>
              <w:rPr>
                <w:sz w:val="13"/>
                <w:szCs w:val="13"/>
                <w:color w:val="auto"/>
              </w:rPr>
            </w:pP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DBDBDB"/>
            </w:tcBorders>
            <w:shd w:val="clear" w:color="auto" w:fill="DBDBDB"/>
          </w:tcPr>
          <w:p>
            <w:pPr>
              <w:ind w:left="180"/>
              <w:spacing w:after="0" w:line="190" w:lineRule="exact"/>
              <w:rPr>
                <w:sz w:val="20"/>
                <w:szCs w:val="20"/>
                <w:color w:val="auto"/>
              </w:rPr>
            </w:pPr>
            <w:r>
              <w:rPr>
                <w:rFonts w:ascii="Arial" w:cs="Arial" w:eastAsia="Arial" w:hAnsi="Arial"/>
                <w:sz w:val="18"/>
                <w:szCs w:val="18"/>
                <w:color w:val="auto"/>
              </w:rPr>
              <w:t>B common stockholders, diluted</w:t>
            </w: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52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auto"/>
            </w:tcBorders>
            <w:vMerge w:val="continue"/>
            <w:shd w:val="clear" w:color="auto" w:fill="DBDBDB"/>
          </w:tcPr>
          <w:p>
            <w:pPr>
              <w:spacing w:after="0"/>
              <w:rPr>
                <w:sz w:val="18"/>
                <w:szCs w:val="18"/>
                <w:color w:val="auto"/>
              </w:rPr>
            </w:pPr>
          </w:p>
        </w:tc>
        <w:tc>
          <w:tcPr>
            <w:tcW w:w="13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vMerge w:val="continue"/>
            <w:shd w:val="clear" w:color="auto" w:fill="DBDBDB"/>
          </w:tcPr>
          <w:p>
            <w:pPr>
              <w:spacing w:after="0"/>
              <w:rPr>
                <w:sz w:val="18"/>
                <w:szCs w:val="18"/>
                <w:color w:val="auto"/>
              </w:rPr>
            </w:pPr>
          </w:p>
        </w:tc>
        <w:tc>
          <w:tcPr>
            <w:tcW w:w="148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auto"/>
            </w:tcBorders>
            <w:vMerge w:val="continue"/>
            <w:shd w:val="clear" w:color="auto" w:fill="DBDBDB"/>
          </w:tcPr>
          <w:p>
            <w:pPr>
              <w:spacing w:after="0"/>
              <w:rPr>
                <w:sz w:val="18"/>
                <w:szCs w:val="18"/>
                <w:color w:val="auto"/>
              </w:rPr>
            </w:pPr>
          </w:p>
        </w:tc>
        <w:tc>
          <w:tcPr>
            <w:tcW w:w="130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2020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9"/>
              </w:rPr>
              <w:t>Convertible Preferred</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7"/>
              </w:rPr>
              <w:t>Stock</w:t>
            </w:r>
          </w:p>
        </w:tc>
        <w:tc>
          <w:tcPr>
            <w:tcW w:w="12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5"/>
                <w:szCs w:val="15"/>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BALANCE—Balance—July 1, 2020</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18,488</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147,662</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12,482</w:t>
            </w:r>
          </w:p>
        </w:tc>
        <w:tc>
          <w:tcPr>
            <w:tcW w:w="8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14,311</w:t>
            </w:r>
          </w:p>
        </w:tc>
        <w:tc>
          <w:tcPr>
            <w:tcW w:w="8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(97,196)</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(82,884)</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8"/>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BALANCE—September 30, 2020</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18,488</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147,662</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12,598</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480" w:type="dxa"/>
            <w:vAlign w:val="bottom"/>
            <w:tcBorders>
              <w:top w:val="single" w:sz="8" w:color="auto"/>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16,673</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(100,372)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Balance—July 1, 2021</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19,074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13,271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30,649</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(124,427)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(93,777)</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shd w:val="clear" w:color="auto" w:fill="DBDBDB"/>
          </w:tcPr>
          <w:p>
            <w:pPr>
              <w:ind w:left="140"/>
              <w:spacing w:after="0" w:line="155" w:lineRule="exact"/>
              <w:rPr>
                <w:sz w:val="20"/>
                <w:szCs w:val="20"/>
                <w:color w:val="auto"/>
              </w:rPr>
            </w:pPr>
            <w:r>
              <w:rPr>
                <w:rFonts w:ascii="Arial" w:cs="Arial" w:eastAsia="Arial" w:hAnsi="Arial"/>
                <w:sz w:val="17"/>
                <w:szCs w:val="17"/>
                <w:color w:val="auto"/>
              </w:rPr>
              <w:t>Issuance of common stock in connection with</w:t>
            </w: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tcBorders>
              <w:right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DBDBDB"/>
          </w:tcPr>
          <w:p>
            <w:pPr>
              <w:ind w:left="300"/>
              <w:spacing w:after="0" w:line="176" w:lineRule="exact"/>
              <w:rPr>
                <w:sz w:val="20"/>
                <w:szCs w:val="20"/>
                <w:color w:val="auto"/>
              </w:rPr>
            </w:pPr>
            <w:r>
              <w:rPr>
                <w:rFonts w:ascii="Arial" w:cs="Arial" w:eastAsia="Arial" w:hAnsi="Arial"/>
                <w:sz w:val="18"/>
                <w:szCs w:val="18"/>
                <w:color w:val="auto"/>
              </w:rPr>
              <w:t>initial public offering, net of underwriting</w:t>
            </w:r>
          </w:p>
        </w:tc>
        <w:tc>
          <w:tcPr>
            <w:tcW w:w="9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discounts and issuance costs</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4,466</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426,191</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426,192</w:t>
            </w: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Conversion of redeemable convertible preferred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300"/>
              <w:spacing w:after="0" w:line="176" w:lineRule="exact"/>
              <w:rPr>
                <w:sz w:val="20"/>
                <w:szCs w:val="20"/>
                <w:color w:val="auto"/>
              </w:rPr>
            </w:pPr>
            <w:r>
              <w:rPr>
                <w:rFonts w:ascii="Arial" w:cs="Arial" w:eastAsia="Arial" w:hAnsi="Arial"/>
                <w:sz w:val="18"/>
                <w:szCs w:val="18"/>
                <w:color w:val="auto"/>
              </w:rPr>
              <w:t>stock to common stock in connection with</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initial public offering</w:t>
            </w:r>
          </w:p>
        </w:tc>
        <w:tc>
          <w:tcPr>
            <w:tcW w:w="940" w:type="dxa"/>
            <w:vAlign w:val="bottom"/>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182,607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20,662</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20,662</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(28,970)</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BALANCE—September 30,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37,445</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664,124</w:t>
            </w:r>
          </w:p>
        </w:tc>
        <w:tc>
          <w:tcPr>
            <w:tcW w:w="8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(153,397)</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510,731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2020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9"/>
              </w:rPr>
              <w:t>Convertible Preferred</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7"/>
              </w:rPr>
              <w:t>Stock</w:t>
            </w:r>
          </w:p>
        </w:tc>
        <w:tc>
          <w:tcPr>
            <w:tcW w:w="12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5"/>
                <w:szCs w:val="15"/>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BALANCE—Balance—January 1, 2020</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Issuance of Series G convertible preferred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stock, net $24 of fees</w:t>
            </w: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4,517</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(5,369)</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147,662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12,598</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2021</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Issuance of common stock in connection with</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300"/>
              <w:spacing w:after="0" w:line="176" w:lineRule="exact"/>
              <w:rPr>
                <w:sz w:val="20"/>
                <w:szCs w:val="20"/>
                <w:color w:val="auto"/>
              </w:rPr>
            </w:pPr>
            <w:r>
              <w:rPr>
                <w:rFonts w:ascii="Arial" w:cs="Arial" w:eastAsia="Arial" w:hAnsi="Arial"/>
                <w:sz w:val="18"/>
                <w:szCs w:val="18"/>
                <w:color w:val="auto"/>
              </w:rPr>
              <w:t>initial public offering, net of underwriting</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discounts and issuance costs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426,191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426,192</w:t>
            </w:r>
          </w:p>
        </w:tc>
        <w:tc>
          <w:tcPr>
            <w:tcW w:w="0" w:type="dxa"/>
            <w:vAlign w:val="bottom"/>
          </w:tcPr>
          <w:p>
            <w:pPr>
              <w:spacing w:after="0"/>
              <w:rPr>
                <w:sz w:val="1"/>
                <w:szCs w:val="1"/>
                <w:color w:val="auto"/>
              </w:rPr>
            </w:pPr>
          </w:p>
        </w:tc>
      </w:tr>
      <w:tr>
        <w:trPr>
          <w:trHeight w:val="188"/>
        </w:trPr>
        <w:tc>
          <w:tcPr>
            <w:tcW w:w="4000" w:type="dxa"/>
            <w:vAlign w:val="bottom"/>
            <w:shd w:val="clear" w:color="auto" w:fill="DBDBDB"/>
          </w:tcPr>
          <w:p>
            <w:pPr>
              <w:ind w:left="140"/>
              <w:spacing w:after="0" w:line="189" w:lineRule="exact"/>
              <w:rPr>
                <w:sz w:val="20"/>
                <w:szCs w:val="20"/>
                <w:color w:val="auto"/>
              </w:rPr>
            </w:pPr>
            <w:r>
              <w:rPr>
                <w:rFonts w:ascii="Arial" w:cs="Arial" w:eastAsia="Arial" w:hAnsi="Arial"/>
                <w:sz w:val="18"/>
                <w:szCs w:val="18"/>
                <w:color w:val="auto"/>
              </w:rPr>
              <w:t>Conversion of redeemable convertible preferred</w:t>
            </w: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DBDBDB"/>
          </w:tcPr>
          <w:p>
            <w:pPr>
              <w:ind w:left="300"/>
              <w:spacing w:after="0" w:line="176" w:lineRule="exact"/>
              <w:rPr>
                <w:sz w:val="20"/>
                <w:szCs w:val="20"/>
                <w:color w:val="auto"/>
              </w:rPr>
            </w:pPr>
            <w:r>
              <w:rPr>
                <w:rFonts w:ascii="Arial" w:cs="Arial" w:eastAsia="Arial" w:hAnsi="Arial"/>
                <w:sz w:val="18"/>
                <w:szCs w:val="18"/>
                <w:color w:val="auto"/>
              </w:rPr>
              <w:t>stock to common stock in connection with</w:t>
            </w:r>
          </w:p>
        </w:tc>
        <w:tc>
          <w:tcPr>
            <w:tcW w:w="9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initial public offering</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182,607</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26,120</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7,322</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Common stock repurchased and retired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Options repurchased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96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(42,618)</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BALANCE—September 30, 2021</w:t>
            </w:r>
          </w:p>
        </w:tc>
        <w:tc>
          <w:tcPr>
            <w:tcW w:w="102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3"/>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37,445</w:t>
            </w:r>
          </w:p>
        </w:tc>
        <w:tc>
          <w:tcPr>
            <w:tcW w:w="80" w:type="dxa"/>
            <w:vAlign w:val="bottom"/>
            <w:tcBorders>
              <w:bottom w:val="single" w:sz="8" w:color="auto"/>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664,124</w:t>
            </w:r>
          </w:p>
        </w:tc>
        <w:tc>
          <w:tcPr>
            <w:tcW w:w="8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(153,397)</w:t>
            </w:r>
          </w:p>
        </w:tc>
        <w:tc>
          <w:tcPr>
            <w:tcW w:w="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510,731</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420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9"/>
        </w:trPr>
        <w:tc>
          <w:tcPr>
            <w:tcW w:w="6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28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26,120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9"/>
        </w:trPr>
        <w:tc>
          <w:tcPr>
            <w:tcW w:w="684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Deferred revenue</w:t>
            </w:r>
          </w:p>
        </w:tc>
        <w:tc>
          <w:tcPr>
            <w:tcW w:w="128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25,668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29"/>
        </w:trPr>
        <w:tc>
          <w:tcPr>
            <w:tcW w:w="68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29"/>
        </w:trPr>
        <w:tc>
          <w:tcPr>
            <w:tcW w:w="6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Deferred cost of revenues</w:t>
            </w:r>
          </w:p>
        </w:tc>
        <w:tc>
          <w:tcPr>
            <w:tcW w:w="128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68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9"/>
        </w:trPr>
        <w:tc>
          <w:tcPr>
            <w:tcW w:w="68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Noncurrent assets and liabilities</w:t>
            </w:r>
          </w:p>
        </w:tc>
        <w:tc>
          <w:tcPr>
            <w:tcW w:w="128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16"/>
        </w:trPr>
        <w:tc>
          <w:tcPr>
            <w:tcW w:w="6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Capitalized software</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Purchase of property and equipment</w:t>
            </w:r>
          </w:p>
        </w:tc>
        <w:tc>
          <w:tcPr>
            <w:tcW w:w="128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1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6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40" w:type="dxa"/>
            <w:vAlign w:val="bottom"/>
          </w:tcPr>
          <w:p>
            <w:pPr>
              <w:ind w:left="120"/>
              <w:spacing w:after="0" w:line="189" w:lineRule="exact"/>
              <w:rPr>
                <w:sz w:val="20"/>
                <w:szCs w:val="20"/>
                <w:color w:val="auto"/>
              </w:rPr>
            </w:pPr>
            <w:r>
              <w:rPr>
                <w:rFonts w:ascii="Arial" w:cs="Arial" w:eastAsia="Arial" w:hAnsi="Arial"/>
                <w:sz w:val="18"/>
                <w:szCs w:val="18"/>
                <w:color w:val="auto"/>
              </w:rPr>
              <w:t>Issuance of common stock in connection with the initial public offering, net of</w:t>
            </w: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40" w:type="dxa"/>
            <w:vAlign w:val="bottom"/>
          </w:tcPr>
          <w:p>
            <w:pPr>
              <w:ind w:left="460"/>
              <w:spacing w:after="0"/>
              <w:rPr>
                <w:sz w:val="20"/>
                <w:szCs w:val="20"/>
                <w:color w:val="auto"/>
              </w:rPr>
            </w:pPr>
            <w:r>
              <w:rPr>
                <w:rFonts w:ascii="Arial" w:cs="Arial" w:eastAsia="Arial" w:hAnsi="Arial"/>
                <w:sz w:val="18"/>
                <w:szCs w:val="18"/>
                <w:color w:val="auto"/>
              </w:rPr>
              <w:t>underwriting discounts and issuance costs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426,191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Net proceeds from issuance of convertible preferred stock</w:t>
            </w:r>
          </w:p>
        </w:tc>
        <w:tc>
          <w:tcPr>
            <w:tcW w:w="1280" w:type="dxa"/>
            <w:vAlign w:val="bottom"/>
            <w:shd w:val="clear" w:color="auto" w:fill="DBDBDB"/>
          </w:tcPr>
          <w:p>
            <w:pPr>
              <w:spacing w:after="0"/>
              <w:rPr>
                <w:sz w:val="19"/>
                <w:szCs w:val="19"/>
                <w:color w:val="auto"/>
              </w:rPr>
            </w:pPr>
          </w:p>
        </w:tc>
        <w:tc>
          <w:tcPr>
            <w:tcW w:w="8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Repurchases of stock options</w:t>
            </w:r>
          </w:p>
        </w:tc>
        <w:tc>
          <w:tcPr>
            <w:tcW w:w="128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425,310</w:t>
            </w:r>
          </w:p>
        </w:tc>
        <w:tc>
          <w:tcPr>
            <w:tcW w:w="10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428,950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22,453</w:t>
            </w:r>
          </w:p>
        </w:tc>
        <w:tc>
          <w:tcPr>
            <w:tcW w:w="0" w:type="dxa"/>
            <w:vAlign w:val="bottom"/>
          </w:tcPr>
          <w:p>
            <w:pPr>
              <w:spacing w:after="0"/>
              <w:rPr>
                <w:sz w:val="1"/>
                <w:szCs w:val="1"/>
                <w:color w:val="auto"/>
              </w:rPr>
            </w:pPr>
          </w:p>
        </w:tc>
      </w:tr>
      <w:tr>
        <w:trPr>
          <w:trHeight w:val="229"/>
        </w:trPr>
        <w:tc>
          <w:tcPr>
            <w:tcW w:w="6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28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59,843</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82,296</w:t>
            </w:r>
          </w:p>
        </w:tc>
        <w:tc>
          <w:tcPr>
            <w:tcW w:w="0" w:type="dxa"/>
            <w:vAlign w:val="bottom"/>
          </w:tcPr>
          <w:p>
            <w:pPr>
              <w:spacing w:after="0"/>
              <w:rPr>
                <w:sz w:val="1"/>
                <w:szCs w:val="1"/>
                <w:color w:val="auto"/>
              </w:rPr>
            </w:pPr>
          </w:p>
        </w:tc>
      </w:tr>
      <w:tr>
        <w:trPr>
          <w:trHeight w:val="21"/>
        </w:trPr>
        <w:tc>
          <w:tcPr>
            <w:tcW w:w="6840" w:type="dxa"/>
            <w:vAlign w:val="bottom"/>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Cash paid for interest</w:t>
            </w: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Cash paid for income taxes</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Supplemental disclosure of noncash operating activities:</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Implementation costs for cloud computing included in accrued expenses</w:t>
            </w: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Property and equipment included in accrued expenses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165100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0" w:name="page11"/>
    <w:bookmarkEnd w:id="1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71"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Duolingo, Inc. (the “Company” or “Duolingo”) was formed on August 18, 2011 and the Duolingo app was launched to the general public on June 19, 2012. The Company’s headquarters are located in Pittsburgh, Pennsylvania.</w:t>
      </w:r>
    </w:p>
    <w:p>
      <w:pPr>
        <w:spacing w:after="0" w:line="14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On July 30, 2021, Duolingo completed its Initial Public Offering (“IPO”) of 5,872 shares of its Class A common stock at a price to the public of $102.00 per share, 4,466 of which were sold by the Company and 1,406 of which were sold by certain selling stockholders, which includes the exercise in full by the underwriters of their option to purchase from the Company an additional 766 shares of the Company’s Class A common stock. The gross proceeds to the Company from the IPO were $455,532, before deducting underwriting discounts and commissions and offering expenses payable by the Company. The Company did not receive any proceeds from the sale of shares of Class A common stock in the offering by the selling stockholders. Immediately prior to the completion of the IPO, all convertible preferred stock outstanding, totaling approximately 19,074 shares, was automatically converted into an equivalent number of shares of Class B common stock on a one-to-one basis and their carrying value of $182,609 was reclassified to stockholders’ equity (deficit). Additionally, on July 15, 2021, 6,930 shares held by our founders were exchanged from Class A common stock into Class B common stock.</w:t>
      </w:r>
    </w:p>
    <w:p>
      <w:pPr>
        <w:spacing w:after="0" w:line="155"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unaudited condensed consolidated financial statements include the accounts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over which the Company has control. All intercompany transactions and balances have been eliminated.</w:t>
      </w:r>
    </w:p>
    <w:p>
      <w:pPr>
        <w:spacing w:after="0" w:line="9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accounting principles in the United States (“GAAP”) from the Company’s accounting records and reflect the consolidated financial position and results of operations for the three and nine months ended September 30, 2021 and 2020. Unless otherwise specified, all dollar amounts are referred to in thousands.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consolidated financial statements elsewhere in this this Quarterly Report on Form 10-Q, in preparing these unaudited condensed consolidated financial statements, with the exception of accounting standard updates described in Note 2, “Recently Adopted Accounting Pronouncements.” These unaudited condensed consolidated financial statements should be read in conjunction with the audited financial statements and the notes for the fiscal year ended December 31, 2020 included in the final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27, 2021 and filed with the SEC, pursuant to Rule 424(b)(4) on July 28, 2021 (“Final Prospectus”).</w:t>
      </w:r>
    </w:p>
    <w:p>
      <w:pPr>
        <w:spacing w:after="0" w:line="14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2"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2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consist of direct incremental legal, accounting, and consulting fees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IPO, are capitalized. Deferred offering costs of $4,865 were offset against IPO proceeds upon the consummation of the IPO, of which $1,123 are expected to be paid in the fourth quarter of 2021. This amount was included in the unaudited condensed consolidated balance sheets within Accrued expenses and other current liabilities at September 30, 2021.</w:t>
      </w:r>
    </w:p>
    <w:p>
      <w:pPr>
        <w:spacing w:after="0" w:line="12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9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39,694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20,428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509,746</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549,440</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the unadjusted, quoted prices in active markets for identical assets or liabilities at the measurement date.</w:t>
      </w:r>
    </w:p>
    <w:p>
      <w:pPr>
        <w:spacing w:after="0" w:line="121"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Advertising costs were approximately $12,013 and $31,764 for the three and nine months ended September 30,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$8,843 and $19,338 for the three and nine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September 30, 2020, respectively, and are included within Sales and marketing in the unaudited condensed consolidated statement of operations and comprehensive loss.</w:t>
      </w:r>
    </w:p>
    <w:p>
      <w:pPr>
        <w:spacing w:after="0" w:line="121" w:lineRule="exact"/>
        <w:rPr>
          <w:sz w:val="20"/>
          <w:szCs w:val="20"/>
          <w:color w:val="auto"/>
        </w:rPr>
      </w:pPr>
    </w:p>
    <w:p>
      <w:pPr>
        <w:jc w:val="both"/>
        <w:ind w:right="160"/>
        <w:spacing w:after="0" w:line="28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Company’s provision for income taxes is computed by using an estimate of the annual effective tax rate,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items taken into account in the relevant period, if any. Each quarter, the annual effective income tax rate is recomputed and if there are material changes in the estimate, a cumulative adjustment is made.</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auto"/>
        </w:rPr>
        <w:t>Contributors—</w:t>
      </w:r>
      <w:r>
        <w:rPr>
          <w:rFonts w:ascii="Arial" w:cs="Arial" w:eastAsia="Arial" w:hAnsi="Arial"/>
          <w:sz w:val="18"/>
          <w:szCs w:val="18"/>
          <w:color w:val="auto"/>
        </w:rPr>
        <w:t>On March 10, 2021, the Company announced that it was ending its non-employee volunteer program, which began in 2013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build and improve language courses. As part of this change, those contributors who participated in the program became eligible to receive a one-time award, up to an aggregate amount of approximately $5,098, including fees paid to process payments of approximately $526. The Company accounted for this under Financial Accounting Standards Board (“FASB”) Accounting Standards Codifications (“ASC”) 958-720, </w:t>
      </w:r>
      <w:r>
        <w:rPr>
          <w:rFonts w:ascii="Arial" w:cs="Arial" w:eastAsia="Arial" w:hAnsi="Arial"/>
          <w:sz w:val="18"/>
          <w:szCs w:val="18"/>
          <w:i w:val="1"/>
          <w:iCs w:val="1"/>
          <w:color w:val="auto"/>
        </w:rPr>
        <w:t xml:space="preserve">Not-For-Profit Entities - Other Expenses </w:t>
      </w:r>
      <w:r>
        <w:rPr>
          <w:rFonts w:ascii="Arial" w:cs="Arial" w:eastAsia="Arial" w:hAnsi="Arial"/>
          <w:sz w:val="18"/>
          <w:szCs w:val="18"/>
          <w:color w:val="auto"/>
        </w:rPr>
        <w:t>and ASC 720-25,</w:t>
      </w:r>
      <w:r>
        <w:rPr>
          <w:rFonts w:ascii="Arial" w:cs="Arial" w:eastAsia="Arial" w:hAnsi="Arial"/>
          <w:sz w:val="18"/>
          <w:szCs w:val="18"/>
          <w:i w:val="1"/>
          <w:iCs w:val="1"/>
          <w:color w:val="auto"/>
        </w:rPr>
        <w:t xml:space="preserve"> Contributions Made</w:t>
      </w:r>
      <w:r>
        <w:rPr>
          <w:rFonts w:ascii="Arial" w:cs="Arial" w:eastAsia="Arial" w:hAnsi="Arial"/>
          <w:sz w:val="18"/>
          <w:szCs w:val="18"/>
          <w:color w:val="auto"/>
        </w:rPr>
        <w:t>, based on the nature of this contribution, which is an</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 promise. The Company recorded the initial charge during the three months ended March 31, 2021, which is when the Company made the unconditional promise to pay. During the three months ended June 30, 2021 the amount previously reserved was reduced by $878 to reflect those awards that were not claimed, resulting in a reduction of the expense, bringing the total amount to $4,220. This amount is included within Sales and marketing in the unaudited condensed consolidated statement of operations and comprehensive loss.</w:t>
      </w:r>
    </w:p>
    <w:p>
      <w:pPr>
        <w:spacing w:after="0" w:line="128"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providers. The top three, Apple, Google, and Stripe, accounted for 49.8%, 29.0%, and 14.4% of total accounts receivable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respectively. The top three service providers, Apple, Google and Stripe, accounted for 47.8%, 28.9% and 13.8% of total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as of December 31, 2020, respectively.</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Three service providers, Apple, Google, and Stripe, processed 51.6%, 29.3% and 12.1% and 51.2%, 29.0%, and 11.0% of total revenue for the three and nine months ended September 30, 2021, respectively. Three service providers, Apple, Google, and Stripe, processed 50.7%, 25.6%, and 11.0% of total revenue for the three months ended September 30, 2020, respectively. Two services providers, Apple and Google, processed 51.5% and 26.8% for the nine months ended September 30, 2020.</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accounts for equity-based compensation using the fair value method as set forth in the ASC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the measurement and recognition of compensation expense for all stock-based payment awards based on estimated fair values. This method 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03"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Company began to grant RSUs in November 2020. The fair value of RSUs is estimated based on the fair value of the Company’s common stock on the date of grant. Each RSU award granted prior to the IPO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The Company measures and recognizes compensation expense for all stock-based awards based on the estimated fair value of the award. Prior to July 30, 2021, no stock-based compensation expense had been recognized for RSUs because the liquidity-based vesting condition had not been probable of being satisfied. Upon the IPO, the liquidity-based vesting condition was satisfied and $2,035 of stock-based compensation expense was recognized related to these awards during the three months ended September 30, 2021. Of that amount, $1,332, $210 and $493 was included within Research and development, Sales and marketing and General and administrative, respectively, in the unaudited condensed consolidated statement of operations and comprehensive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June 2021, the Company granted 1,800 (one million eight-hundred thousand) performance-based RSUs to the Company’s founders (“Founder Awards”). The Founder Awards are divided into ten equal tranches with each tranche becoming eligible to vest upon achievement of the specified stock-price hurdles.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fair value of the Founder Awards is determined using a Monte Carlo simulation model.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 The first tranche was met during the three months ended September 30, 2021. The Company recognized $8,267 of stock-based compensation expense related to these awards, which is included within General and administrative in the unaudited condensed consolidated statement of operations and comprehensive loss.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9"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color w:val="auto"/>
        </w:rPr>
        <w:t xml:space="preserve">In August 2018, the FASB issued Accounting Standard Update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i w:val="1"/>
          <w:iCs w:val="1"/>
          <w:color w:val="auto"/>
        </w:rPr>
        <w:t>Incurred in a Cloud Computing Arrangement That is a Service Contract (ASU 2018-15)</w:t>
      </w:r>
      <w:r>
        <w:rPr>
          <w:rFonts w:ascii="Arial" w:cs="Arial" w:eastAsia="Arial" w:hAnsi="Arial"/>
          <w:sz w:val="18"/>
          <w:szCs w:val="18"/>
          <w:color w:val="auto"/>
        </w:rPr>
        <w:t>. ASU 2018-15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The Company adopted this guidance on January 1, 2021 and it did not have a material impact on its unaudited condensed consolidated financial statements and related disclosures upon adoption.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18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unaudited condensed consolidated financial statements and related disclosures.</w:t>
      </w:r>
    </w:p>
    <w:p>
      <w:pPr>
        <w:spacing w:after="0" w:line="1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Under the year-long subscription, users can also purchase a single plan or a family plan, which allows up to six users to be on one subscription.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5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haven’t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9"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which most closely depicts how the nature, amount, timing and uncertainty of revenue and cash flows are affected by economic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00" w:type="dxa"/>
            <w:vAlign w:val="bottom"/>
            <w:gridSpan w:val="9"/>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DBDBDB"/>
            </w:tcBorders>
          </w:tcPr>
          <w:p>
            <w:pPr>
              <w:spacing w:after="0"/>
              <w:rPr>
                <w:sz w:val="15"/>
                <w:szCs w:val="15"/>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DBDBDB"/>
            </w:tcBorders>
          </w:tcPr>
          <w:p>
            <w:pPr>
              <w:spacing w:after="0"/>
              <w:rPr>
                <w:sz w:val="15"/>
                <w:szCs w:val="15"/>
                <w:color w:val="auto"/>
              </w:rPr>
            </w:pPr>
          </w:p>
        </w:tc>
        <w:tc>
          <w:tcPr>
            <w:tcW w:w="40" w:type="dxa"/>
            <w:vAlign w:val="bottom"/>
            <w:tcBorders>
              <w:top w:val="single" w:sz="8" w:color="auto"/>
              <w:bottom w:val="single" w:sz="8" w:color="DBDBDB"/>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DBDBDB"/>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1040" w:type="dxa"/>
            <w:vAlign w:val="bottom"/>
            <w:gridSpan w:val="2"/>
            <w:shd w:val="clear" w:color="auto" w:fill="DBDBDB"/>
          </w:tcPr>
          <w:p>
            <w:pPr>
              <w:jc w:val="right"/>
              <w:ind w:right="84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8"/>
              </w:rPr>
              <w:t>46,030</w:t>
            </w: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32,317</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129,587</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17,565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30,666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auto"/>
            </w:tcBorders>
            <w:gridSpan w:val="2"/>
            <w:shd w:val="clear" w:color="auto" w:fill="DBDBDB"/>
          </w:tcPr>
          <w:p>
            <w:pPr>
              <w:jc w:val="right"/>
              <w:ind w:right="84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8"/>
              </w:rPr>
              <w:t>63,595</w:t>
            </w: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gridSpan w:val="2"/>
            <w:shd w:val="clear" w:color="auto" w:fill="DBDBDB"/>
          </w:tcPr>
          <w:p>
            <w:pPr>
              <w:jc w:val="right"/>
              <w:ind w:right="3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45,305</w:t>
            </w:r>
          </w:p>
        </w:tc>
        <w:tc>
          <w:tcPr>
            <w:tcW w:w="40" w:type="dxa"/>
            <w:vAlign w:val="bottom"/>
            <w:tcBorders>
              <w:bottom w:val="single" w:sz="8" w:color="DBDBDB"/>
            </w:tcBorders>
            <w:shd w:val="clear" w:color="auto" w:fill="DBDBDB"/>
          </w:tcPr>
          <w:p>
            <w:pPr>
              <w:spacing w:after="0"/>
              <w:rPr>
                <w:sz w:val="21"/>
                <w:szCs w:val="21"/>
                <w:color w:val="auto"/>
              </w:rPr>
            </w:pPr>
          </w:p>
        </w:tc>
        <w:tc>
          <w:tcPr>
            <w:tcW w:w="6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177,758</w:t>
            </w:r>
          </w:p>
        </w:tc>
        <w:tc>
          <w:tcPr>
            <w:tcW w:w="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113,428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1040" w:type="dxa"/>
            <w:vAlign w:val="bottom"/>
            <w:tcBorders>
              <w:bottom w:val="single" w:sz="8" w:color="DBDBDB"/>
            </w:tcBorders>
            <w:gridSpan w:val="2"/>
            <w:shd w:val="clear" w:color="auto" w:fill="DBDBDB"/>
          </w:tcPr>
          <w:p>
            <w:pPr>
              <w:jc w:val="right"/>
              <w:ind w:right="80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46,030</w:t>
            </w: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32,317</w:t>
            </w:r>
          </w:p>
        </w:tc>
        <w:tc>
          <w:tcPr>
            <w:tcW w:w="40" w:type="dxa"/>
            <w:vAlign w:val="bottom"/>
            <w:tcBorders>
              <w:bottom w:val="single" w:sz="8" w:color="DBDBDB"/>
            </w:tcBorders>
            <w:shd w:val="clear" w:color="auto" w:fill="DBDBDB"/>
          </w:tcPr>
          <w:p>
            <w:pPr>
              <w:spacing w:after="0"/>
              <w:rPr>
                <w:sz w:val="21"/>
                <w:szCs w:val="21"/>
                <w:color w:val="auto"/>
              </w:rPr>
            </w:pPr>
          </w:p>
        </w:tc>
        <w:tc>
          <w:tcPr>
            <w:tcW w:w="6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129,587</w:t>
            </w:r>
          </w:p>
        </w:tc>
        <w:tc>
          <w:tcPr>
            <w:tcW w:w="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82,762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9,029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Duolingo English Test</w:t>
            </w:r>
          </w:p>
        </w:tc>
        <w:tc>
          <w:tcPr>
            <w:tcW w:w="4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6,695</w:t>
            </w: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5,607</w:t>
            </w:r>
          </w:p>
        </w:tc>
        <w:tc>
          <w:tcPr>
            <w:tcW w:w="40" w:type="dxa"/>
            <w:vAlign w:val="bottom"/>
            <w:tcBorders>
              <w:bottom w:val="single" w:sz="8" w:color="DBDBDB"/>
            </w:tcBorders>
            <w:shd w:val="clear" w:color="auto" w:fill="DBDBDB"/>
          </w:tcPr>
          <w:p>
            <w:pPr>
              <w:spacing w:after="0"/>
              <w:rPr>
                <w:sz w:val="21"/>
                <w:szCs w:val="21"/>
                <w:color w:val="auto"/>
              </w:rPr>
            </w:pPr>
          </w:p>
        </w:tc>
        <w:tc>
          <w:tcPr>
            <w:tcW w:w="6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16,563</w:t>
            </w:r>
          </w:p>
        </w:tc>
        <w:tc>
          <w:tcPr>
            <w:tcW w:w="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10,958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(1)</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DBDBDB"/>
            </w:tcBorders>
            <w:gridSpan w:val="2"/>
            <w:shd w:val="clear" w:color="auto" w:fill="DBDBDB"/>
          </w:tcPr>
          <w:p>
            <w:pPr>
              <w:jc w:val="right"/>
              <w:ind w:right="80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63,595</w:t>
            </w:r>
          </w:p>
        </w:tc>
        <w:tc>
          <w:tcPr>
            <w:tcW w:w="40" w:type="dxa"/>
            <w:vAlign w:val="bottom"/>
            <w:tcBorders>
              <w:bottom w:val="single" w:sz="8" w:color="DBDBDB"/>
            </w:tcBorders>
            <w:shd w:val="clear" w:color="auto" w:fill="DBDBDB"/>
          </w:tcPr>
          <w:p>
            <w:pPr>
              <w:spacing w:after="0"/>
              <w:rPr>
                <w:sz w:val="24"/>
                <w:szCs w:val="24"/>
                <w:color w:val="auto"/>
              </w:rPr>
            </w:pPr>
          </w:p>
        </w:tc>
        <w:tc>
          <w:tcPr>
            <w:tcW w:w="40" w:type="dxa"/>
            <w:vAlign w:val="bottom"/>
            <w:tcBorders>
              <w:bottom w:val="single" w:sz="8" w:color="DBDBDB"/>
            </w:tcBorders>
            <w:shd w:val="clear" w:color="auto" w:fill="DBDBDB"/>
          </w:tcPr>
          <w:p>
            <w:pPr>
              <w:spacing w:after="0"/>
              <w:rPr>
                <w:sz w:val="24"/>
                <w:szCs w:val="24"/>
                <w:color w:val="auto"/>
              </w:rPr>
            </w:pPr>
          </w:p>
        </w:tc>
        <w:tc>
          <w:tcPr>
            <w:tcW w:w="42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45,305</w:t>
            </w:r>
          </w:p>
        </w:tc>
        <w:tc>
          <w:tcPr>
            <w:tcW w:w="40" w:type="dxa"/>
            <w:vAlign w:val="bottom"/>
            <w:tcBorders>
              <w:bottom w:val="single" w:sz="8" w:color="DBDBDB"/>
            </w:tcBorders>
            <w:shd w:val="clear" w:color="auto" w:fill="DBDBDB"/>
          </w:tcPr>
          <w:p>
            <w:pPr>
              <w:spacing w:after="0"/>
              <w:rPr>
                <w:sz w:val="24"/>
                <w:szCs w:val="24"/>
                <w:color w:val="auto"/>
              </w:rPr>
            </w:pPr>
          </w:p>
        </w:tc>
        <w:tc>
          <w:tcPr>
            <w:tcW w:w="60" w:type="dxa"/>
            <w:vAlign w:val="bottom"/>
            <w:tcBorders>
              <w:bottom w:val="single" w:sz="8" w:color="DBDBDB"/>
            </w:tcBorders>
            <w:shd w:val="clear" w:color="auto" w:fill="DBDBDB"/>
          </w:tcPr>
          <w:p>
            <w:pPr>
              <w:spacing w:after="0"/>
              <w:rPr>
                <w:sz w:val="24"/>
                <w:szCs w:val="24"/>
                <w:color w:val="auto"/>
              </w:rPr>
            </w:pPr>
          </w:p>
        </w:tc>
        <w:tc>
          <w:tcPr>
            <w:tcW w:w="18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shd w:val="clear" w:color="auto" w:fill="DBDBDB"/>
          </w:tcPr>
          <w:p>
            <w:pPr>
              <w:spacing w:after="0"/>
              <w:rPr>
                <w:sz w:val="24"/>
                <w:szCs w:val="24"/>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177,758</w:t>
            </w:r>
          </w:p>
        </w:tc>
        <w:tc>
          <w:tcPr>
            <w:tcW w:w="4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160" w:type="dxa"/>
            <w:vAlign w:val="bottom"/>
            <w:tcBorders>
              <w:bottom w:val="single" w:sz="8" w:color="DBDBDB"/>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DBDBDB"/>
            </w:tcBorders>
            <w:shd w:val="clear" w:color="auto" w:fill="DBDBDB"/>
          </w:tcPr>
          <w:p>
            <w:pPr>
              <w:spacing w:after="0"/>
              <w:rPr>
                <w:sz w:val="24"/>
                <w:szCs w:val="24"/>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113,428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4"/>
                <w:szCs w:val="14"/>
                <w:color w:val="auto"/>
              </w:rPr>
              <w:t>________________</w:t>
            </w:r>
          </w:p>
        </w:tc>
        <w:tc>
          <w:tcPr>
            <w:tcW w:w="4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60" w:type="dxa"/>
            <w:vAlign w:val="bottom"/>
            <w:gridSpan w:val="3"/>
          </w:tcPr>
          <w:p>
            <w:pPr>
              <w:spacing w:after="0"/>
              <w:rPr>
                <w:sz w:val="20"/>
                <w:szCs w:val="20"/>
                <w:color w:val="auto"/>
              </w:rPr>
            </w:pPr>
            <w:r>
              <w:rPr>
                <w:rFonts w:ascii="Arial" w:cs="Arial" w:eastAsia="Arial" w:hAnsi="Arial"/>
                <w:sz w:val="14"/>
                <w:szCs w:val="14"/>
                <w:color w:val="auto"/>
              </w:rPr>
              <w:t>(1) Other revenue is mainly comprised of in-app purchases of virtual goods.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4020" w:type="dxa"/>
            <w:vAlign w:val="bottom"/>
          </w:tcPr>
          <w:p>
            <w:pPr>
              <w:spacing w:after="0"/>
              <w:rPr>
                <w:sz w:val="20"/>
                <w:szCs w:val="20"/>
                <w:color w:val="auto"/>
              </w:rPr>
            </w:pPr>
            <w:r>
              <w:rPr>
                <w:rFonts w:ascii="Arial" w:cs="Arial" w:eastAsia="Arial" w:hAnsi="Arial"/>
                <w:sz w:val="18"/>
                <w:szCs w:val="18"/>
                <w:color w:val="auto"/>
              </w:rPr>
              <w:t>Changes in deferred revenues were as follows:</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14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(51,254)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(24,848)</w:t>
            </w:r>
          </w:p>
        </w:tc>
        <w:tc>
          <w:tcPr>
            <w:tcW w:w="0" w:type="dxa"/>
            <w:vAlign w:val="bottom"/>
          </w:tcPr>
          <w:p>
            <w:pPr>
              <w:spacing w:after="0"/>
              <w:rPr>
                <w:sz w:val="1"/>
                <w:szCs w:val="1"/>
                <w:color w:val="auto"/>
              </w:rPr>
            </w:pPr>
          </w:p>
        </w:tc>
      </w:tr>
      <w:tr>
        <w:trPr>
          <w:trHeight w:val="230"/>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46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(83,088)</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(59,495)</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160,010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104,032</w:t>
            </w:r>
          </w:p>
        </w:tc>
        <w:tc>
          <w:tcPr>
            <w:tcW w:w="0" w:type="dxa"/>
            <w:vAlign w:val="bottom"/>
          </w:tcPr>
          <w:p>
            <w:pPr>
              <w:spacing w:after="0"/>
              <w:rPr>
                <w:sz w:val="1"/>
                <w:szCs w:val="1"/>
                <w:color w:val="auto"/>
              </w:rPr>
            </w:pPr>
          </w:p>
        </w:tc>
      </w:tr>
      <w:tr>
        <w:trPr>
          <w:trHeight w:val="27"/>
        </w:trPr>
        <w:tc>
          <w:tcPr>
            <w:tcW w:w="402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000" w:type="dxa"/>
            <w:vAlign w:val="bottom"/>
            <w:tcBorders>
              <w:bottom w:val="single" w:sz="8" w:color="DBDBDB"/>
            </w:tcBorders>
          </w:tcPr>
          <w:p>
            <w:pPr>
              <w:spacing w:after="0"/>
              <w:rPr>
                <w:sz w:val="2"/>
                <w:szCs w:val="2"/>
                <w:color w:val="auto"/>
              </w:rPr>
            </w:pPr>
          </w:p>
        </w:tc>
        <w:tc>
          <w:tcPr>
            <w:tcW w:w="64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Ending balance—September 30</w:t>
            </w:r>
          </w:p>
        </w:tc>
        <w:tc>
          <w:tcPr>
            <w:tcW w:w="4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80,460</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45,996</w:t>
            </w: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 w:name="page17"/>
    <w:bookmarkEnd w:id="16"/>
    <w:p>
      <w:pPr>
        <w:spacing w:after="0" w:line="13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as of September 30, 2021 and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9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9,862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left="675"/>
              <w:spacing w:after="0"/>
              <w:rPr>
                <w:sz w:val="20"/>
                <w:szCs w:val="20"/>
                <w:color w:val="auto"/>
              </w:rPr>
            </w:pPr>
            <w:r>
              <w:rPr>
                <w:rFonts w:ascii="Arial" w:cs="Arial" w:eastAsia="Arial" w:hAnsi="Arial"/>
                <w:sz w:val="18"/>
                <w:szCs w:val="18"/>
                <w:color w:val="auto"/>
                <w:w w:val="97"/>
              </w:rPr>
              <w:t>7,536</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7"/>
              </w:rPr>
              <w:t>1,959</w:t>
            </w:r>
          </w:p>
        </w:tc>
      </w:tr>
      <w:tr>
        <w:trPr>
          <w:trHeight w:val="223"/>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12,561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center"/>
              <w:ind w:left="675"/>
              <w:spacing w:after="0"/>
              <w:rPr>
                <w:sz w:val="20"/>
                <w:szCs w:val="20"/>
                <w:color w:val="auto"/>
              </w:rPr>
            </w:pPr>
            <w:r>
              <w:rPr>
                <w:rFonts w:ascii="Arial" w:cs="Arial" w:eastAsia="Arial" w:hAnsi="Arial"/>
                <w:sz w:val="18"/>
                <w:szCs w:val="18"/>
                <w:color w:val="auto"/>
                <w:w w:val="97"/>
              </w:rPr>
              <w:t>9,495</w:t>
            </w:r>
          </w:p>
        </w:tc>
      </w:tr>
      <w:tr>
        <w:trPr>
          <w:trHeight w:val="229"/>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rPr>
              <w:t>(3,067)</w:t>
            </w:r>
          </w:p>
        </w:tc>
      </w:tr>
      <w:tr>
        <w:trPr>
          <w:trHeight w:val="248"/>
        </w:trPr>
        <w:tc>
          <w:tcPr>
            <w:tcW w:w="79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center"/>
              <w:ind w:left="675"/>
              <w:spacing w:after="0"/>
              <w:rPr>
                <w:sz w:val="20"/>
                <w:szCs w:val="20"/>
                <w:color w:val="auto"/>
              </w:rPr>
            </w:pPr>
            <w:r>
              <w:rPr>
                <w:rFonts w:ascii="Arial" w:cs="Arial" w:eastAsia="Arial" w:hAnsi="Arial"/>
                <w:sz w:val="18"/>
                <w:szCs w:val="18"/>
                <w:color w:val="auto"/>
                <w:w w:val="97"/>
              </w:rPr>
              <w:t>6,428</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Depreciation expense was $545 and $1,485 for the three and nine months ended September 30, 2021 and $453 and $1,173 for the three and nine months ended September 30, 2020, respectively, and is predominately included within General and administrative, with nominal amounts in Cost of revenues, Research and development and Sales and marketing in the Company’s consolidated statement of operations and comprehensive loss.</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CAPITALIZED SOFTWARE,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consists of the following as of September 30, 2021 and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79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10,553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left="677"/>
              <w:spacing w:after="0"/>
              <w:rPr>
                <w:sz w:val="20"/>
                <w:szCs w:val="20"/>
                <w:color w:val="auto"/>
              </w:rPr>
            </w:pPr>
            <w:r>
              <w:rPr>
                <w:rFonts w:ascii="Arial" w:cs="Arial" w:eastAsia="Arial" w:hAnsi="Arial"/>
                <w:sz w:val="18"/>
                <w:szCs w:val="18"/>
                <w:color w:val="auto"/>
                <w:w w:val="97"/>
              </w:rPr>
              <w:t>8,181</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rPr>
              <w:t>(5,885)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center"/>
              <w:ind w:left="677"/>
              <w:spacing w:after="0"/>
              <w:rPr>
                <w:sz w:val="20"/>
                <w:szCs w:val="20"/>
                <w:color w:val="auto"/>
              </w:rPr>
            </w:pPr>
            <w:r>
              <w:rPr>
                <w:rFonts w:ascii="Arial" w:cs="Arial" w:eastAsia="Arial" w:hAnsi="Arial"/>
                <w:sz w:val="18"/>
                <w:szCs w:val="18"/>
                <w:color w:val="auto"/>
                <w:w w:val="97"/>
              </w:rPr>
              <w:t>2,296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Amortization expense of $188 and $484 for the three and nine months ended September 30, 2021, and $174 and $476 for the three and nine months ended September 30, 2020 is recorded in the Company’s consolidated statement of operations and comprehensive loss, respectively.</w:t>
      </w:r>
    </w:p>
    <w:p>
      <w:pPr>
        <w:spacing w:after="0" w:line="1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Amortization expense is included within the following financial statement line items within the Company’s consolidated statement of operations and comprehensive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r>
      <w:tr>
        <w:trPr>
          <w:trHeight w:val="183"/>
        </w:trPr>
        <w:tc>
          <w:tcPr>
            <w:tcW w:w="4240" w:type="dxa"/>
            <w:vAlign w:val="bottom"/>
            <w:tcBorders>
              <w:bottom w:val="single" w:sz="8" w:color="DBDBDB"/>
            </w:tcBorders>
          </w:tcPr>
          <w:p>
            <w:pPr>
              <w:spacing w:after="0"/>
              <w:rPr>
                <w:sz w:val="15"/>
                <w:szCs w:val="15"/>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223"/>
        </w:trPr>
        <w:tc>
          <w:tcPr>
            <w:tcW w:w="4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ind w:right="10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DBDBDB"/>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4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ind w:right="10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ind w:right="10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424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three and nine months ended September 30, 2021 and 2020.</w:t>
      </w:r>
    </w:p>
    <w:p>
      <w:pPr>
        <w:spacing w:after="0" w:line="11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income tax provision for interim periods is comprised of tax on ordinary income (loss) provided at the most recent projected annual effective tax rate (“PAETR”), adjusted for the tax effect of discrete items. Management estimates the PAETR each quarter based on the forecasted annual pretax income or (loss). The Company is required to reduce deferred tax assets by a valuation allowance if, based on all available evidence, it is considered more likely than not that some portion or all of the benefit of the deferred tax assets will not be realized in future periods. The Company also records the income tax impact of certain discrete, unusual or infrequently occurring items including changes in judgment about valuation allowances and effects of changes in tax laws or rates, in the interim period in which they occur.</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actual year-to-date income tax expense is the product of the most current PAETR and the actual year-to-date pretax income (loss) adjusted for any discrete tax items. Items unrelated to current period ordinary income or (loss) are recognized entirely in the period identified as a discrete item of tax. The income tax expense for a particular quarter, except for the first quarter, is the difference between the year-to-date calculation of income tax expense and the year-to-date calculation for the prior quarter. Items unrelated to current period ordinary income or (loss) are recognized entirely in the period identified as a discrete item of tax. The inclusion of discrete items in a particular quarter can cause the actual effective rate for that quarter to vary significantly from the PAETR.</w:t>
      </w:r>
    </w:p>
    <w:p>
      <w:pPr>
        <w:spacing w:after="0" w:line="15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Therefore, the actual effective income tax rate for a particular quarter can vary significantly based upon the jurisdictional mix and timing of actual earnings compared to projected annual earnings, permanent items, earnings for those jurisdictions that maintain a valuation allowance, tax associated with jurisdictions excluded from the PAETR calculation and discrete items.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Effective Tax Rate</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PAETR was (0.2)% and (0.7)% as of the three months ended September 30, 2021 and 2020, respectively. The PAETR for the nine months ended September 30, 2021 and 2020, was (0.2)% and (0.8)%, respectively. The tax expense for the current year quarter includes the impact of a discrete tax expense related to state income tax expense obligations for the 2017-2019 tax years. The PAETR was lower than the US federal statutory rate of 21.0% primarily due to the impact of maintaining a US valuation allowance provided on US deferred tax assets.</w:t>
      </w:r>
    </w:p>
    <w:p>
      <w:pPr>
        <w:spacing w:after="0" w:line="13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Company continues to maintain a full valuation allowance on US federal and state net deferred tax assets for the period ending September 30, 2021 as a result of pre-tax losses incurred since the Company’s inception in early 2012. The Company is projecting pre-tax loss in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Prior Period Tax Expense</w:t>
      </w: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three and nine months ended September 30, 2021, the Company recognized income tax expense of $51 and $69 on pretax loss of $28,919 and $42,549, respectively.</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three and nine months ended September 30, 2020, the Company recognized income tax expense of $23 and $45 on pretax loss of $3,153 and $5,324, respectively.</w:t>
      </w:r>
    </w:p>
    <w:p>
      <w:pPr>
        <w:spacing w:after="0" w:line="10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Immediately prior to the completion of the IPO on July 30, 2021, all convertible preferred stock outstanding, totaling approximately 19,074 shares, was automatically converted into an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number of shares of Class B common stock on a one-to-one basis and their carrying value of $182,609 was reclassified to stockholders’ equity (deficit).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convertible preferred stock outstanding immediately prior to the conversion into common stock and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5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Shares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Per share price</w:t>
            </w: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2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liquidation</w:t>
            </w:r>
          </w:p>
        </w:tc>
        <w:tc>
          <w:tcPr>
            <w:tcW w:w="12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Funds received</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Fees incurred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1760" w:type="dxa"/>
            <w:vAlign w:val="bottom"/>
            <w:tcBorders>
              <w:bottom w:val="single" w:sz="8" w:color="DBDBDB"/>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23"/>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F</w:t>
            </w:r>
          </w:p>
        </w:tc>
        <w:tc>
          <w:tcPr>
            <w:tcW w:w="12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76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Prior to the IPO, the Company granted options to purchase shares of the Company’s common stock and restricted stock units in respect of shares of the Company’s common stock to employees, directors and consultants to purchase shares of the Company’s common stock under the Company’s 2011 Equity Incentive Plan. In July 2021, Duolingo adopted the 2021 Incentive Award Plan (2021 Plan) and the 2021 Employee Stock Purchase Plan (ESPP), each of which became effective on July 26, 2021 in connection with the IPO. An aggregate of 7,946 shares and 1,119 shares of Class A common stock were made available for future issuance under the 2021 Plan and ESPP, respectively. The 2021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underlying Class A common stock at the date of the grant.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September 30, 2021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4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(1,134)</w:t>
            </w: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Options outstanding at September 30,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1,084,464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exercisable at September 30,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4,830</w:t>
            </w: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756,259</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approximately $102,628 for the period ending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nine months ended September 30,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Restricted stock units</w:t>
            </w: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29"/>
        </w:trPr>
        <w:tc>
          <w:tcPr>
            <w:tcW w:w="8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September 30, 2021</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Prior to July 30, 2021, no stock-based compensation expense had been recognized for RSUs because the liquidity-based vesting condition had not been probable of being satisfied. Upon the IPO, the liquidity-based vesting condition was met and $2,035 of stock-based compensation expense was recognized related to these awards.</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of September 30, 2021, there was approximately $15,857 of unrecognized compensation cost related to stock options granted under the plan. That cost is expected to be recognized over a weighted-average period of approximately two years. The amount of unrecognized compensation expense for RSUs as of September 30, 2021 was $40,392 with a weighted average remaining contractual life of four years, for a total unrecognized compensation expense of $56,249.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were 7,842 shares available for grant at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June 2021, the Company granted an aggregate of 1,800 performance-based RSUs (the “Founder Awards”) to the Company’s founders. The Founder Awards vest upon the satisfaction of both a service-based condition and a performance-based condition and generally are settled 1 year after vesting. The service-based condition is satisfied as to 25% of the Founder Awards on each anniversary of the completion of the IPO, subject to the continuous service of the founders through the applicable date. The performance-based condition will be satisfied with respect to each of 10 equal tranches only if the trailing 60-calendar day volume-weighted average closing trading price of the Company’s Class A common stock reaches certain stock-price hurdles for each such tranche, as set forth below, over a period of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stock-price hurdles fail to be reached prior to the tenth anniversary of the date of grant, no portion of the Founder Awards will vest. Further, any RSUs associated with stock-prices hurdle not achieved by the tenth anniversary of the date of grant will terminate and be cancelled for no additional consideration to the founders. The stock-price hurdles and number of RSUs eligible to vest will be adjusted to reflect any stock splits, stock dividends, combinations, reorganizations, reclassifications, or similar events under the 2021 Plan. The Founder Awards will be settled in shares of the Company’s Class B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gridSpan w:val="2"/>
          </w:tcPr>
          <w:p>
            <w:pPr>
              <w:ind w:left="2460"/>
              <w:spacing w:after="0"/>
              <w:rPr>
                <w:sz w:val="20"/>
                <w:szCs w:val="20"/>
                <w:color w:val="auto"/>
              </w:rPr>
            </w:pPr>
            <w:r>
              <w:rPr>
                <w:rFonts w:ascii="Arial" w:cs="Arial" w:eastAsia="Arial" w:hAnsi="Arial"/>
                <w:sz w:val="18"/>
                <w:szCs w:val="18"/>
                <w:color w:val="auto"/>
              </w:rPr>
              <w:t>Tranche</w:t>
            </w:r>
          </w:p>
        </w:tc>
        <w:tc>
          <w:tcPr>
            <w:tcW w:w="160" w:type="dxa"/>
            <w:vAlign w:val="bottom"/>
          </w:tcPr>
          <w:p>
            <w:pPr>
              <w:spacing w:after="0"/>
              <w:rPr>
                <w:sz w:val="18"/>
                <w:szCs w:val="18"/>
                <w:color w:val="auto"/>
              </w:rPr>
            </w:pP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Company Stock Price Hurdle</w:t>
            </w:r>
          </w:p>
        </w:tc>
        <w:tc>
          <w:tcPr>
            <w:tcW w:w="2740" w:type="dxa"/>
            <w:vAlign w:val="bottom"/>
          </w:tcPr>
          <w:p>
            <w:pPr>
              <w:jc w:val="right"/>
              <w:spacing w:after="0"/>
              <w:rPr>
                <w:sz w:val="20"/>
                <w:szCs w:val="20"/>
                <w:color w:val="auto"/>
              </w:rPr>
            </w:pPr>
            <w:r>
              <w:rPr>
                <w:rFonts w:ascii="Arial" w:cs="Arial" w:eastAsia="Arial" w:hAnsi="Arial"/>
                <w:sz w:val="18"/>
                <w:szCs w:val="18"/>
                <w:color w:val="auto"/>
              </w:rPr>
              <w:t>Number of RSUs Eligible to Vest</w:t>
            </w:r>
          </w:p>
        </w:tc>
      </w:tr>
      <w:tr>
        <w:trPr>
          <w:trHeight w:val="223"/>
        </w:trPr>
        <w:tc>
          <w:tcPr>
            <w:tcW w:w="55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top w:val="single" w:sz="8" w:color="DBDBDB"/>
            </w:tcBorders>
            <w:shd w:val="clear" w:color="auto" w:fill="DBDBDB"/>
          </w:tcPr>
          <w:p>
            <w:pPr>
              <w:spacing w:after="0"/>
              <w:rPr>
                <w:sz w:val="19"/>
                <w:szCs w:val="19"/>
                <w:color w:val="auto"/>
              </w:rPr>
            </w:pPr>
          </w:p>
        </w:tc>
        <w:tc>
          <w:tcPr>
            <w:tcW w:w="2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5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shd w:val="clear" w:color="auto" w:fill="DBDBDB"/>
          </w:tcPr>
          <w:p>
            <w:pPr>
              <w:spacing w:after="0"/>
              <w:rPr>
                <w:sz w:val="19"/>
                <w:szCs w:val="19"/>
                <w:color w:val="auto"/>
              </w:rPr>
            </w:pP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5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DBDBDB"/>
          </w:tcPr>
          <w:p>
            <w:pPr>
              <w:spacing w:after="0"/>
              <w:rPr>
                <w:sz w:val="19"/>
                <w:szCs w:val="19"/>
                <w:color w:val="auto"/>
              </w:rPr>
            </w:pP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5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5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DBDBDB"/>
          </w:tcPr>
          <w:p>
            <w:pPr>
              <w:spacing w:after="0"/>
              <w:rPr>
                <w:sz w:val="19"/>
                <w:szCs w:val="19"/>
                <w:color w:val="auto"/>
              </w:rPr>
            </w:pP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55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408.00</w:t>
            </w:r>
          </w:p>
        </w:tc>
        <w:tc>
          <w:tcPr>
            <w:tcW w:w="1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shd w:val="clear" w:color="auto" w:fill="DBDBDB"/>
          </w:tcPr>
          <w:p>
            <w:pPr>
              <w:spacing w:after="0"/>
              <w:rPr>
                <w:sz w:val="19"/>
                <w:szCs w:val="19"/>
                <w:color w:val="auto"/>
              </w:rPr>
            </w:pP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556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6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Company estimated the grant date fair value of the Founder Awards using a model based on multiple stock-price paths developed through the use of a Monte Carlo simulation that incorporates into the valuation the possibility that the stock-price hurdles may not be satisfied. The weighted-average grant date fair value of the Founder Awards was estimated to be $61.56 per share, and the Company estimates that it will recognize total stock-based compensation expense of approximately $110,817 over the derived service period of each of the ten separate tranches which is between 3.58 – 5.92 years. If the stock-price hurdles are met sooner than the requisite service period, the stock-based compensation expense will be adjusted to prospectively recognize the remaining expense over the remaining derived service period. Provided that the founders continue to provide services to the Company, stock-based compensation expense is recognized over the derived service period, regardless of whether the stock-price hurdles are achieved. The first tranche was met during the three months ended September 30, 2021. The Company recognized $8,267 of stock-based compensation expense related to these awards, which is included within General and administrative in the unaudited condensed consolidated statement of operations and comprehensive loss.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options were put back into the option pool and 23 shares were retired with an $868 increase to Additional paid-in capital.</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Upon the IPO, vesting of stock option grants to executive officers were accelerated, which resulted in an additional $5,574 of compensation expense during the three months ended September 30, 2021. This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included within General and administrative in the unaudited condensed consolidated statement of operations and comprehensive loss.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stock-based compensation expense was $20,662 and $26,120 for the three and nine months ended September 30, 2021, respectively and $1,682 and $4,517 or the three and nine months ended September 30,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expense is included in the consolidated statements of operations as shown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35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31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260" w:type="dxa"/>
            <w:vAlign w:val="bottom"/>
            <w:tcBorders>
              <w:bottom w:val="single" w:sz="8" w:color="DBDBDB"/>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DBDBDB"/>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DBDBDB"/>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3"/>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20" w:type="dxa"/>
            <w:vAlign w:val="bottom"/>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r>
      <w:tr>
        <w:trPr>
          <w:trHeight w:val="248"/>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20,662</w:t>
            </w: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26,120</w:t>
            </w: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4,517</w:t>
            </w: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Nominal amounts of stock based compensation expense is capitalized into capitalized software.</w:t>
      </w:r>
    </w:p>
    <w:p>
      <w:pPr>
        <w:spacing w:after="0" w:line="14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color w:val="auto"/>
        </w:rPr>
        <w:t>Sales and use and value-added tax (VAT)</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color w:val="auto"/>
        </w:rPr>
        <w:t>Related Parties</w:t>
      </w:r>
      <w:r>
        <w:rPr>
          <w:rFonts w:ascii="Arial" w:cs="Arial" w:eastAsia="Arial" w:hAnsi="Arial"/>
          <w:sz w:val="18"/>
          <w:szCs w:val="18"/>
          <w:color w:val="auto"/>
        </w:rPr>
        <w:t>— The Company has determined that there were no transactions with related parties as of or during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2021 and 2020.</w:t>
      </w:r>
    </w:p>
    <w:p>
      <w:pPr>
        <w:spacing w:after="0" w:line="85" w:lineRule="exact"/>
        <w:rPr>
          <w:sz w:val="20"/>
          <w:szCs w:val="20"/>
          <w:color w:val="auto"/>
        </w:rPr>
      </w:pPr>
    </w:p>
    <w:p>
      <w:pPr>
        <w:ind w:right="5500"/>
        <w:spacing w:after="0" w:line="503" w:lineRule="auto"/>
        <w:rPr>
          <w:sz w:val="20"/>
          <w:szCs w:val="20"/>
          <w:color w:val="auto"/>
        </w:rPr>
      </w:pPr>
      <w:r>
        <w:rPr>
          <w:rFonts w:ascii="Arial" w:cs="Arial" w:eastAsia="Arial" w:hAnsi="Arial"/>
          <w:sz w:val="17"/>
          <w:szCs w:val="17"/>
          <w:b w:val="1"/>
          <w:bCs w:val="1"/>
          <w:color w:val="auto"/>
        </w:rPr>
        <w:t xml:space="preserve">10. ACCRUED EXPENSES AND OTHER CURRENT LIABILITIES </w:t>
      </w:r>
      <w:r>
        <w:rPr>
          <w:rFonts w:ascii="Arial" w:cs="Arial" w:eastAsia="Arial" w:hAnsi="Arial"/>
          <w:sz w:val="17"/>
          <w:szCs w:val="17"/>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48"/>
        </w:trPr>
        <w:tc>
          <w:tcPr>
            <w:tcW w:w="7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36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79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Obligations under current leases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Employee related benefits</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Marketing related accruals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r>
      <w:tr>
        <w:trPr>
          <w:trHeight w:val="21"/>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year Plan provided for Company safe harbor matching contributions of 100% of the first 3% of the employees’ elective deferrals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and 50% of the next 2%, with vesting starting upon the first day of employment. The Company also has the option to make discretionary matching or profit sharing contributions. The Company made safe harbor matching contributions of approximately $877 and $2,360 for the three and nine months ended September 30, 2021, respectively and $495 and $1,308 for the three and nine months ended September 30, 2020, respectively. The Company did not make any discretionary matching or profit sharing contributions during the nine months ended September 30, 2021 or 2020.</w:t>
      </w:r>
    </w:p>
    <w:p>
      <w:pPr>
        <w:spacing w:after="0" w:line="11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Prior to the automatic conversion of all of its convertible preferred stock outstanding into Class B common stock upon the IPO, the Company considered all series of its convertible preferred stock to be participating securities.</w:t>
      </w:r>
    </w:p>
    <w:p>
      <w:pPr>
        <w:spacing w:after="0" w:line="14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calculated by dividing the net loss by the weighted-average number of shares of common stock outstanding during the period, less shares subject to repurchase. The diluted net loss per share attributable to common stockholders is calculated by giving effect to all potential dilutive common stock equivalents outstanding for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0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r>
      <w:tr>
        <w:trPr>
          <w:trHeight w:val="188"/>
        </w:trPr>
        <w:tc>
          <w:tcPr>
            <w:tcW w:w="4260" w:type="dxa"/>
            <w:vAlign w:val="bottom"/>
          </w:tcPr>
          <w:p>
            <w:pPr>
              <w:ind w:left="20"/>
              <w:spacing w:after="0" w:line="189" w:lineRule="exact"/>
              <w:rPr>
                <w:sz w:val="20"/>
                <w:szCs w:val="20"/>
                <w:color w:val="auto"/>
              </w:rPr>
            </w:pPr>
            <w:r>
              <w:rPr>
                <w:rFonts w:ascii="Arial" w:cs="Arial" w:eastAsia="Arial" w:hAnsi="Arial"/>
                <w:sz w:val="18"/>
                <w:szCs w:val="18"/>
                <w:color w:val="auto"/>
              </w:rPr>
              <w:t>Net loss attributable to Class A and Class B</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4260" w:type="dxa"/>
            <w:vAlign w:val="bottom"/>
          </w:tcPr>
          <w:p>
            <w:pPr>
              <w:ind w:left="180"/>
              <w:spacing w:after="0"/>
              <w:rPr>
                <w:sz w:val="20"/>
                <w:szCs w:val="20"/>
                <w:color w:val="auto"/>
              </w:rPr>
            </w:pPr>
            <w:r>
              <w:rPr>
                <w:rFonts w:ascii="Arial" w:cs="Arial" w:eastAsia="Arial" w:hAnsi="Arial"/>
                <w:sz w:val="18"/>
                <w:szCs w:val="18"/>
                <w:color w:val="auto"/>
              </w:rPr>
              <w:t>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(28,970)</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(42,618)</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(5,369)</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188"/>
        </w:trPr>
        <w:tc>
          <w:tcPr>
            <w:tcW w:w="426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in computing net loss per</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5"/>
        </w:trPr>
        <w:tc>
          <w:tcPr>
            <w:tcW w:w="4260" w:type="dxa"/>
            <w:vAlign w:val="bottom"/>
          </w:tcPr>
          <w:p>
            <w:pPr>
              <w:ind w:left="180"/>
              <w:spacing w:after="0" w:line="176" w:lineRule="exact"/>
              <w:rPr>
                <w:sz w:val="20"/>
                <w:szCs w:val="20"/>
                <w:color w:val="auto"/>
              </w:rPr>
            </w:pPr>
            <w:r>
              <w:rPr>
                <w:rFonts w:ascii="Arial" w:cs="Arial" w:eastAsia="Arial" w:hAnsi="Arial"/>
                <w:sz w:val="18"/>
                <w:szCs w:val="18"/>
                <w:color w:val="auto"/>
              </w:rPr>
              <w:t>share attributable to Class A and Class B common</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7"/>
        </w:trPr>
        <w:tc>
          <w:tcPr>
            <w:tcW w:w="42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29,531</w:t>
            </w:r>
          </w:p>
        </w:tc>
        <w:tc>
          <w:tcPr>
            <w:tcW w:w="8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8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12,471</w:t>
            </w:r>
          </w:p>
        </w:tc>
      </w:tr>
      <w:tr>
        <w:trPr>
          <w:trHeight w:val="248"/>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loss per common share</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(0.98)</w:t>
            </w: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4260" w:type="dxa"/>
            <w:vAlign w:val="bottom"/>
          </w:tcPr>
          <w:p>
            <w:pPr>
              <w:ind w:left="20"/>
              <w:spacing w:after="0" w:line="203" w:lineRule="exact"/>
              <w:rPr>
                <w:sz w:val="20"/>
                <w:szCs w:val="20"/>
                <w:color w:val="auto"/>
              </w:rPr>
            </w:pPr>
            <w:r>
              <w:rPr>
                <w:rFonts w:ascii="Arial" w:cs="Arial" w:eastAsia="Arial" w:hAnsi="Arial"/>
                <w:sz w:val="18"/>
                <w:szCs w:val="18"/>
                <w:color w:val="auto"/>
              </w:rPr>
              <w:t>Diluted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loss per share attributable to common stockholders will, therefore, be the same for both Class A and Class B common stock on an individual or combined basis.</w:t>
      </w:r>
    </w:p>
    <w:p>
      <w:pPr>
        <w:spacing w:after="0" w:line="15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Since the Company was in a net loss position for the three and nine months ended September 30, 2021 and 2020,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35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44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28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6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3"/>
        </w:trPr>
        <w:tc>
          <w:tcPr>
            <w:tcW w:w="53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shd w:val="clear" w:color="auto" w:fill="DBDBDB"/>
          </w:tcPr>
          <w:p>
            <w:pPr>
              <w:spacing w:after="0"/>
              <w:rPr>
                <w:sz w:val="19"/>
                <w:szCs w:val="19"/>
                <w:color w:val="auto"/>
              </w:rPr>
            </w:pPr>
          </w:p>
        </w:tc>
        <w:tc>
          <w:tcPr>
            <w:tcW w:w="1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18,488</w:t>
            </w: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Founder awards where performance has been met</w:t>
            </w: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4,830</w:t>
            </w:r>
          </w:p>
        </w:tc>
        <w:tc>
          <w:tcPr>
            <w:tcW w:w="8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4,830</w:t>
            </w:r>
          </w:p>
        </w:tc>
        <w:tc>
          <w:tcPr>
            <w:tcW w:w="8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4,036</w:t>
            </w: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rPr>
              <w:t>4,920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22,524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4,920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22,524</w:t>
            </w:r>
          </w:p>
        </w:tc>
      </w:tr>
      <w:tr>
        <w:trPr>
          <w:trHeight w:val="21"/>
        </w:trPr>
        <w:tc>
          <w:tcPr>
            <w:tcW w:w="4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Founder awards where performance has not been met of 1,710 are excluded from the above table because the stock-price hurdles had not been met as of September 30, 2021.</w:t>
      </w:r>
    </w:p>
    <w:p>
      <w:pPr>
        <w:spacing w:after="0" w:line="35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the final prospectus dated as of July 27, 2021 and filed with the SEC, pursuant to Rule 424(b)(4) on July 28, 2021 (our Final Prospectus). This discussion and analysis and other parts of this Quarterly Report on Form 10-Q contain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the section titled “Risk Factors,” “Special Note Regarding Forward-Looking Statements”, and “Special Note Regarding Operating Metrics” included elsewhere in this Quarterly Report on Form 10-Q. Our historical results are not necessarily indicative of the results that may be expected for any periods in the future. Unless the context otherwise requires, all references in this report to “Duolingo,” the “Company”, “we,” “our,” “us,” or similar terms refer to Duolingo, Inc. and its subsidiaries.</w:t>
      </w:r>
    </w:p>
    <w:p>
      <w:pPr>
        <w:spacing w:after="0" w:line="153"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Duolingo is the leading global mobile learning platform, offering courses in 40 languages to approximately 40 million monthly active users. Our flagship app has organically become the world’s most popular way to learn languages and the top-grossing app in the Education category on both Google Play and the Apple App Store. We believe that we have become the preeminent online destination for language learning due to our beautifully designed products, exceptional user engagement, and demonstrated learning efficacy.</w:t>
      </w:r>
    </w:p>
    <w:p>
      <w:pPr>
        <w:spacing w:after="0" w:line="152"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Our mission is to develop the best education in the world and make it universally available. Education has the ability to transform lives and create opportunities for social and economic advancement. However, access to high quality education is out of reach for too many people worldwide. We started Duolingo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provide access to quality education to everyone, and we started with a focus on language learning because of its potential to power both economic advancement and deep human connection.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Monthly active users (MAUs) and daily active users (DAUs), along with paid subscribers, are operating metrics that help inform management about the underlying growth in users of our platform, and are a measure of our monetization efforts with respect to Duolingo Plus. Other companies, including companies in our industry, may calculate these measures differently or not at all, which reduces their usefulness as comparative measures.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31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DBDBDB"/>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DBDBDB"/>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0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3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Paid subscribers (at period end)</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55,362</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154,768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101,095</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Total bookings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73,058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46,667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203,426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133,117</w:t>
            </w:r>
          </w:p>
        </w:tc>
      </w:tr>
      <w:tr>
        <w:trPr>
          <w:trHeight w:val="108"/>
        </w:trPr>
        <w:tc>
          <w:tcPr>
            <w:tcW w:w="4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(28,970)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(42,618)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(5,369)</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739</w:t>
            </w:r>
          </w:p>
        </w:tc>
      </w:tr>
      <w:tr>
        <w:trPr>
          <w:trHeight w:val="364"/>
        </w:trPr>
        <w:tc>
          <w:tcPr>
            <w:tcW w:w="42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4,511</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8,738</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14,027</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5,184</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11,113</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11,474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jc w:val="both"/>
        <w:ind w:right="180"/>
        <w:spacing w:after="0" w:line="284"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 reported for a measurement period by taking the average of the MAUs for each calendar month in that measurement period. MAUs are a measure of the size of our global active user community on Duolingo.</w:t>
      </w:r>
    </w:p>
    <w:p>
      <w:pPr>
        <w:spacing w:after="0" w:line="138"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For the three months ended September 30, 2021 and 2020, we had approximately 41.7 million and 37.0 million MAUs, respectively, representing an increase of 13%. For the nine months ended September 30, 2021 and 2020, we had approximately 39.8 million and 36.6 million MAUs, respectively, representing an increase of 9%. We grow MAUs by attracting new users, retaining existing users, and by reengaging the millions of former users who return to our language learning app because of our product initiatives and brand marketing.</w:t>
      </w:r>
    </w:p>
    <w:p>
      <w:pPr>
        <w:spacing w:after="0" w:line="130"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i w:val="1"/>
          <w:iCs w:val="1"/>
          <w:color w:val="auto"/>
        </w:rPr>
        <w:t xml:space="preserve">Daily Active Users (DAUs). </w:t>
      </w:r>
      <w:r>
        <w:rPr>
          <w:rFonts w:ascii="Arial" w:cs="Arial" w:eastAsia="Arial" w:hAnsi="Arial"/>
          <w:sz w:val="18"/>
          <w:szCs w:val="18"/>
          <w:color w:val="auto"/>
        </w:rPr>
        <w:t>DAUs are defined as unique Duolingo users who engage with our mobile language learning application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language learning section of our website each calendar day. DAUs are reported for a measurement period by taking the average of the DAUs for each day 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measurement period. DAUs are a measure of the consistent engagement of our global user community on Duolingo.</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three months ended September 30, 2021 and 2020, we had approximately 9.8 million and 8.4 million DAUs, respectively, representing an increase of 16%. For the nine months ended September 30, 2021 and 2020, we had approximately 9.5 million and 8.1 million DAUs, respectively, representing an increase of 17%. For the three months ended September 30, 2021, the DAU / MAU ratio, which we believe is an indicator of user engagement, increased to 23.5% from 22.8% a year ago. We grow DAUs by making the product more fun and engaging, as well as through our marketing efforts.</w:t>
      </w:r>
    </w:p>
    <w:p>
      <w:pPr>
        <w:spacing w:after="0" w:line="143"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Duolingo Plus and had an active subscription as of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2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 of September 30, 2021 and 2020, we had approximately 2.2 million and 1.5 million Paid subscribers, respectively, representing an increase of 49%. We grow paid subscribers by growing our free user base, converting a greater number of users to paid subscribers, and retaining subscribers.</w:t>
      </w:r>
    </w:p>
    <w:p>
      <w:pPr>
        <w:spacing w:after="0" w:line="1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Duolingo Plus. Total bookings represent the amounts we receive from a purchase of a subscription to Duolingo Plus, a registration for a Duolingo English Test, an in-app purchase for a virtual good and from advertising networks for advertisements served to our users. We believe bookings provide an indication of trends in our operating results, including cash flows, that are not necessarily reflected in our revenue because we recognize subscription revenue ratably over the lifetime of a subscription, which is generally from one to twelve months.</w:t>
      </w:r>
    </w:p>
    <w:p>
      <w:pPr>
        <w:spacing w:after="0" w:line="1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months ended September 30, 2021 and 2020, we generated $55.4 million and $33.8 million of subscription bookings, respectively, representing an increase of 64%. This increase was driven by the increase in average subscribers over the period and by a mix shift toward more annual subscriptions. For the nine months ended September 30, 2021 and 2020, we generated $ 154.8 million and $101.1 million of subscription bookings, respectively, representing an increase of 53%. We generate subscription bookings by selling first time and renewal subscriptions as well as subscriptions to subscribers who previously had a subscription and return. As we grow our user base, convert a greater proportion of users to first time subscribers, increase renewal rates, and increase the proportion of re-subscribers, we increase subscription bookings.</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three months ended September 30, 2021 and 2020, we generated $73.1 million and $46.7 million total bookings, respectively, representing an increase of 57%. The growth in total bookings was driven by the growth in subscription bookings noted above and growth in Advertising, Duolingo English Test, and other bookings. For the nine months ended September 30, 2021 and 2020, we generated $203.4 million and $133.1 million total bookings, respectively, representing an increase of 53%.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use certain non-GAAP financial measures to supplement our unaudited condensed consolidated financial statements ,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130"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Initial Public Offering (“IPO”) and public company readiness costs, stock-based compensation expense, tender offer-related costs and other expenses.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31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426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(28,970)</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(42,618)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IPO and public company readiness costs(1)</w:t>
            </w:r>
          </w:p>
        </w:tc>
        <w:tc>
          <w:tcPr>
            <w:tcW w:w="3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3,253</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Tender offer-related costs(2)</w:t>
            </w:r>
          </w:p>
        </w:tc>
        <w:tc>
          <w:tcPr>
            <w:tcW w:w="300" w:type="dxa"/>
            <w:vAlign w:val="bottom"/>
            <w:shd w:val="clear" w:color="auto" w:fill="DBDBDB"/>
          </w:tcPr>
          <w:p>
            <w:pPr>
              <w:spacing w:after="0"/>
              <w:rPr>
                <w:sz w:val="19"/>
                <w:szCs w:val="19"/>
                <w:color w:val="auto"/>
              </w:rPr>
            </w:pPr>
          </w:p>
        </w:tc>
        <w:tc>
          <w:tcPr>
            <w:tcW w:w="14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5,599</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expenses(3)</w:t>
            </w: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(5,968)</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340" w:right="120" w:hanging="332"/>
        <w:spacing w:after="0" w:line="24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our unaudited interim condensed consolidated financial statements included elsewhere in this Quarterly Report on Form</w:t>
      </w:r>
    </w:p>
    <w:p>
      <w:pPr>
        <w:ind w:left="340"/>
        <w:spacing w:after="0"/>
        <w:rPr>
          <w:rFonts w:ascii="Arial" w:cs="Arial" w:eastAsia="Arial" w:hAnsi="Arial"/>
          <w:sz w:val="14"/>
          <w:szCs w:val="14"/>
          <w:color w:val="auto"/>
        </w:rPr>
      </w:pPr>
      <w:r>
        <w:rPr>
          <w:rFonts w:ascii="Arial" w:cs="Arial" w:eastAsia="Arial" w:hAnsi="Arial"/>
          <w:sz w:val="14"/>
          <w:szCs w:val="14"/>
          <w:color w:val="auto"/>
        </w:rPr>
        <w:t>10-Q as follows: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7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DBDBDB"/>
          </w:tcPr>
          <w:p>
            <w:pPr>
              <w:spacing w:after="0"/>
              <w:rPr>
                <w:sz w:val="15"/>
                <w:szCs w:val="15"/>
                <w:color w:val="auto"/>
              </w:rPr>
            </w:pPr>
          </w:p>
        </w:tc>
        <w:tc>
          <w:tcPr>
            <w:tcW w:w="1260" w:type="dxa"/>
            <w:vAlign w:val="bottom"/>
            <w:shd w:val="clear" w:color="auto" w:fill="DBDBDB"/>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1,375</w:t>
            </w:r>
          </w:p>
        </w:tc>
        <w:tc>
          <w:tcPr>
            <w:tcW w:w="80" w:type="dxa"/>
            <w:vAlign w:val="bottom"/>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2,748</w:t>
            </w:r>
          </w:p>
        </w:tc>
        <w:tc>
          <w:tcPr>
            <w:tcW w:w="100" w:type="dxa"/>
            <w:vAlign w:val="bottom"/>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1,560</w:t>
            </w:r>
          </w:p>
        </w:tc>
        <w:tc>
          <w:tcPr>
            <w:tcW w:w="80" w:type="dxa"/>
            <w:vAlign w:val="bottom"/>
          </w:tcPr>
          <w:p>
            <w:pPr>
              <w:spacing w:after="0"/>
              <w:rPr>
                <w:sz w:val="15"/>
                <w:szCs w:val="15"/>
                <w:color w:val="auto"/>
              </w:rPr>
            </w:pP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40" w:right="240" w:hanging="332"/>
        <w:spacing w:after="0" w:line="260"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costs related to our tender offer initiated in February 2021 (see Note 8 to our unaudited condensed consolidated financial statements included elsewhere in this Quarterly Report on Form 10-Q), including fees incurred, as follows</w:t>
      </w:r>
      <w:r>
        <w:rPr>
          <w:rFonts w:ascii="Arial" w:cs="Arial" w:eastAsia="Arial" w:hAnsi="Arial"/>
          <w:sz w:val="17"/>
          <w:szCs w:val="17"/>
          <w:color w:val="auto"/>
        </w:rPr>
        <w:t>:</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7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2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of revenues</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Research and</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Sales and marketing</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6"/>
                <w:szCs w:val="16"/>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development</w:t>
            </w:r>
          </w:p>
        </w:tc>
        <w:tc>
          <w:tcPr>
            <w:tcW w:w="16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Tender offer</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Fees and taxes paid on tender offer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8"/>
        </w:trPr>
        <w:tc>
          <w:tcPr>
            <w:tcW w:w="2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27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400" w:hanging="332"/>
        <w:spacing w:after="0" w:line="249"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and comprehensive loss. See Note 2 to our unaudited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Adjusted EBITDA increases as we grow revenue, improve gross margin, and reduce operating expenses as a percentage of revenue, or through a combination of those drivers. For the three months ended September 30, 2021 and 2020, we generated losses of $6.0 million and $0.7 million of Adjusted EBITDA, respectively. For the nine months ended September 30, 2021 and 2020, we generated a loss of $1.4 million and income of $0.7 million of Adjusted EBITDA, respectively. The decrease in Adjusted EBITDA occurred because of growth in operating expenses, adjusted for costs incurred related to IPO and public company readiness and other costs which did not occur in the prior year, grew at a higher rate than revenue growth and gross profit.</w:t>
      </w:r>
    </w:p>
    <w:p>
      <w:pPr>
        <w:spacing w:after="0" w:line="130"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and increased by IPO and public company readiness costs and other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The following table presents a reconciliation of net cash provided by operating activities, the most directly comparable financial measure calculated in accordance with GAAP, to free cash flow: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426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DBDBDB"/>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4,511</w:t>
            </w:r>
          </w:p>
        </w:tc>
        <w:tc>
          <w:tcPr>
            <w:tcW w:w="8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10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(364)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(3,063)</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Plus: IPO and public company readiness costs(1)</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Plus: Other(2)</w:t>
            </w:r>
          </w:p>
        </w:tc>
        <w:tc>
          <w:tcPr>
            <w:tcW w:w="10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5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4,220</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340" w:right="580" w:hanging="332"/>
        <w:spacing w:after="0" w:line="258"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w:t>
      </w:r>
    </w:p>
    <w:p>
      <w:pPr>
        <w:spacing w:after="0" w:line="139" w:lineRule="exact"/>
        <w:rPr>
          <w:rFonts w:ascii="Arial" w:cs="Arial" w:eastAsia="Arial" w:hAnsi="Arial"/>
          <w:sz w:val="14"/>
          <w:szCs w:val="14"/>
          <w:color w:val="auto"/>
        </w:rPr>
      </w:pPr>
    </w:p>
    <w:p>
      <w:pPr>
        <w:ind w:left="340" w:right="220" w:hanging="332"/>
        <w:spacing w:after="0" w:line="249"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payment of one-time cash awards to Duolingo contributors under our non-employee volunteer program included within Sales and marketing expenses within our unaudited condensed consolidated statement of operations and comprehensive loss. See Note 2 to our unaudited condensed consolidated financial statements included elsewhere in this Quarterly Report on Form 10-Q.</w:t>
      </w:r>
    </w:p>
    <w:p>
      <w:pPr>
        <w:spacing w:after="0" w:line="22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For the three months ended September 30, 2021 and 2020, we generated $5.2 and $0.6 of free cash flow, respectively. The increase in free cash flow was mainly attributable to the increase in net cash provided by operating activities which was partially offset by higher capital expenditures and capitalized software development costs. For the nine months ended September 30, 2021 and 2020, we generated $11.1 and $11.5 of free cash flow,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operating metrics and financial metrics for a period of time in 2020 due, in part, to stay at home and other social distancing measures, most notably in the second quarter. The pandemic also increased adoption of the Duolingo English Test. Because this increase was driven in part by increased acceptance of the test, and because we believe universities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unlikely to stop accepting the test when the pandemic ends, we do not expect the Duolingo English Test to revert to pre-pandemic levels.</w:t>
      </w:r>
    </w:p>
    <w:p>
      <w:pPr>
        <w:spacing w:after="0" w:line="1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generate revenue primarily from the sale of subscriptions. The term-length of our subscription agreements are primarily monthly or annual, which allows for a single or family plan. We began to roll out a family plan during the nine months ended September 30, 2021. We have historically had a six-month subscription plan but during the fourth quarter of 2020, we began to phase it out. We also generate revenue from advertising, the in-app sale of virtual goods, and our English assessment test, the Duolingo English Test.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0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Cost of revenues predominantly consists of third-party payment processing fees charged by various distribution channels and also hosting fees. To a much lesser extent, cost of revenues includes wages and stock-based compensation for certain employees in the capacity of customer support, amortization of revenue generating capitalized software, and depreciation of certain property and equipment.</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Gross profit represents revenue less cost of revenues. Gross margin is gross profit expressed as a percentage of revenue. Our gross profit may fluctuate from period to period as our revenue fluctuates, and also as a result of the timing and amount of investments we make in items related to cost of revenues.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of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Such expenses include compensation of engineers, designers, product managers, including stock-based compensation, materials, travel and direct costs associated with the design and required testing of our platform. We expect engineers, designers, and product managers to represent a significant portion of our employees for the foreseeable future. Many of our new products and improvements to our platform require large investments and involve substantial time and risks to develop and launch. Some of these products may not be well received or may take a long time for users to adopt. As a result, the benefits of our research and development investments may be difficult to forecast. We expect to continue to spend a significant portion of our revenue on research and development in the future.</w:t>
      </w:r>
    </w:p>
    <w:p>
      <w:pPr>
        <w:spacing w:after="0" w:line="13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stock-based compensation for personnel engaged in sales and marketing functions, and amortization of non-revenue generating capitalized software used to promote Duolingo. We expect our sales and marketing expenses will decline as a percentage of revenue as our revenue grows faster than these expenses over the long-term.</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 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the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decrease as a percentage of our revenue as our revenue grows faster than these expenses over the long-term.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(expense) income, net consists primarily of foreign currency exchange gains and losses in addition to interest expense, partially offset by income earned on our money market funds included in cash and cash equivalents and on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including year-over-year change,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September</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13"/>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30,</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13"/>
            <w:vMerge w:val="continue"/>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4"/>
          </w:tcPr>
          <w:p>
            <w:pPr>
              <w:jc w:val="center"/>
              <w:ind w:right="34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63,595</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45,305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40 %</w:t>
            </w:r>
          </w:p>
        </w:tc>
        <w:tc>
          <w:tcPr>
            <w:tcW w:w="540" w:type="dxa"/>
            <w:vAlign w:val="bottom"/>
            <w:gridSpan w:val="3"/>
            <w:shd w:val="clear" w:color="auto" w:fill="DBDBDB"/>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177,758</w:t>
            </w:r>
          </w:p>
        </w:tc>
        <w:tc>
          <w:tcPr>
            <w:tcW w:w="360" w:type="dxa"/>
            <w:vAlign w:val="bottom"/>
            <w:gridSpan w:val="3"/>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113,428</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 (1) (2)</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18,078</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49,234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33,124</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DBDBDB"/>
          </w:tcPr>
          <w:p>
            <w:pPr>
              <w:spacing w:after="0"/>
              <w:rPr>
                <w:sz w:val="19"/>
                <w:szCs w:val="19"/>
                <w:color w:val="auto"/>
              </w:rPr>
            </w:pPr>
          </w:p>
        </w:tc>
        <w:tc>
          <w:tcPr>
            <w:tcW w:w="10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45,517</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32,204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41</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128,524</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80,304</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 (1)</w:t>
            </w:r>
          </w:p>
        </w:tc>
        <w:tc>
          <w:tcPr>
            <w:tcW w:w="120" w:type="dxa"/>
            <w:vAlign w:val="bottom"/>
            <w:shd w:val="clear" w:color="auto" w:fill="DBDBDB"/>
          </w:tcPr>
          <w:p>
            <w:pPr>
              <w:spacing w:after="0"/>
              <w:rPr>
                <w:sz w:val="19"/>
                <w:szCs w:val="19"/>
                <w:color w:val="auto"/>
              </w:rPr>
            </w:pPr>
          </w:p>
        </w:tc>
        <w:tc>
          <w:tcPr>
            <w:tcW w:w="10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29,345</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85</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73,814</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37,581</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Sales and marketing (1) (2)</w:t>
            </w:r>
          </w:p>
        </w:tc>
        <w:tc>
          <w:tcPr>
            <w:tcW w:w="1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15,267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44,659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25,278</w:t>
            </w:r>
          </w:p>
        </w:tc>
        <w:tc>
          <w:tcPr>
            <w:tcW w:w="100" w:type="dxa"/>
            <w:vAlign w:val="bottom"/>
          </w:tcPr>
          <w:p>
            <w:pPr>
              <w:spacing w:after="0"/>
              <w:rPr>
                <w:sz w:val="19"/>
                <w:szCs w:val="19"/>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 (1)</w:t>
            </w:r>
          </w:p>
        </w:tc>
        <w:tc>
          <w:tcPr>
            <w:tcW w:w="1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29,605</w:t>
            </w:r>
          </w:p>
        </w:tc>
        <w:tc>
          <w:tcPr>
            <w:tcW w:w="8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8"/>
                <w:szCs w:val="18"/>
                <w:color w:val="auto"/>
              </w:rPr>
              <w:t>52,643</w:t>
            </w: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74,217</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35,271</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171,116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85,744</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DBDBDB"/>
          </w:tcPr>
          <w:p>
            <w:pPr>
              <w:spacing w:after="0"/>
              <w:rPr>
                <w:sz w:val="19"/>
                <w:szCs w:val="19"/>
                <w:color w:val="auto"/>
              </w:rPr>
            </w:pPr>
          </w:p>
        </w:tc>
        <w:tc>
          <w:tcPr>
            <w:tcW w:w="1080" w:type="dxa"/>
            <w:vAlign w:val="bottom"/>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(28,700)</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836</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(42,592)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(5,440)</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DBDBDB"/>
          </w:tcPr>
          <w:p>
            <w:pPr>
              <w:spacing w:after="0"/>
              <w:rPr>
                <w:sz w:val="19"/>
                <w:szCs w:val="19"/>
                <w:color w:val="auto"/>
              </w:rPr>
            </w:pPr>
          </w:p>
        </w:tc>
        <w:tc>
          <w:tcPr>
            <w:tcW w:w="1080" w:type="dxa"/>
            <w:vAlign w:val="bottom"/>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(28,919)</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48"/>
              <w:spacing w:after="0"/>
              <w:rPr>
                <w:sz w:val="20"/>
                <w:szCs w:val="20"/>
                <w:color w:val="auto"/>
              </w:rPr>
            </w:pPr>
            <w:r>
              <w:rPr>
                <w:rFonts w:ascii="Arial" w:cs="Arial" w:eastAsia="Arial" w:hAnsi="Arial"/>
                <w:sz w:val="18"/>
                <w:szCs w:val="18"/>
                <w:color w:val="auto"/>
              </w:rPr>
              <w:t>817</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(42,549)</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9"/>
              </w:rPr>
              <w:t>45</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(28,970)</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812 %</w:t>
            </w:r>
          </w:p>
        </w:tc>
        <w:tc>
          <w:tcPr>
            <w:tcW w:w="540" w:type="dxa"/>
            <w:vAlign w:val="bottom"/>
            <w:gridSpan w:val="3"/>
            <w:shd w:val="clear" w:color="auto" w:fill="DBDBDB"/>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(42,618)</w:t>
            </w:r>
          </w:p>
        </w:tc>
        <w:tc>
          <w:tcPr>
            <w:tcW w:w="360" w:type="dxa"/>
            <w:vAlign w:val="bottom"/>
            <w:gridSpan w:val="3"/>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DBDBDB"/>
          </w:tcPr>
          <w:p>
            <w:pPr>
              <w:spacing w:after="0"/>
              <w:rPr>
                <w:sz w:val="21"/>
                <w:szCs w:val="21"/>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0"/>
        </w:trPr>
        <w:tc>
          <w:tcPr>
            <w:tcW w:w="338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60" w:type="dxa"/>
            <w:vAlign w:val="bottom"/>
            <w:gridSpan w:val="7"/>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0"/>
          </w:tcPr>
          <w:p>
            <w:pPr>
              <w:jc w:val="right"/>
              <w:ind w:right="368"/>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10"/>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10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DBDBDB"/>
          </w:tcPr>
          <w:p>
            <w:pPr>
              <w:spacing w:after="0"/>
              <w:rPr>
                <w:sz w:val="19"/>
                <w:szCs w:val="19"/>
                <w:color w:val="auto"/>
              </w:rPr>
            </w:pPr>
          </w:p>
        </w:tc>
        <w:tc>
          <w:tcPr>
            <w:tcW w:w="1080" w:type="dxa"/>
            <w:vAlign w:val="bottom"/>
            <w:gridSpan w:val="3"/>
            <w:vMerge w:val="restart"/>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vMerge w:val="restart"/>
            <w:shd w:val="clear" w:color="auto" w:fill="DBDBDB"/>
          </w:tcPr>
          <w:p>
            <w:pPr>
              <w:jc w:val="right"/>
              <w:ind w:right="888"/>
              <w:spacing w:after="0"/>
              <w:rPr>
                <w:sz w:val="20"/>
                <w:szCs w:val="20"/>
                <w:color w:val="auto"/>
              </w:rPr>
            </w:pPr>
            <w:r>
              <w:rPr>
                <w:rFonts w:ascii="Arial" w:cs="Arial" w:eastAsia="Arial" w:hAnsi="Arial"/>
                <w:sz w:val="18"/>
                <w:szCs w:val="18"/>
                <w:color w:val="auto"/>
                <w:w w:val="99"/>
              </w:rPr>
              <w:t>$</w:t>
            </w:r>
          </w:p>
        </w:tc>
        <w:tc>
          <w:tcPr>
            <w:tcW w:w="540" w:type="dxa"/>
            <w:vAlign w:val="bottom"/>
            <w:gridSpan w:val="3"/>
            <w:vMerge w:val="restart"/>
            <w:shd w:val="clear" w:color="auto" w:fill="DBDBDB"/>
          </w:tcPr>
          <w:p>
            <w:pPr>
              <w:jc w:val="right"/>
              <w:ind w:right="8"/>
              <w:spacing w:after="0"/>
              <w:rPr>
                <w:sz w:val="20"/>
                <w:szCs w:val="20"/>
                <w:color w:val="auto"/>
              </w:rPr>
            </w:pPr>
            <w:r>
              <w:rPr>
                <w:rFonts w:ascii="Arial" w:cs="Arial" w:eastAsia="Arial" w:hAnsi="Arial"/>
                <w:sz w:val="18"/>
                <w:szCs w:val="18"/>
                <w:color w:val="auto"/>
              </w:rPr>
              <w:t>3</w:t>
            </w:r>
          </w:p>
        </w:tc>
        <w:tc>
          <w:tcPr>
            <w:tcW w:w="740" w:type="dxa"/>
            <w:vAlign w:val="bottom"/>
            <w:gridSpan w:val="4"/>
            <w:vMerge w:val="restart"/>
            <w:shd w:val="clear" w:color="auto" w:fill="DBDBDB"/>
          </w:tcPr>
          <w:p>
            <w:pPr>
              <w:jc w:val="center"/>
              <w:ind w:right="328"/>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3"/>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04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gridSpan w:val="3"/>
            <w:vMerge w:val="continue"/>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3"/>
            <w:vMerge w:val="continue"/>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c>
          <w:tcPr>
            <w:tcW w:w="6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gridSpan w:val="2"/>
            <w:vMerge w:val="continue"/>
            <w:shd w:val="clear" w:color="auto" w:fill="DBDBDB"/>
          </w:tcPr>
          <w:p>
            <w:pPr>
              <w:spacing w:after="0"/>
              <w:rPr>
                <w:sz w:val="14"/>
                <w:szCs w:val="14"/>
                <w:color w:val="auto"/>
              </w:rPr>
            </w:pPr>
          </w:p>
        </w:tc>
        <w:tc>
          <w:tcPr>
            <w:tcW w:w="540" w:type="dxa"/>
            <w:vAlign w:val="bottom"/>
            <w:tcBorders>
              <w:bottom w:val="single" w:sz="8" w:color="DBDBDB"/>
            </w:tcBorders>
            <w:gridSpan w:val="3"/>
            <w:vMerge w:val="continue"/>
            <w:shd w:val="clear" w:color="auto" w:fill="DBDBDB"/>
          </w:tcPr>
          <w:p>
            <w:pPr>
              <w:spacing w:after="0"/>
              <w:rPr>
                <w:sz w:val="14"/>
                <w:szCs w:val="14"/>
                <w:color w:val="auto"/>
              </w:rPr>
            </w:pPr>
          </w:p>
        </w:tc>
        <w:tc>
          <w:tcPr>
            <w:tcW w:w="740" w:type="dxa"/>
            <w:vAlign w:val="bottom"/>
            <w:tcBorders>
              <w:bottom w:val="single" w:sz="8" w:color="DBDBDB"/>
            </w:tcBorders>
            <w:gridSpan w:val="4"/>
            <w:vMerge w:val="continue"/>
            <w:shd w:val="clear" w:color="auto" w:fill="DBDBDB"/>
          </w:tcPr>
          <w:p>
            <w:pPr>
              <w:spacing w:after="0"/>
              <w:rPr>
                <w:sz w:val="14"/>
                <w:szCs w:val="14"/>
                <w:color w:val="auto"/>
              </w:rPr>
            </w:pPr>
          </w:p>
        </w:tc>
        <w:tc>
          <w:tcPr>
            <w:tcW w:w="2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vMerge w:val="continue"/>
            <w:shd w:val="clear" w:color="auto" w:fill="DBDBDB"/>
          </w:tcPr>
          <w:p>
            <w:pPr>
              <w:spacing w:after="0"/>
              <w:rPr>
                <w:sz w:val="14"/>
                <w:szCs w:val="14"/>
                <w:color w:val="auto"/>
              </w:rPr>
            </w:pPr>
          </w:p>
        </w:tc>
        <w:tc>
          <w:tcPr>
            <w:tcW w:w="300" w:type="dxa"/>
            <w:vAlign w:val="bottom"/>
            <w:tcBorders>
              <w:bottom w:val="single" w:sz="8" w:color="DBDBDB"/>
            </w:tcBorders>
            <w:gridSpan w:val="3"/>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3,533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3"/>
            <w:vMerge w:val="restart"/>
          </w:tcPr>
          <w:p>
            <w:pPr>
              <w:jc w:val="right"/>
              <w:ind w:right="8"/>
              <w:spacing w:after="0"/>
              <w:rPr>
                <w:sz w:val="20"/>
                <w:szCs w:val="20"/>
                <w:color w:val="auto"/>
              </w:rPr>
            </w:pPr>
            <w:r>
              <w:rPr>
                <w:rFonts w:ascii="Arial" w:cs="Arial" w:eastAsia="Arial" w:hAnsi="Arial"/>
                <w:sz w:val="18"/>
                <w:szCs w:val="18"/>
                <w:color w:val="auto"/>
              </w:rPr>
              <w:t>526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5,749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 w:type="dxa"/>
            <w:vAlign w:val="bottom"/>
          </w:tcPr>
          <w:p>
            <w:pPr>
              <w:spacing w:after="0"/>
              <w:rPr>
                <w:sz w:val="21"/>
                <w:szCs w:val="21"/>
                <w:color w:val="auto"/>
              </w:rPr>
            </w:pPr>
          </w:p>
        </w:tc>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22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408</w:t>
            </w:r>
          </w:p>
        </w:tc>
        <w:tc>
          <w:tcPr>
            <w:tcW w:w="4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540" w:type="dxa"/>
            <w:vAlign w:val="bottom"/>
            <w:gridSpan w:val="3"/>
            <w:vMerge w:val="restart"/>
            <w:shd w:val="clear" w:color="auto" w:fill="DBDBDB"/>
          </w:tcPr>
          <w:p>
            <w:pPr>
              <w:jc w:val="right"/>
              <w:ind w:right="8"/>
              <w:spacing w:after="0"/>
              <w:rPr>
                <w:sz w:val="20"/>
                <w:szCs w:val="20"/>
                <w:color w:val="auto"/>
              </w:rPr>
            </w:pPr>
            <w:r>
              <w:rPr>
                <w:rFonts w:ascii="Arial" w:cs="Arial" w:eastAsia="Arial" w:hAnsi="Arial"/>
                <w:sz w:val="18"/>
                <w:szCs w:val="18"/>
                <w:color w:val="auto"/>
              </w:rPr>
              <w:t>116</w:t>
            </w:r>
          </w:p>
        </w:tc>
        <w:tc>
          <w:tcPr>
            <w:tcW w:w="4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04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DBDBDB"/>
            </w:tcBorders>
            <w:gridSpan w:val="3"/>
            <w:vMerge w:val="continue"/>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c>
          <w:tcPr>
            <w:tcW w:w="60" w:type="dxa"/>
            <w:vAlign w:val="bottom"/>
            <w:tcBorders>
              <w:bottom w:val="single" w:sz="8" w:color="DBDBDB"/>
            </w:tcBorders>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540" w:type="dxa"/>
            <w:vAlign w:val="bottom"/>
            <w:tcBorders>
              <w:bottom w:val="single" w:sz="8" w:color="DBDBDB"/>
            </w:tcBorders>
            <w:gridSpan w:val="3"/>
            <w:vMerge w:val="continue"/>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c>
          <w:tcPr>
            <w:tcW w:w="60" w:type="dxa"/>
            <w:vAlign w:val="bottom"/>
            <w:tcBorders>
              <w:bottom w:val="single" w:sz="8" w:color="DBDBDB"/>
            </w:tcBorders>
            <w:shd w:val="clear" w:color="auto" w:fill="DBDBDB"/>
          </w:tcPr>
          <w:p>
            <w:pPr>
              <w:spacing w:after="0"/>
              <w:rPr>
                <w:sz w:val="14"/>
                <w:szCs w:val="14"/>
                <w:color w:val="auto"/>
              </w:rPr>
            </w:pPr>
          </w:p>
        </w:tc>
        <w:tc>
          <w:tcPr>
            <w:tcW w:w="20" w:type="dxa"/>
            <w:vAlign w:val="bottom"/>
            <w:tcBorders>
              <w:bottom w:val="single" w:sz="8" w:color="DBDBDB"/>
            </w:tcBorders>
            <w:shd w:val="clear" w:color="auto" w:fill="DBDBDB"/>
          </w:tcPr>
          <w:p>
            <w:pPr>
              <w:spacing w:after="0"/>
              <w:rPr>
                <w:sz w:val="14"/>
                <w:szCs w:val="14"/>
                <w:color w:val="auto"/>
              </w:rPr>
            </w:pPr>
          </w:p>
        </w:tc>
        <w:tc>
          <w:tcPr>
            <w:tcW w:w="620" w:type="dxa"/>
            <w:vAlign w:val="bottom"/>
            <w:tcBorders>
              <w:bottom w:val="single" w:sz="8" w:color="DBDBDB"/>
            </w:tcBorders>
            <w:shd w:val="clear" w:color="auto" w:fill="DBDBDB"/>
          </w:tcPr>
          <w:p>
            <w:pPr>
              <w:spacing w:after="0"/>
              <w:rPr>
                <w:sz w:val="14"/>
                <w:szCs w:val="14"/>
                <w:color w:val="auto"/>
              </w:rPr>
            </w:pPr>
          </w:p>
        </w:tc>
        <w:tc>
          <w:tcPr>
            <w:tcW w:w="2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vMerge w:val="continue"/>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2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16,715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3"/>
            <w:vMerge w:val="restart"/>
          </w:tcPr>
          <w:p>
            <w:pPr>
              <w:jc w:val="right"/>
              <w:ind w:right="8"/>
              <w:spacing w:after="0"/>
              <w:rPr>
                <w:sz w:val="20"/>
                <w:szCs w:val="20"/>
                <w:color w:val="auto"/>
              </w:rPr>
            </w:pPr>
            <w:r>
              <w:rPr>
                <w:rFonts w:ascii="Arial" w:cs="Arial" w:eastAsia="Arial" w:hAnsi="Arial"/>
                <w:sz w:val="18"/>
                <w:szCs w:val="18"/>
                <w:color w:val="auto"/>
                <w:w w:val="97"/>
              </w:rPr>
              <w:t>1,037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19,815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40" w:type="dxa"/>
            <w:vAlign w:val="bottom"/>
            <w:tcBorders>
              <w:bottom w:val="single" w:sz="8" w:color="DBDBDB"/>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DBDBDB"/>
          </w:tcPr>
          <w:p>
            <w:pPr>
              <w:spacing w:after="0"/>
              <w:rPr>
                <w:sz w:val="19"/>
                <w:szCs w:val="19"/>
                <w:color w:val="auto"/>
              </w:rPr>
            </w:pPr>
          </w:p>
        </w:tc>
        <w:tc>
          <w:tcPr>
            <w:tcW w:w="940" w:type="dxa"/>
            <w:vAlign w:val="bottom"/>
            <w:vMerge w:val="restart"/>
            <w:shd w:val="clear" w:color="auto" w:fill="DBDBDB"/>
          </w:tcPr>
          <w:p>
            <w:pPr>
              <w:spacing w:after="0"/>
              <w:rPr>
                <w:sz w:val="19"/>
                <w:szCs w:val="19"/>
                <w:color w:val="auto"/>
              </w:rPr>
            </w:pPr>
          </w:p>
        </w:tc>
        <w:tc>
          <w:tcPr>
            <w:tcW w:w="140" w:type="dxa"/>
            <w:vAlign w:val="bottom"/>
            <w:gridSpan w:val="2"/>
            <w:vMerge w:val="restart"/>
            <w:shd w:val="clear" w:color="auto" w:fill="DBDBDB"/>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20,662</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80" w:type="dxa"/>
            <w:vAlign w:val="bottom"/>
            <w:gridSpan w:val="2"/>
            <w:vMerge w:val="restart"/>
            <w:shd w:val="clear" w:color="auto" w:fill="DBDBDB"/>
          </w:tcPr>
          <w:p>
            <w:pPr>
              <w:jc w:val="right"/>
              <w:ind w:right="888"/>
              <w:spacing w:after="0"/>
              <w:rPr>
                <w:sz w:val="20"/>
                <w:szCs w:val="20"/>
                <w:color w:val="auto"/>
              </w:rPr>
            </w:pPr>
            <w:r>
              <w:rPr>
                <w:rFonts w:ascii="Arial" w:cs="Arial" w:eastAsia="Arial" w:hAnsi="Arial"/>
                <w:sz w:val="18"/>
                <w:szCs w:val="18"/>
                <w:color w:val="auto"/>
                <w:w w:val="99"/>
              </w:rPr>
              <w:t>$</w:t>
            </w:r>
          </w:p>
        </w:tc>
        <w:tc>
          <w:tcPr>
            <w:tcW w:w="540" w:type="dxa"/>
            <w:vAlign w:val="bottom"/>
            <w:gridSpan w:val="3"/>
            <w:vMerge w:val="restart"/>
            <w:shd w:val="clear" w:color="auto" w:fill="DBDBDB"/>
          </w:tcPr>
          <w:p>
            <w:pPr>
              <w:jc w:val="right"/>
              <w:ind w:right="8"/>
              <w:spacing w:after="0"/>
              <w:rPr>
                <w:sz w:val="20"/>
                <w:szCs w:val="20"/>
                <w:color w:val="auto"/>
              </w:rPr>
            </w:pPr>
            <w:r>
              <w:rPr>
                <w:rFonts w:ascii="Arial" w:cs="Arial" w:eastAsia="Arial" w:hAnsi="Arial"/>
                <w:sz w:val="18"/>
                <w:szCs w:val="18"/>
                <w:color w:val="auto"/>
                <w:w w:val="97"/>
              </w:rPr>
              <w:t>1,682</w:t>
            </w:r>
          </w:p>
        </w:tc>
        <w:tc>
          <w:tcPr>
            <w:tcW w:w="740" w:type="dxa"/>
            <w:vAlign w:val="bottom"/>
            <w:gridSpan w:val="4"/>
            <w:vMerge w:val="restart"/>
            <w:shd w:val="clear" w:color="auto" w:fill="DBDBDB"/>
          </w:tcPr>
          <w:p>
            <w:pPr>
              <w:jc w:val="center"/>
              <w:ind w:right="328"/>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8"/>
              </w:rPr>
              <w:t>26,120</w:t>
            </w:r>
          </w:p>
        </w:tc>
        <w:tc>
          <w:tcPr>
            <w:tcW w:w="300" w:type="dxa"/>
            <w:vAlign w:val="bottom"/>
            <w:gridSpan w:val="3"/>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0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vMerge w:val="continue"/>
            <w:shd w:val="clear" w:color="auto" w:fill="DBDBDB"/>
          </w:tcPr>
          <w:p>
            <w:pPr>
              <w:spacing w:after="0"/>
              <w:rPr>
                <w:sz w:val="15"/>
                <w:szCs w:val="15"/>
                <w:color w:val="auto"/>
              </w:rPr>
            </w:pPr>
          </w:p>
        </w:tc>
        <w:tc>
          <w:tcPr>
            <w:tcW w:w="140" w:type="dxa"/>
            <w:vAlign w:val="bottom"/>
            <w:tcBorders>
              <w:bottom w:val="single" w:sz="8" w:color="DBDBDB"/>
            </w:tcBorders>
            <w:gridSpan w:val="2"/>
            <w:vMerge w:val="continue"/>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gridSpan w:val="3"/>
            <w:vMerge w:val="continue"/>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gridSpan w:val="2"/>
            <w:vMerge w:val="continue"/>
            <w:shd w:val="clear" w:color="auto" w:fill="DBDBDB"/>
          </w:tcPr>
          <w:p>
            <w:pPr>
              <w:spacing w:after="0"/>
              <w:rPr>
                <w:sz w:val="15"/>
                <w:szCs w:val="15"/>
                <w:color w:val="auto"/>
              </w:rPr>
            </w:pPr>
          </w:p>
        </w:tc>
        <w:tc>
          <w:tcPr>
            <w:tcW w:w="540" w:type="dxa"/>
            <w:vAlign w:val="bottom"/>
            <w:tcBorders>
              <w:bottom w:val="single" w:sz="8" w:color="DBDBDB"/>
            </w:tcBorders>
            <w:gridSpan w:val="3"/>
            <w:vMerge w:val="continue"/>
            <w:shd w:val="clear" w:color="auto" w:fill="DBDBDB"/>
          </w:tcPr>
          <w:p>
            <w:pPr>
              <w:spacing w:after="0"/>
              <w:rPr>
                <w:sz w:val="15"/>
                <w:szCs w:val="15"/>
                <w:color w:val="auto"/>
              </w:rPr>
            </w:pPr>
          </w:p>
        </w:tc>
        <w:tc>
          <w:tcPr>
            <w:tcW w:w="740" w:type="dxa"/>
            <w:vAlign w:val="bottom"/>
            <w:tcBorders>
              <w:bottom w:val="single" w:sz="8" w:color="DBDBDB"/>
            </w:tcBorders>
            <w:gridSpan w:val="4"/>
            <w:vMerge w:val="continue"/>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vMerge w:val="continue"/>
            <w:shd w:val="clear" w:color="auto" w:fill="DBDBDB"/>
          </w:tcPr>
          <w:p>
            <w:pPr>
              <w:spacing w:after="0"/>
              <w:rPr>
                <w:sz w:val="15"/>
                <w:szCs w:val="15"/>
                <w:color w:val="auto"/>
              </w:rPr>
            </w:pPr>
          </w:p>
        </w:tc>
        <w:tc>
          <w:tcPr>
            <w:tcW w:w="300" w:type="dxa"/>
            <w:vAlign w:val="bottom"/>
            <w:tcBorders>
              <w:bottom w:val="single" w:sz="8" w:color="DBDBDB"/>
            </w:tcBorders>
            <w:gridSpan w:val="3"/>
            <w:vMerge w:val="continue"/>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320" w:type="dxa"/>
            <w:vAlign w:val="bottom"/>
            <w:tcBorders>
              <w:bottom w:val="single" w:sz="8" w:color="DBDBDB"/>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DBDBDB"/>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4660" w:type="dxa"/>
            <w:vAlign w:val="bottom"/>
            <w:gridSpan w:val="7"/>
          </w:tcPr>
          <w:p>
            <w:pPr>
              <w:spacing w:after="0"/>
              <w:rPr>
                <w:sz w:val="20"/>
                <w:szCs w:val="20"/>
                <w:color w:val="auto"/>
              </w:rPr>
            </w:pPr>
            <w:r>
              <w:rPr>
                <w:rFonts w:ascii="Arial" w:cs="Arial" w:eastAsia="Arial" w:hAnsi="Arial"/>
                <w:sz w:val="14"/>
                <w:szCs w:val="14"/>
                <w:color w:val="auto"/>
              </w:rPr>
              <w:t>(2)  Includes amortization of capitalized software as follows: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10"/>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auto"/>
            </w:tcBorders>
            <w:gridSpan w:val="10"/>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0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120" w:type="dxa"/>
            <w:vAlign w:val="bottom"/>
            <w:shd w:val="clear" w:color="auto" w:fill="DBDBDB"/>
          </w:tcPr>
          <w:p>
            <w:pPr>
              <w:spacing w:after="0"/>
              <w:rPr>
                <w:sz w:val="15"/>
                <w:szCs w:val="15"/>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320" w:type="dxa"/>
            <w:vAlign w:val="bottom"/>
            <w:gridSpan w:val="4"/>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740" w:type="dxa"/>
            <w:vAlign w:val="bottom"/>
            <w:gridSpan w:val="4"/>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12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4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188</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0" w:type="dxa"/>
            <w:vAlign w:val="bottom"/>
            <w:tcBorders>
              <w:bottom w:val="single" w:sz="8" w:color="DBDBDB"/>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148</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8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DBDBDB"/>
          </w:tcPr>
          <w:p>
            <w:pPr>
              <w:spacing w:after="0"/>
              <w:rPr>
                <w:sz w:val="17"/>
                <w:szCs w:val="17"/>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1220" w:type="dxa"/>
            <w:vAlign w:val="bottom"/>
            <w:gridSpan w:val="3"/>
            <w:shd w:val="clear" w:color="auto" w:fill="DBDBDB"/>
          </w:tcPr>
          <w:p>
            <w:pPr>
              <w:jc w:val="right"/>
              <w:ind w:right="40"/>
              <w:spacing w:after="0"/>
              <w:rPr>
                <w:sz w:val="20"/>
                <w:szCs w:val="20"/>
                <w:color w:val="auto"/>
              </w:rPr>
            </w:pPr>
            <w:r>
              <w:rPr>
                <w:rFonts w:ascii="Arial" w:cs="Arial" w:eastAsia="Arial" w:hAnsi="Arial"/>
                <w:sz w:val="14"/>
                <w:szCs w:val="14"/>
                <w:color w:val="auto"/>
              </w:rPr>
              <w:t>188</w:t>
            </w:r>
          </w:p>
        </w:tc>
        <w:tc>
          <w:tcPr>
            <w:tcW w:w="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174</w:t>
            </w:r>
          </w:p>
        </w:tc>
        <w:tc>
          <w:tcPr>
            <w:tcW w:w="740" w:type="dxa"/>
            <w:vAlign w:val="bottom"/>
            <w:gridSpan w:val="4"/>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484</w:t>
            </w:r>
          </w:p>
        </w:tc>
        <w:tc>
          <w:tcPr>
            <w:tcW w:w="30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680" w:hanging="328"/>
        <w:spacing w:after="0" w:line="258" w:lineRule="auto"/>
        <w:tabs>
          <w:tab w:leader="none" w:pos="6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revenues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7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080" w:type="dxa"/>
            <w:vAlign w:val="bottom"/>
            <w:tcBorders>
              <w:bottom w:val="single" w:sz="8" w:color="DBDBDB"/>
            </w:tcBorders>
          </w:tcPr>
          <w:p>
            <w:pPr>
              <w:spacing w:after="0"/>
              <w:rPr>
                <w:sz w:val="18"/>
                <w:szCs w:val="18"/>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7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BDBDB"/>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0"/>
        </w:trPr>
        <w:tc>
          <w:tcPr>
            <w:tcW w:w="5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DBDBDB"/>
          </w:tcPr>
          <w:p>
            <w:pPr>
              <w:spacing w:after="0"/>
              <w:rPr>
                <w:sz w:val="18"/>
                <w:szCs w:val="18"/>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r>
      <w:tr>
        <w:trPr>
          <w:trHeight w:val="213"/>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Cost of revenues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DBDBDB"/>
            </w:tcBorders>
          </w:tcPr>
          <w:p>
            <w:pPr>
              <w:spacing w:after="0"/>
              <w:rPr>
                <w:sz w:val="18"/>
                <w:szCs w:val="18"/>
                <w:color w:val="auto"/>
              </w:rPr>
            </w:pPr>
          </w:p>
        </w:tc>
        <w:tc>
          <w:tcPr>
            <w:tcW w:w="1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DBDBDB"/>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r>
      <w:tr>
        <w:trPr>
          <w:trHeight w:val="213"/>
        </w:trPr>
        <w:tc>
          <w:tcPr>
            <w:tcW w:w="5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5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71</w:t>
            </w:r>
          </w:p>
        </w:tc>
        <w:tc>
          <w:tcPr>
            <w:tcW w:w="80" w:type="dxa"/>
            <w:vAlign w:val="bottom"/>
            <w:shd w:val="clear" w:color="auto" w:fill="DBDBDB"/>
          </w:tcPr>
          <w:p>
            <w:pPr>
              <w:spacing w:after="0"/>
              <w:rPr>
                <w:sz w:val="18"/>
                <w:szCs w:val="18"/>
                <w:color w:val="auto"/>
              </w:rPr>
            </w:pPr>
          </w:p>
        </w:tc>
        <w:tc>
          <w:tcPr>
            <w:tcW w:w="174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71</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9"/>
        </w:trPr>
        <w:tc>
          <w:tcPr>
            <w:tcW w:w="5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Research and development</w:t>
            </w:r>
          </w:p>
        </w:tc>
        <w:tc>
          <w:tcPr>
            <w:tcW w:w="5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35</w:t>
            </w:r>
          </w:p>
        </w:tc>
        <w:tc>
          <w:tcPr>
            <w:tcW w:w="8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33</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74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22</w:t>
            </w:r>
          </w:p>
        </w:tc>
      </w:tr>
      <w:tr>
        <w:trPr>
          <w:trHeight w:val="216"/>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General and administrative(1)</w:t>
            </w:r>
          </w:p>
        </w:tc>
        <w:tc>
          <w:tcPr>
            <w:tcW w:w="112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18</w:t>
            </w:r>
          </w:p>
        </w:tc>
        <w:tc>
          <w:tcPr>
            <w:tcW w:w="80" w:type="dxa"/>
            <w:vAlign w:val="bottom"/>
            <w:shd w:val="clear" w:color="auto" w:fill="DBDBDB"/>
          </w:tcPr>
          <w:p>
            <w:pPr>
              <w:spacing w:after="0"/>
              <w:rPr>
                <w:sz w:val="18"/>
                <w:szCs w:val="18"/>
                <w:color w:val="auto"/>
              </w:rPr>
            </w:pPr>
          </w:p>
        </w:tc>
        <w:tc>
          <w:tcPr>
            <w:tcW w:w="174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20</w:t>
            </w:r>
          </w:p>
        </w:tc>
      </w:tr>
      <w:tr>
        <w:trPr>
          <w:trHeight w:val="209"/>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740" w:type="dxa"/>
            <w:vAlign w:val="bottom"/>
          </w:tcPr>
          <w:p>
            <w:pPr>
              <w:jc w:val="right"/>
              <w:ind w:right="1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76</w:t>
            </w:r>
          </w:p>
        </w:tc>
      </w:tr>
      <w:tr>
        <w:trPr>
          <w:trHeight w:val="219"/>
        </w:trPr>
        <w:tc>
          <w:tcPr>
            <w:tcW w:w="5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Operating loss</w:t>
            </w:r>
          </w:p>
        </w:tc>
        <w:tc>
          <w:tcPr>
            <w:tcW w:w="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520" w:type="dxa"/>
            <w:vAlign w:val="bottom"/>
            <w:shd w:val="clear" w:color="auto" w:fill="DBDBDB"/>
          </w:tcPr>
          <w:p>
            <w:pPr>
              <w:ind w:left="160"/>
              <w:spacing w:after="0"/>
              <w:rPr>
                <w:sz w:val="20"/>
                <w:szCs w:val="20"/>
                <w:color w:val="auto"/>
              </w:rPr>
            </w:pPr>
            <w:r>
              <w:rPr>
                <w:rFonts w:ascii="Arial" w:cs="Arial" w:eastAsia="Arial" w:hAnsi="Arial"/>
                <w:sz w:val="16"/>
                <w:szCs w:val="16"/>
                <w:color w:val="auto"/>
              </w:rPr>
              <w:t>(7)</w:t>
            </w:r>
          </w:p>
        </w:tc>
        <w:tc>
          <w:tcPr>
            <w:tcW w:w="80" w:type="dxa"/>
            <w:vAlign w:val="bottom"/>
            <w:shd w:val="clear" w:color="auto" w:fill="DBDBDB"/>
          </w:tcPr>
          <w:p>
            <w:pPr>
              <w:spacing w:after="0"/>
              <w:rPr>
                <w:sz w:val="19"/>
                <w:szCs w:val="19"/>
                <w:color w:val="auto"/>
              </w:rPr>
            </w:pPr>
          </w:p>
        </w:tc>
        <w:tc>
          <w:tcPr>
            <w:tcW w:w="1740" w:type="dxa"/>
            <w:vAlign w:val="bottom"/>
            <w:shd w:val="clear" w:color="auto" w:fill="DBDBDB"/>
          </w:tcPr>
          <w:p>
            <w:pPr>
              <w:ind w:left="12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ind w:left="1360"/>
              <w:spacing w:after="0"/>
              <w:rPr>
                <w:sz w:val="20"/>
                <w:szCs w:val="20"/>
                <w:color w:val="auto"/>
              </w:rPr>
            </w:pPr>
            <w:r>
              <w:rPr>
                <w:rFonts w:ascii="Arial" w:cs="Arial" w:eastAsia="Arial" w:hAnsi="Arial"/>
                <w:sz w:val="16"/>
                <w:szCs w:val="16"/>
                <w:color w:val="auto"/>
              </w:rPr>
              <w:t>(5)</w:t>
            </w:r>
          </w:p>
        </w:tc>
      </w:tr>
      <w:tr>
        <w:trPr>
          <w:trHeight w:val="213"/>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(expense) income, net</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Loss before provision for income taxes</w:t>
            </w:r>
          </w:p>
        </w:tc>
        <w:tc>
          <w:tcPr>
            <w:tcW w:w="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60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DBDBDB"/>
          </w:tcPr>
          <w:p>
            <w:pPr>
              <w:ind w:left="12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ind w:left="1360"/>
              <w:spacing w:after="0"/>
              <w:rPr>
                <w:sz w:val="20"/>
                <w:szCs w:val="20"/>
                <w:color w:val="auto"/>
              </w:rPr>
            </w:pPr>
            <w:r>
              <w:rPr>
                <w:rFonts w:ascii="Arial" w:cs="Arial" w:eastAsia="Arial" w:hAnsi="Arial"/>
                <w:sz w:val="16"/>
                <w:szCs w:val="16"/>
                <w:color w:val="auto"/>
              </w:rPr>
              <w:t>(5)</w:t>
            </w:r>
          </w:p>
        </w:tc>
      </w:tr>
      <w:tr>
        <w:trPr>
          <w:trHeight w:val="213"/>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income taxes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3"/>
        </w:trPr>
        <w:tc>
          <w:tcPr>
            <w:tcW w:w="5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loss and comprehensive loss</w:t>
            </w:r>
          </w:p>
        </w:tc>
        <w:tc>
          <w:tcPr>
            <w:tcW w:w="580" w:type="dxa"/>
            <w:vAlign w:val="bottom"/>
            <w:shd w:val="clear" w:color="auto" w:fill="DBDBDB"/>
          </w:tcPr>
          <w:p>
            <w:pPr>
              <w:ind w:left="140"/>
              <w:spacing w:after="0"/>
              <w:rPr>
                <w:sz w:val="20"/>
                <w:szCs w:val="20"/>
                <w:color w:val="auto"/>
              </w:rPr>
            </w:pPr>
            <w:r>
              <w:rPr>
                <w:rFonts w:ascii="Arial" w:cs="Arial" w:eastAsia="Arial" w:hAnsi="Arial"/>
                <w:sz w:val="16"/>
                <w:szCs w:val="16"/>
                <w:color w:val="auto"/>
                <w:w w:val="98"/>
              </w:rPr>
              <w:t>(46)%</w:t>
            </w:r>
          </w:p>
        </w:tc>
        <w:tc>
          <w:tcPr>
            <w:tcW w:w="10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520" w:type="dxa"/>
            <w:vAlign w:val="bottom"/>
            <w:shd w:val="clear" w:color="auto" w:fill="DBDBDB"/>
          </w:tcPr>
          <w:p>
            <w:pPr>
              <w:ind w:left="160"/>
              <w:spacing w:after="0"/>
              <w:rPr>
                <w:sz w:val="20"/>
                <w:szCs w:val="20"/>
                <w:color w:val="auto"/>
              </w:rPr>
            </w:pPr>
            <w:r>
              <w:rPr>
                <w:rFonts w:ascii="Arial" w:cs="Arial" w:eastAsia="Arial" w:hAnsi="Arial"/>
                <w:sz w:val="16"/>
                <w:szCs w:val="16"/>
                <w:color w:val="auto"/>
              </w:rPr>
              <w:t>(7)%</w:t>
            </w:r>
          </w:p>
        </w:tc>
        <w:tc>
          <w:tcPr>
            <w:tcW w:w="80" w:type="dxa"/>
            <w:vAlign w:val="bottom"/>
            <w:shd w:val="clear" w:color="auto" w:fill="DBDBDB"/>
          </w:tcPr>
          <w:p>
            <w:pPr>
              <w:spacing w:after="0"/>
              <w:rPr>
                <w:sz w:val="20"/>
                <w:szCs w:val="20"/>
                <w:color w:val="auto"/>
              </w:rPr>
            </w:pPr>
          </w:p>
        </w:tc>
        <w:tc>
          <w:tcPr>
            <w:tcW w:w="1740" w:type="dxa"/>
            <w:vAlign w:val="bottom"/>
            <w:shd w:val="clear" w:color="auto" w:fill="DBDBDB"/>
          </w:tcPr>
          <w:p>
            <w:pPr>
              <w:ind w:left="12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20"/>
                <w:szCs w:val="20"/>
                <w:color w:val="auto"/>
              </w:rPr>
            </w:pPr>
          </w:p>
        </w:tc>
        <w:tc>
          <w:tcPr>
            <w:tcW w:w="1720" w:type="dxa"/>
            <w:vAlign w:val="bottom"/>
            <w:shd w:val="clear" w:color="auto" w:fill="DBDBDB"/>
          </w:tcPr>
          <w:p>
            <w:pPr>
              <w:ind w:left="1360"/>
              <w:spacing w:after="0"/>
              <w:rPr>
                <w:sz w:val="20"/>
                <w:szCs w:val="20"/>
                <w:color w:val="auto"/>
              </w:rPr>
            </w:pPr>
            <w:r>
              <w:rPr>
                <w:rFonts w:ascii="Arial" w:cs="Arial" w:eastAsia="Arial" w:hAnsi="Arial"/>
                <w:sz w:val="16"/>
                <w:szCs w:val="16"/>
                <w:color w:val="auto"/>
              </w:rPr>
              <w:t>(5)%</w:t>
            </w:r>
          </w:p>
        </w:tc>
      </w:tr>
      <w:tr>
        <w:trPr>
          <w:trHeight w:val="20"/>
        </w:trPr>
        <w:tc>
          <w:tcPr>
            <w:tcW w:w="40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53"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 charge incurred during the three months ended September 30, 2021 of $14.3 million related to certain stock based compensation expenses, described below, which increased the percentage of revenue from 24% to 47% for the three months ended September 30, 2021 and from 22% to 30% for the nine months ended September 30, 2021.</w:t>
      </w:r>
    </w:p>
    <w:p>
      <w:pPr>
        <w:spacing w:after="0" w:line="200" w:lineRule="exact"/>
        <w:rPr>
          <w:sz w:val="20"/>
          <w:szCs w:val="20"/>
          <w:color w:val="auto"/>
        </w:rPr>
      </w:pPr>
    </w:p>
    <w:p>
      <w:pPr>
        <w:spacing w:after="0" w:line="33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$18.3 million, or 40%, to $63.6 million during the three months ended September 30, 2021, from revenue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$45.3 million during the three months ended September 30, 2020. The main driver was an increase in subscription revenue of $13.7 million, primarily due to an increase in the average number of paid subscribers during the three months ended September 30, 2021 as compared to same period in the prior year. We also saw an increase in advertising revenues, due to an increase in DAUs, which resulted in increased advertisements served, and a year-over-year increase in average revenue per DAU for our ads. Duolingo English Test revenue continues to grow due to the growth initiatives we implemented during 2020 in addition to the durability of the growth that began during the COVID-19 pandemic. Finally, other revenue increased $1.2 million, or 262%, to $1.8 million during the three months ended September 30, 2021, from revenue of $0.7 million during the three months ended September 30, 2020, due to growth in in-app purchases.</w:t>
      </w:r>
    </w:p>
    <w:p>
      <w:pPr>
        <w:spacing w:after="0" w:line="1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Revenues increased $64.3 million, or 57%, to $177.8 million during the nine months ended September 30, 2021, from revenue of $113.4 million during the nine months ended September 30, 2020. The main driver was an increase in subscription revenue of $46.8 million, primarily due to an increase in the average number of paid subscribers during the nine months ended September 30, 2021 as compared to the nine months ended September 30, 2020. In addition, advertising revenues increased $8.8 million. The increase was driven by the increase in DAUs during the nine months ended September 30, 2021 as compared to the nine months ended September 30, 2020, which resulted in increased advertisements served. Average revenue per DAU for our ads also increased period over period. Duolingo English Test revenue also increased by $5.6 million and other revenue increased $3.1 million, due to the same reasons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provides the changes in revenue by product type: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6"/>
        </w:trPr>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46,030</w:t>
            </w:r>
          </w:p>
        </w:tc>
        <w:tc>
          <w:tcPr>
            <w:tcW w:w="10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32,317</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13,713</w:t>
            </w:r>
          </w:p>
        </w:tc>
        <w:tc>
          <w:tcPr>
            <w:tcW w:w="100" w:type="dxa"/>
            <w:vAlign w:val="bottom"/>
            <w:tcBorders>
              <w:top w:val="single" w:sz="8" w:color="DBDBDB"/>
            </w:tcBorders>
            <w:shd w:val="clear" w:color="auto" w:fill="DBDBDB"/>
          </w:tcPr>
          <w:p>
            <w:pPr>
              <w:spacing w:after="0"/>
              <w:rPr>
                <w:sz w:val="15"/>
                <w:szCs w:val="15"/>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129,587</w:t>
            </w:r>
          </w:p>
        </w:tc>
        <w:tc>
          <w:tcPr>
            <w:tcW w:w="10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82,762</w:t>
            </w:r>
          </w:p>
        </w:tc>
        <w:tc>
          <w:tcPr>
            <w:tcW w:w="8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46,825</w:t>
            </w:r>
          </w:p>
        </w:tc>
        <w:tc>
          <w:tcPr>
            <w:tcW w:w="100" w:type="dxa"/>
            <w:vAlign w:val="bottom"/>
            <w:tcBorders>
              <w:top w:val="single" w:sz="8" w:color="DBDBDB"/>
            </w:tcBorders>
            <w:shd w:val="clear" w:color="auto" w:fill="DBDBDB"/>
          </w:tcPr>
          <w:p>
            <w:pPr>
              <w:spacing w:after="0"/>
              <w:rPr>
                <w:sz w:val="15"/>
                <w:szCs w:val="15"/>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57 %</w:t>
            </w: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18,536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8,824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48 %</w:t>
            </w:r>
          </w:p>
        </w:tc>
      </w:tr>
      <w:tr>
        <w:trPr>
          <w:trHeight w:val="189"/>
        </w:trPr>
        <w:tc>
          <w:tcPr>
            <w:tcW w:w="2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6,695</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5,607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16,563</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10,958</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51 %</w:t>
            </w:r>
          </w:p>
        </w:tc>
      </w:tr>
      <w:tr>
        <w:trPr>
          <w:trHeight w:val="189"/>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Borders>
              <w:bottom w:val="single" w:sz="8" w:color="DBDBDB"/>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179 %</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4,248</w:t>
            </w: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1,172</w:t>
            </w:r>
          </w:p>
        </w:tc>
        <w:tc>
          <w:tcPr>
            <w:tcW w:w="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3,076</w:t>
            </w:r>
          </w:p>
        </w:tc>
        <w:tc>
          <w:tcPr>
            <w:tcW w:w="100" w:type="dxa"/>
            <w:vAlign w:val="bottom"/>
            <w:tcBorders>
              <w:bottom w:val="single" w:sz="8" w:color="DBDBDB"/>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262 %</w:t>
            </w:r>
          </w:p>
        </w:tc>
      </w:tr>
      <w:tr>
        <w:trPr>
          <w:trHeight w:val="208"/>
        </w:trPr>
        <w:tc>
          <w:tcPr>
            <w:tcW w:w="2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63,595</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45,305</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18,290</w:t>
            </w:r>
          </w:p>
        </w:tc>
        <w:tc>
          <w:tcPr>
            <w:tcW w:w="1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177,758</w:t>
            </w: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113,428</w:t>
            </w:r>
          </w:p>
        </w:tc>
        <w:tc>
          <w:tcPr>
            <w:tcW w:w="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64,330</w:t>
            </w:r>
          </w:p>
        </w:tc>
        <w:tc>
          <w:tcPr>
            <w:tcW w:w="10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57 %</w:t>
            </w:r>
          </w:p>
        </w:tc>
      </w:tr>
      <w:tr>
        <w:trPr>
          <w:trHeight w:val="20"/>
        </w:trPr>
        <w:tc>
          <w:tcPr>
            <w:tcW w:w="20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 Total gross margin increased during the three and nine months ended September 30,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periods in the previous year. This increase is mainly due to increased average revenue per DAU for ads served to free users which positively impacted advertising margins, and reduced payment processing fees for subscription revenue due to improved retention and mix.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revenues, along with related gross margins: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gridSpan w:val="8"/>
          </w:tcPr>
          <w:p>
            <w:pPr>
              <w:jc w:val="right"/>
              <w:ind w:right="148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6"/>
          </w:tcPr>
          <w:p>
            <w:pPr>
              <w:jc w:val="right"/>
              <w:ind w:right="11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92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Gross Margin</w:t>
            </w:r>
          </w:p>
        </w:tc>
        <w:tc>
          <w:tcPr>
            <w:tcW w:w="0" w:type="dxa"/>
            <w:vAlign w:val="bottom"/>
          </w:tcPr>
          <w:p>
            <w:pPr>
              <w:spacing w:after="0"/>
              <w:rPr>
                <w:sz w:val="1"/>
                <w:szCs w:val="1"/>
                <w:color w:val="auto"/>
              </w:rPr>
            </w:pPr>
          </w:p>
        </w:tc>
      </w:tr>
      <w:tr>
        <w:trPr>
          <w:trHeight w:val="168"/>
        </w:trPr>
        <w:tc>
          <w:tcPr>
            <w:tcW w:w="1520" w:type="dxa"/>
            <w:vAlign w:val="bottom"/>
            <w:shd w:val="clear" w:color="auto" w:fill="DBDBDB"/>
          </w:tcPr>
          <w:p>
            <w:pPr>
              <w:ind w:left="20"/>
              <w:spacing w:after="0" w:line="168" w:lineRule="exact"/>
              <w:rPr>
                <w:sz w:val="20"/>
                <w:szCs w:val="20"/>
                <w:color w:val="auto"/>
              </w:rPr>
            </w:pPr>
            <w:r>
              <w:rPr>
                <w:rFonts w:ascii="Arial" w:cs="Arial" w:eastAsia="Arial" w:hAnsi="Arial"/>
                <w:sz w:val="18"/>
                <w:szCs w:val="18"/>
                <w:color w:val="auto"/>
              </w:rPr>
              <w:t>Total cost of</w:t>
            </w:r>
          </w:p>
        </w:tc>
        <w:tc>
          <w:tcPr>
            <w:tcW w:w="220" w:type="dxa"/>
            <w:vAlign w:val="bottom"/>
            <w:vMerge w:val="restart"/>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18,078</w:t>
            </w:r>
          </w:p>
        </w:tc>
        <w:tc>
          <w:tcPr>
            <w:tcW w:w="1640" w:type="dxa"/>
            <w:vAlign w:val="bottom"/>
            <w:gridSpan w:val="4"/>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71.6 %  $</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13,101</w:t>
            </w:r>
          </w:p>
        </w:tc>
        <w:tc>
          <w:tcPr>
            <w:tcW w:w="1680" w:type="dxa"/>
            <w:vAlign w:val="bottom"/>
            <w:gridSpan w:val="4"/>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71.1 %  $</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49,234</w:t>
            </w:r>
          </w:p>
        </w:tc>
        <w:tc>
          <w:tcPr>
            <w:tcW w:w="1680" w:type="dxa"/>
            <w:vAlign w:val="bottom"/>
            <w:gridSpan w:val="4"/>
            <w:vMerge w:val="restart"/>
            <w:shd w:val="clear" w:color="auto" w:fill="DBDBDB"/>
          </w:tcPr>
          <w:p>
            <w:pPr>
              <w:jc w:val="right"/>
              <w:ind w:right="120"/>
              <w:spacing w:after="0"/>
              <w:rPr>
                <w:sz w:val="20"/>
                <w:szCs w:val="20"/>
                <w:color w:val="auto"/>
              </w:rPr>
            </w:pPr>
            <w:r>
              <w:rPr>
                <w:rFonts w:ascii="Arial" w:cs="Arial" w:eastAsia="Arial" w:hAnsi="Arial"/>
                <w:sz w:val="18"/>
                <w:szCs w:val="18"/>
                <w:color w:val="auto"/>
              </w:rPr>
              <w:t>72.3 %  $</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33,124</w:t>
            </w:r>
          </w:p>
        </w:tc>
        <w:tc>
          <w:tcPr>
            <w:tcW w:w="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20" w:type="dxa"/>
            <w:vAlign w:val="bottom"/>
            <w:shd w:val="clear" w:color="auto" w:fill="DBDBDB"/>
          </w:tcPr>
          <w:p>
            <w:pPr>
              <w:ind w:left="180"/>
              <w:spacing w:after="0" w:line="190" w:lineRule="exact"/>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1640" w:type="dxa"/>
            <w:vAlign w:val="bottom"/>
            <w:gridSpan w:val="4"/>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1680" w:type="dxa"/>
            <w:vAlign w:val="bottom"/>
            <w:gridSpan w:val="4"/>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1680" w:type="dxa"/>
            <w:vAlign w:val="bottom"/>
            <w:gridSpan w:val="4"/>
            <w:vMerge w:val="continue"/>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line="190" w:lineRule="exact"/>
              <w:rPr>
                <w:sz w:val="20"/>
                <w:szCs w:val="20"/>
                <w:color w:val="auto"/>
              </w:rPr>
            </w:pPr>
            <w:r>
              <w:rPr>
                <w:rFonts w:ascii="Arial" w:cs="Arial" w:eastAsia="Arial" w:hAnsi="Arial"/>
                <w:sz w:val="18"/>
                <w:szCs w:val="18"/>
                <w:color w:val="auto"/>
              </w:rPr>
              <w:t>70.8 %</w:t>
            </w:r>
          </w:p>
        </w:tc>
        <w:tc>
          <w:tcPr>
            <w:tcW w:w="0" w:type="dxa"/>
            <w:vAlign w:val="bottom"/>
          </w:tcPr>
          <w:p>
            <w:pPr>
              <w:spacing w:after="0"/>
              <w:rPr>
                <w:sz w:val="1"/>
                <w:szCs w:val="1"/>
                <w:color w:val="auto"/>
              </w:rPr>
            </w:pPr>
          </w:p>
        </w:tc>
      </w:tr>
      <w:tr>
        <w:trPr>
          <w:trHeight w:val="20"/>
        </w:trPr>
        <w:tc>
          <w:tcPr>
            <w:tcW w:w="15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increased $13.5 million, or 85%, to $29.3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$15.9 million during the three months ended September 30, 2020. The majority of this is due to increase in employee costs of $10.6 million, $1.3 million of which relates to RSU compensation expense recorded upon the IPO, and contractor costs of $0.7 million. Research and development also increased $36.2 million, or 96%, to $73.8 million during the nine months ended September 30, 2021 from $37.6 million during the nine months ended September 30, 2020. The increase is mainly attributable to an increase in employee costs of $30.0 million, of which $3.3 million was related to the tender offer and $1.3 million of it related to RSU expense recorded upon the IPO, and contractor costs of $2.8 million.</w:t>
      </w:r>
    </w:p>
    <w:p>
      <w:pPr>
        <w:spacing w:after="0" w:line="14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Research and development continues to be our highest operating expense as we invest heavily in it in order to drive user engagement with and customer satisfaction in our platform, which we believe helps to drive organic growth in MAUs and DAUs; this in turn drives additional growth in, and better retention of, paid subscribers, as well as increased advertising opportunities with free users.</w:t>
      </w:r>
    </w:p>
    <w:p>
      <w:pPr>
        <w:spacing w:after="0" w:line="12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increased $4.1 million, or 37%, to $15.3 million during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from $11.1 million during the three months ended September 30, 2020. While we incurred $0.6 million of additional expenses related to employee costs, of which $0.2 million related to RSU compensation expense recorded upon the IPO, the majority of the increase is due to increased spending on media and brand to support both our revenue growth during the back-to-school timeframe as well as IPO readiness.</w:t>
      </w:r>
    </w:p>
    <w:p>
      <w:pPr>
        <w:spacing w:after="0" w:line="14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Sales and marketing increased $19.4 million, or 77%, to $44.7 million during the nine months ended September 30, 2021 from $25.3 million during the nine months ended September 30, 2020. While we incurred $4.2 million of costs related to one-time cash awards we granted to Duolingo contributors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non-employee volunteer program, which we refer to as contributor awards, and $1.5 million of additional expenses related to employee costs, of which $0.2 million was related to the tender offer and $0.2 million of it related to RSU expense recorded upon the IPO, the majority of the increase is from spending on performance media and influencer advertising as we expand our presence in new global markets such as Japan, India and Southeast Asia. See Note 2 to our unaudited condensed consolidated financial statements included elsewhere in this this Quarterly Report on Form 10-Q for further discussion of the contributor awards.</w:t>
      </w:r>
    </w:p>
    <w:p>
      <w:pPr>
        <w:spacing w:after="0" w:line="132" w:lineRule="exact"/>
        <w:rPr>
          <w:sz w:val="20"/>
          <w:szCs w:val="20"/>
          <w:color w:val="auto"/>
        </w:rPr>
      </w:pPr>
    </w:p>
    <w:p>
      <w:pPr>
        <w:jc w:val="both"/>
        <w:ind w:right="100"/>
        <w:spacing w:after="0" w:line="28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increased $21.4 million, or 260%, to $29.6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$8.2 million during the three months ended September 30, 2020. The main drivers of this increase were related to the following:</w:t>
      </w:r>
    </w:p>
    <w:p>
      <w:pPr>
        <w:spacing w:after="0" w:line="124" w:lineRule="exact"/>
        <w:rPr>
          <w:sz w:val="20"/>
          <w:szCs w:val="20"/>
          <w:color w:val="auto"/>
        </w:rPr>
      </w:pPr>
    </w:p>
    <w:p>
      <w:pPr>
        <w:ind w:left="660" w:right="1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employee-related costs of $17.4 million, including $14.3 million of stock compensation costs which were recognized upon the IPO for the following:</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$8.3 million of costs related to the performance-based RSUs issued to our founders,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$5.6 million of costs related to the acceleration of founder stock options, and</w:t>
      </w:r>
    </w:p>
    <w:p>
      <w:pPr>
        <w:spacing w:after="0" w:line="171" w:lineRule="exact"/>
        <w:rPr>
          <w:rFonts w:ascii="Arial" w:cs="Arial" w:eastAsia="Arial" w:hAnsi="Arial"/>
          <w:sz w:val="18"/>
          <w:szCs w:val="18"/>
          <w:color w:val="auto"/>
        </w:rPr>
      </w:pPr>
    </w:p>
    <w:p>
      <w:pPr>
        <w:ind w:left="1300" w:right="180" w:hanging="320"/>
        <w:spacing w:after="0" w:line="261" w:lineRule="auto"/>
        <w:tabs>
          <w:tab w:leader="none" w:pos="12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$0.5 million of costs related to RSUs granted in prior periods, where the performance based vesting condition was satisfied upon the IPO</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insurance costs associated with being a public company of $0.8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incurred to expand to our facilities footprint of $0.6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Professional fees of $1.3 million, mainly related to IPO and public readiness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increases of $1.3 million, due to increased headcount, contractor expense, travel, and sales and VAT taxes.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administrative increased $29.8 million, or 130%, to $52.6 million during the nine months ended September 30, 2021 from $22.9 million during the nine months ended September 30, 2020. The main drivers of this increase were related to the following:</w:t>
      </w:r>
    </w:p>
    <w:p>
      <w:pPr>
        <w:spacing w:after="0" w:line="130" w:lineRule="exact"/>
        <w:rPr>
          <w:sz w:val="20"/>
          <w:szCs w:val="20"/>
          <w:color w:val="auto"/>
        </w:rPr>
      </w:pPr>
    </w:p>
    <w:p>
      <w:pPr>
        <w:ind w:left="660" w:right="10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employee-related costs of $22.2 million, of which $1.8 million was related to the tender offer and $14.3 million was related to stock compensation costs recognized upon the IPO as described above,</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fees of $4.4 million, of which $2.6 million was related to IPO and public readiness costs and $0.3 million was related to the tender offer,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incurred to expand to our facilities footprint of $1.0 million, of which $0.2 million is related to increased depreciation,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insurance costs associated with being a public company of $0.8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increases of $1.4 million, due to increased headcount, contractor expense, travel, and sales and VAT taxes.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 income, net increased $0.1 million during the three months ended September 30, 2021 mainly due to the sale of an R&amp;D tax credit during the current year.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decreased $0.1 million, during the nine months ended September 30, 2021 due to change in foreign currency rates, partially offset by the sale of an R&amp;D tax credit.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Since inception, we have financed operations primarily through revenues and the net proceeds we have received from the issuance of equity and debt securities. We have raised a total of $183.3 million in capital financing, less issuance costs of $0.7 million. Additionally, we received aggregate net proceeds of $431.1 million from the IPO on July 30, 2021, after deducting underwriting discounts and fees of $24.5 million. The Company paid an additional $4.9 million related to offering costs.</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As of September 30, 2021, we had $549.4 million in cash and cash equivalents. Our cash and cash equivalents primarily consist of bank deposits and money market funds. Our marketable securities consist of commercial debt, certificates of deposit, US government treasury and agency securities, and commercial paper.</w:t>
      </w:r>
    </w:p>
    <w:p>
      <w:pPr>
        <w:spacing w:after="0" w:line="14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platforms, the expansion of our sales and marketing activities, the introduction of new products and the enhancements to existing products and the current uncertainty in the global markets resulting from the ongoing COVID-19 pandemic on our operations. We may be required to seek additional equity.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substantial source of our cash from operations comes from deferred revenue, which is included in the liabilities section of our condensed consolidated balance sheet. Deferred revenue consists of the unearned portion of customer billings, which is recognized as revenue in accordance with our revenue recognition policy. As of September 30, 2021, we had deferred revenue of $80.5 million, which is recorded as a current liability and expected to be recognized as revenue in the next 12 months, provided all other revenue recognition criteria have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8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3"/>
        </w:trPr>
        <w:tc>
          <w:tcPr>
            <w:tcW w:w="7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8,738</w:t>
            </w:r>
          </w:p>
        </w:tc>
        <w:tc>
          <w:tcPr>
            <w:tcW w:w="18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14,027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(5,098)</w:t>
            </w:r>
          </w:p>
        </w:tc>
        <w:tc>
          <w:tcPr>
            <w:tcW w:w="1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(2,680)</w:t>
            </w:r>
          </w:p>
        </w:tc>
      </w:tr>
      <w:tr>
        <w:trPr>
          <w:trHeight w:val="230"/>
        </w:trPr>
        <w:tc>
          <w:tcPr>
            <w:tcW w:w="7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425,310</w:t>
            </w:r>
          </w:p>
        </w:tc>
        <w:tc>
          <w:tcPr>
            <w:tcW w:w="1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11,106</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428,950</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22,453</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We have generated positive cash flows and have supplemented working capital requirements through net proceeds from the sale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provided by operating activities for the nine months ended September 30, 2021 decreased $5.3 million, or 38%, to $8.7 million. This decrease was due mainly to an increase in net loss for the periods presented, partially offset by increases from changes in working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Cash used in investing activities increased $2.4 million, or 90%, to $5.1 million for the nine months ended September 30, 2021, from investing activities for the nine months ended September 30, 2020 of $2.7 million. The increase is due to increased costs from capitalization of software development and capital expenditures to purchase property and equipment to support office space and site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used for financing activities for the nine months ended September 30, 2021 was $425.3 million, and was driven by the net proceeds from the IPO of $431.1 million, less costs of $4.9 million, and exercise of stock options of $7.3 million, partially offset by payments made as a result of the tender offer of $8.2 million. Cash provided by financing activities for the nine months ended September 30, 2020 was $11.1 million and primarily relates to the issuance of convertible preferred stock, net of issuance costs, of $10.0 million, in addition to proceeds from exercises of stock options of $1.1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2021, there were no material changes outside the ordinary course of business to the contractual obligations, as disclosed in our Final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Obligations</w:t>
      </w:r>
    </w:p>
    <w:p>
      <w:pPr>
        <w:spacing w:after="0" w:line="207"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5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our Final Prospectus, with the exception of the following: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In June 2021, we granted an aggregate of 1.8 million performance-based RSUs (“Founder Awards”) to our founders.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subject to the continuous service of the founders through the applicable date. The performance-based condition will be satisfied with respect to each of ten equal tranches only upon the achievement of the specified stock-price hurdles for each such tranche over a period of ten years from the date of grant. The fair value of the Founder Awards is determined using a model based on multiple stock-price paths developed through the use of a Monte Carlo simulation that incorporates into the valuation the possibility that the stock-price hurdles may not be satisfied.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in the notes to our condensed consolidated financial statements included in Part I, Item I of this Quarterly Report on Form 10-Q for a discussion of 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17" w:lineRule="exact"/>
        <w:rPr>
          <w:sz w:val="20"/>
          <w:szCs w:val="20"/>
          <w:color w:val="auto"/>
        </w:rPr>
      </w:pPr>
    </w:p>
    <w:p>
      <w:pPr>
        <w:ind w:right="5540"/>
        <w:spacing w:after="0" w:line="45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Risk</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September 30, 2021, we had $510 million of cash equivalents invested in money market funds.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September 30, 2021, a hypothetical 10% relative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future. A hypothetical 10% increase or decrease in the relative value of the US dollar to other currencies would not have a material effect on our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As disclosed in the “Risk Factors” section of the final prospectus, we previously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Efforts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 of our commitment we have hired a complement of personnel, have established a risk assessment process, established reviews over journal entries and third party reported information, and continue to evaluate the additional internal controls we have designed in 2020 and 2021.</w:t>
      </w:r>
    </w:p>
    <w:p>
      <w:pPr>
        <w:spacing w:after="0" w:line="1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While we believe that these efforts will improve our internal control over financial reporting, our remediation is ongoing and will require validation and testing of the design and operating effectiveness of internal controls over a sustained period of financial reporting cycles. There can be no assurance that the measures we have taken to date, and are continuing to implement, will be sufficient to remediate the material weaknesses described above or prevent future material weaknesses or other deficiencies from occurring. There is no assurance that we will not identify additional material weaknesses in our internal control over financial reporting in the future.</w:t>
      </w:r>
    </w:p>
    <w:p>
      <w:pPr>
        <w:spacing w:after="0" w:line="154"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We believe we are making progress toward achieving effectiveness of our internal controls and disclosure controls.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our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Except as otherwise described herein, there were no changes in our internal control over financial reporting, as defined in Rules 13a-15(f) and 15d-15(f) under the Exchange Act, during the quarter ended September 30, 2021 that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Our business, operations and financial results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contained in this Quarterly Report on Form 10-Q, including "Management's Discussion and Analysis of Financial Condition and Results of Operations" and the financial statements and the related notes. If any of the following risks actually occur, it could harm our business, prospects, operating results, and financial condition and future prospects. In such event, the market price of our Class A common stock could decline and you could lose all or part of your investment.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4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ind w:left="660" w:right="2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14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143"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4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143"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7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rate slows or declines, we will become increasingly dependent on our ability to maintain or increase levels of user engagement and monetization in order to drive revenue growth.</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5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4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11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September 30, 2021, our headcount grew from approximately 140 employees to over 400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results in any given quarter can be influenced by numerous factors, many of which we are unable to predict or are outside of our control, including, for example:</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143"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errors in our forecasting of the demand for our products and services, which could lead to lower revenue or increased costs, or both;</w:t>
      </w:r>
    </w:p>
    <w:p>
      <w:pPr>
        <w:spacing w:after="0" w:line="182" w:lineRule="exact"/>
        <w:rPr>
          <w:rFonts w:ascii="Arial" w:cs="Arial" w:eastAsia="Arial" w:hAnsi="Arial"/>
          <w:sz w:val="17"/>
          <w:szCs w:val="17"/>
          <w:color w:val="auto"/>
        </w:rPr>
      </w:pPr>
    </w:p>
    <w:p>
      <w:pPr>
        <w:ind w:left="660" w:right="4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4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current COVID-19 outbreak, lower consumer confidence in our business or in the online learning industry generally, recessionary conditions, increased unemployment rates, stagnant or declining wages, political unrest, armed conflicts, or natural disasters.</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6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20"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3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platform, or if any of these platforms loses market share or falls out of favor or is unavailable for a prolonged period of time, our business will suffer.</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We pay Apple and Google, as applicable, a meaningful share (generally 30%) of the revenue we receive from transactions processed through in-app payment systems. In 2020, we derived 51% of our revenue and 53% of our total bookings from the Apple App Store, and 19% of our revenue and 20% of our total bookings from the Google Play Store. The timing of their payments also may change, which may negatively impact our cash receipts and working capital. While we do not anticipate any interruption in their distribution platforms or ability to accept customer payments, any such disruptions, even temporary, may have material impacts on our business and operations.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2020 Apple announced that a version update of iOS 14 will require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Based on statements from Apple, we anticipate these changes will take effect in 2021. We are continuing to evaluate how these rules or announced changes may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jc w:val="both"/>
        <w:ind w:right="260"/>
        <w:spacing w:after="0" w:line="26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5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Any failure, disruption or interference with our use of hosted cloud computing services and systems provided by third-parties, like AWS or Google Cloud, could adversely impact our business, financial condition or results of operations. In addition, since many of the technical specialists responsible for managing disruptions to our technology infrastructure are working from home in accordance with shelter-in-place orders issued due to the COVID-19 pandemic, the time required to remedy any interruption may increase.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interruption, which may cause interruption in service of our products, security breaches or the loss of data or functionality, leading to a negative effect on our business, financial condition or results of operations.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2020, approximately 17%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and enhance returns for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The impact of these operating systems changes or potential future regulation on targeted advertising is highly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5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three months ended September 30, 2021 and 2020, our sales and marketing expenses were $15.3 million and $11.1 million, respectively. For the nine months ended September 30, 2021 and 2020, our sales and marketing expenses were $44.7 million and $25.3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reputation may be negatively affected by actions we take that are viewed as contrary to that mission, such 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could engage in misconduct that materially adversely affects us.”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5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seriously harm our business, brand image or reputation.”</w:t>
      </w:r>
    </w:p>
    <w:p>
      <w:pPr>
        <w:spacing w:after="0" w:line="11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the acceptance by educational organizations of technology-based education does not continue to grow, or if technology-based education is discouraged by educational organizations, it could have a material adverse effect on our business.</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success depends in part upon the continued adoption by educational organizations, such as schools, of technology-based education initiatives, including online learning. Some educators utilize our language learning application or Duolingo for Schools, our free web-based tool for teachers, as part of their curriculums or as a supplement to their curriculums. Based on a 2020 survey, we believe that almost 40% of foreign language teachers in US K-12 schools use Duolingo in their classrooms in some form. However, some academics and educators oppose online education in principle and have expressed concerns regarding the perceived loss of control over the education process that could result from offering or utilizing courses online. If the acceptance of technology-based education does not continue to grow, or if schools and other educational organizations do not continue to utilize our language learning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classroom or do not promote the utilization of our language learning application outside of the classroom, our ability to continue to grow our language learning application could be impaired.</w:t>
      </w:r>
    </w:p>
    <w:p>
      <w:pPr>
        <w:spacing w:after="0" w:line="10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3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143"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47"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43"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14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5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For instance, recently our language learning application became unavailable for download on most app stores in China. While we believe this is temporary and we are in discussions with authorities that we believe will result in us being restored to such app stores, it serves as an example of how the Chinese regulatory regime could adversely impact our efforts in China. Our office of approximately 24 employees in Beijing makes it easier for the Chinese authorities to bring enforcement actions against us.</w:t>
      </w:r>
    </w:p>
    <w:p>
      <w:pPr>
        <w:spacing w:after="0" w:line="1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10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recent COVID-19 pandemic or other similar outbreaks.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some of these measures have been relaxed over the past few months in certain parts of the world, ongoing social distancing measures, and future prevention and mitigation measures, as well as the potential for some of these measures to be reinstituted in the event of repeat waves of the virus, are likely to have an adverse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global economic conditions and consumer confidence and spending, and could materially adversely affect demand, or users’ ability to pay, for our products and services.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public health epidemic or pandemic, including COVID-19,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Furthermore health crises such as COVID-19 may disrupt or alter behaviors of large numbers of users or potential users due to either mandated stay at home orders or the lifting of such orders or non-mandated changes in consumer behavior. The impact of such changes are very hard to predict and could either serve to accelerate, slow down or just make less predictable user growth and behavior, all of which could negatively impact our operating results and our ability to predict them.</w:t>
      </w:r>
    </w:p>
    <w:p>
      <w:pPr>
        <w:spacing w:after="0" w:line="152"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13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15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5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5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5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 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such breach, subject us to regulatory investigations or private party lawsuits, and our reputation could be harmed.</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2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5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5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We work with our payment service providers to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49"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11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improper access to or disclosure of our data or user data, other hacking and phishing attacks on our systems, or other cyber incidents could compromise sensitive information related to our business and/or personal data processed by us or on our behalf and expose us to liability, which could harm our reputation and materially adversely affect our business.”</w:t>
      </w:r>
    </w:p>
    <w:p>
      <w:pPr>
        <w:spacing w:after="0" w:line="16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impact the demand for our products, and could increase our costs, either of which could materially adversely affect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3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43"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22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5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0" w:name="page61"/>
    <w:bookmarkEnd w:id="6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Quarterly Report on Form 10-Q may prove to be inaccurate, and even if the market in which we compete achieves the forecasted growth, our business could fail to grow at similar rates, if at all.</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Market opportunity estimates and expectations about market growth included in this Quarterly Report on Form 10-Q are subject to significant uncertainty and are based on assumptions and estimates that may not prove to be accurate. Even if the markets in which we compete meet the size estimates and growth expectations included in this Quarterly Report on Form 10-Q, our business could fail to grow for a variety of reasons, which could adversely affect our results of operations.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4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5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are subject to rules and regulations of the United States and abroad relating to export controls and economic sanctions, including, but not limited to, trade sanctions administered by the Office of Foreign Assets Control within the US Department of the Treasury, as well as the Export Administration Regulations administered by the Department of Commerce. These regulations limit our ability to market, sell, distribute or otherwise transfer our products or technology to prohibited countries or persons.</w:t>
      </w:r>
    </w:p>
    <w:p>
      <w:pPr>
        <w:spacing w:after="0" w:line="152"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Further, we have historically provided services to users in Iran, Cuba and Syria, countries that are presently the subject of comprehensive sanctions by the US government (Sanctioned Countries). We believe our provision of such services is either in compliance with generally available exemptions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sanctions laws or otherwise in compliance with applicable law, and have implemented various control mechanisms designed to prevent unauthorized dealings with Sanctioned Countries.</w:t>
      </w:r>
    </w:p>
    <w:p>
      <w:pPr>
        <w:spacing w:after="0" w:line="14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1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Personal Information Protection Law (PIPL) in China,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and control how their personal data is processed, impose obligations on our ability to share personal data with others, limit the geographic locations in which we can store personal data, and potentially subject us to fines, lawsuits, and regulatory scrutiny.</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6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56"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 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4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5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71"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1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“Business—Legal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2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5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5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6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2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134"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5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5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3" w:name="page74"/>
    <w:bookmarkEnd w:id="7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 manner that imposes unanticipated conditions or restrictions on our ability to market or provide our products.</w:t>
      </w:r>
    </w:p>
    <w:p>
      <w:pPr>
        <w:spacing w:after="0" w:line="1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to develop or be maintained for our Class A common stock.</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 active public trading market for shares of our Class A common stock may not continue to develop or be sustained. If an active public market does not continue to develop or is not sustained, it may be difficult for you to sell your shares of Class A common stock at a price that is attractive to you, or at all. The lack of an active market may also reduce the fair market value of your shares.</w:t>
      </w:r>
    </w:p>
    <w:p>
      <w:pPr>
        <w:spacing w:after="0" w:line="11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5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ind w:right="14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92.7% of the voting power of our capital stock as of September 30,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As of September 30, 2021, our directors, executive officers, and 5% stockholders and their affiliates held in the aggregate 92.7%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11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our common stock in the public market could cause the market price of our common stock to drop significantly, even if our business is doing well.</w:t>
      </w:r>
    </w:p>
    <w:p>
      <w:pPr>
        <w:spacing w:after="0" w:line="15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14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have agreed with the Goldman Sachs &amp; Co. LLC, subject to certain exceptions, not to dispose of or hedge any of their Class A common stock or securities convertible into or exchangeable for shares of Class A common stock from July 27, 2021 (the date of our Final Prospectus in connection with our IPO and continuing through January 23, 2022 (the “lock-up period”), except with the prior written consent of Goldman Sachs &amp; Co. LLC. Notwithstanding the foregoing, certain shares may automatically be released during the lock-up period pursuant to certain conditions being met as described in our Final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71"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All shares of Class A common stock sold in our IPO are freely tradable without restrictions or further registration under the Securities Act of 1933, as amended, or the Securities Act, except for any shares held by our affiliates as defined in Rule 144 under the Securities Act (Rule 144).</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Moreover, the holders of up to 19,074,276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Further, as of September 30, 2021, we had options outstanding that, if fully exercised, would result in the issuance of 5,988,119 shares of Class A common stock and 1,034,500 shares of Class B common stock, as well as 700,357 shares of Class A common stock and 108 of Class B common stock issuable upon vesting and settlement of outstanding RSUs. We have filed a registration statement on Form S-8 under the Securities Act to register the shares of our common stock subject to outstanding stock options and RSUs as of the date of the Final Prospectus and shares that will be issuable pursuant to future awards granted under our equity incentive plan. These shares can be freely sold in the public market upon issuance, subject to applicable vesting requirements, compliance by affiliates with Rule 144, the market stand-off provisions and lock-up agreements described in the section of the Final Prospectus entitled “Underwriting,” and other restrictions provided under the terms of the applicable plan and/or the award agreements entered into with participants.</w:t>
      </w:r>
    </w:p>
    <w:p>
      <w:pPr>
        <w:spacing w:after="0" w:line="15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only paid one dividend in our history and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13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5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2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47" w:lineRule="exact"/>
        <w:rPr>
          <w:rFonts w:ascii="Arial" w:cs="Arial" w:eastAsia="Arial" w:hAnsi="Arial"/>
          <w:sz w:val="18"/>
          <w:szCs w:val="18"/>
          <w:color w:val="auto"/>
        </w:rPr>
      </w:pPr>
    </w:p>
    <w:p>
      <w:pPr>
        <w:ind w:left="660" w:right="4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151"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14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43"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130" w:lineRule="exact"/>
        <w:rPr>
          <w:sz w:val="20"/>
          <w:szCs w:val="20"/>
          <w:color w:val="auto"/>
        </w:rPr>
      </w:pPr>
    </w:p>
    <w:p>
      <w:pPr>
        <w:ind w:left="660" w:right="40" w:hanging="328"/>
        <w:spacing w:after="0" w:line="273"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7" w:lineRule="exact"/>
        <w:rPr>
          <w:rFonts w:ascii="Arial" w:cs="Arial" w:eastAsia="Arial" w:hAnsi="Arial"/>
          <w:sz w:val="18"/>
          <w:szCs w:val="18"/>
          <w:color w:val="auto"/>
        </w:rPr>
      </w:pPr>
    </w:p>
    <w:p>
      <w:pPr>
        <w:ind w:left="660" w:right="520" w:hanging="328"/>
        <w:spacing w:after="0" w:line="291"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9" w:lineRule="exact"/>
        <w:rPr>
          <w:rFonts w:ascii="Arial" w:cs="Arial" w:eastAsia="Arial" w:hAnsi="Arial"/>
          <w:sz w:val="17"/>
          <w:szCs w:val="17"/>
          <w:color w:val="auto"/>
        </w:rPr>
      </w:pPr>
    </w:p>
    <w:p>
      <w:pPr>
        <w:ind w:left="660" w:right="22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Nothing in our amended and restated certificate of incorporation or amended and restated bylaws precludes stockholders that assert claims under the Exchange Act from bringing such claims in state or federal court, subject to applicable law.</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3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remain an emerging growth company until the earliest of (1) December 31, 2026,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attractive as a result, there may be a less active trading market for our common stock and our stock price may decline or become more volatile.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13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incurred as a private company. We are subject to the reporting requirements of the Securities Exchange Act of 1934, as amended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including performing the evaluation needed to comply with Section 404, we will need to implement additional financial and management controls, reporting systems and procedures and hire additional accounting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finance staff.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3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fiscal year 2019, we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 of our commitment we have hired a complement of personnel, have established a risk assessment process, established reviews over journal entries and third party reported information and continue to evaluate the additional internal controls we have designed during 2020 and 2021. When we are satisfied these internal controls associated with the material weakness have operated within our business for a sufficient period of time, we will determine if we have remediated our material weakness. We have not been required to provide a management assessment of internal controls under section 404(a) of the Sarbanes-Oxley Act. It is possible that if we had a 404(a) assessment, additional material weaknesses may have been identified. Additionally, our registered independent public accounting firm has not been engaged to perform an audit of our internal controls over financial reporting.</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future, it is possible that additional material weaknesses or significant deficiencies may be identified that we may be unable to remedy before the requisite deadline for those reports. Our ability to comply with the annual internal control reporting requirements will depend on the effectiveness of our financial reporting and data systems and controls across our company.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our stock price.</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filed with the SEC pursuant to Rule 424(b) of the Securities Act and other periodic reports previously filed with the SEC.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80" w:type="dxa"/>
            <w:vAlign w:val="bottom"/>
            <w:gridSpan w:val="5"/>
          </w:tcPr>
          <w:p>
            <w:pPr>
              <w:jc w:val="center"/>
              <w:ind w:left="261"/>
              <w:spacing w:after="0"/>
              <w:rPr>
                <w:sz w:val="20"/>
                <w:szCs w:val="20"/>
                <w:color w:val="auto"/>
              </w:rPr>
            </w:pPr>
            <w:r>
              <w:rPr>
                <w:rFonts w:ascii="Arial" w:cs="Arial" w:eastAsia="Arial" w:hAnsi="Arial"/>
                <w:sz w:val="14"/>
                <w:szCs w:val="14"/>
                <w:b w:val="1"/>
                <w:bCs w:val="1"/>
                <w:color w:val="auto"/>
              </w:rPr>
              <w:t>Incorporated by</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rPr>
              <w:t>Reference</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Number</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20"/>
          </w:tcPr>
          <w:p>
            <w:pPr>
              <w:ind w:left="240"/>
              <w:spacing w:after="0"/>
              <w:rPr>
                <w:sz w:val="20"/>
                <w:szCs w:val="20"/>
                <w:color w:val="auto"/>
              </w:rPr>
            </w:pPr>
            <w:r>
              <w:rPr>
                <w:rFonts w:ascii="Arial" w:cs="Arial" w:eastAsia="Arial" w:hAnsi="Arial"/>
                <w:sz w:val="14"/>
                <w:szCs w:val="14"/>
                <w:color w:val="auto"/>
              </w:rPr>
              <w:t>Exhibit Description</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69"/>
        </w:trPr>
        <w:tc>
          <w:tcPr>
            <w:tcW w:w="1200" w:type="dxa"/>
            <w:vAlign w:val="bottom"/>
          </w:tcPr>
          <w:p>
            <w:pPr>
              <w:jc w:val="center"/>
              <w:spacing w:after="0" w:line="169"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4240" w:type="dxa"/>
            <w:vAlign w:val="bottom"/>
            <w:gridSpan w:val="23"/>
          </w:tcPr>
          <w:p>
            <w:pPr>
              <w:spacing w:after="0" w:line="169" w:lineRule="exact"/>
              <w:rPr>
                <w:rFonts w:ascii="Arial" w:cs="Arial" w:eastAsia="Arial" w:hAnsi="Arial"/>
                <w:sz w:val="16"/>
                <w:szCs w:val="16"/>
                <w:color w:val="0000FF"/>
              </w:rPr>
            </w:pPr>
            <w:hyperlink r:id="rId96">
              <w:r>
                <w:rPr>
                  <w:rFonts w:ascii="Arial" w:cs="Arial" w:eastAsia="Arial" w:hAnsi="Arial"/>
                  <w:sz w:val="16"/>
                  <w:szCs w:val="16"/>
                  <w:color w:val="0000FF"/>
                </w:rPr>
                <w:t>Amended and Restated Certificate of Incorporation, as</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w w:val="99"/>
              </w:rPr>
              <w:t>001-40653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currently in effect</w:t>
              </w:r>
            </w:hyperlink>
          </w:p>
        </w:tc>
        <w:tc>
          <w:tcPr>
            <w:tcW w:w="2680" w:type="dxa"/>
            <w:vAlign w:val="bottom"/>
            <w:tcBorders>
              <w:top w:val="single" w:sz="8" w:color="0000FF"/>
            </w:tcBorders>
            <w:gridSpan w:val="17"/>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rPr>
                <w:rFonts w:ascii="Arial" w:cs="Arial" w:eastAsia="Arial" w:hAnsi="Arial"/>
                <w:sz w:val="16"/>
                <w:szCs w:val="16"/>
                <w:color w:val="0000FF"/>
              </w:rPr>
            </w:pPr>
            <w:hyperlink r:id="rId97">
              <w:r>
                <w:rPr>
                  <w:rFonts w:ascii="Arial" w:cs="Arial" w:eastAsia="Arial" w:hAnsi="Arial"/>
                  <w:sz w:val="16"/>
                  <w:szCs w:val="16"/>
                  <w:color w:val="0000FF"/>
                </w:rPr>
                <w:t>Bylaws, as currently in effect</w:t>
              </w:r>
            </w:hyperlink>
          </w:p>
        </w:tc>
        <w:tc>
          <w:tcPr>
            <w:tcW w:w="2180" w:type="dxa"/>
            <w:vAlign w:val="bottom"/>
            <w:gridSpan w:val="18"/>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8-K</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w w:val="99"/>
              </w:rPr>
              <w:t>001-40653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10.1(a)#</w:t>
            </w:r>
          </w:p>
        </w:tc>
        <w:tc>
          <w:tcPr>
            <w:tcW w:w="1940" w:type="dxa"/>
            <w:vAlign w:val="bottom"/>
            <w:tcBorders>
              <w:bottom w:val="single" w:sz="8" w:color="0000FF"/>
            </w:tcBorders>
            <w:gridSpan w:val="4"/>
          </w:tcPr>
          <w:p>
            <w:pPr>
              <w:spacing w:after="0"/>
              <w:rPr>
                <w:rFonts w:ascii="Arial" w:cs="Arial" w:eastAsia="Arial" w:hAnsi="Arial"/>
                <w:sz w:val="16"/>
                <w:szCs w:val="16"/>
                <w:color w:val="0000FF"/>
              </w:rPr>
            </w:pPr>
            <w:hyperlink r:id="rId98">
              <w:r>
                <w:rPr>
                  <w:rFonts w:ascii="Arial" w:cs="Arial" w:eastAsia="Arial" w:hAnsi="Arial"/>
                  <w:sz w:val="16"/>
                  <w:szCs w:val="16"/>
                  <w:color w:val="0000FF"/>
                </w:rPr>
                <w:t>2021 Incentive Award Plan</w:t>
              </w:r>
            </w:hyperlink>
          </w:p>
        </w:tc>
        <w:tc>
          <w:tcPr>
            <w:tcW w:w="2300" w:type="dxa"/>
            <w:vAlign w:val="bottom"/>
            <w:gridSpan w:val="19"/>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rPr>
              <w:t>10.3(a)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10.1(b)#</w:t>
            </w:r>
          </w:p>
        </w:tc>
        <w:tc>
          <w:tcPr>
            <w:tcW w:w="4240" w:type="dxa"/>
            <w:vAlign w:val="bottom"/>
            <w:gridSpan w:val="23"/>
          </w:tcPr>
          <w:p>
            <w:pPr>
              <w:spacing w:after="0"/>
              <w:rPr>
                <w:rFonts w:ascii="Arial" w:cs="Arial" w:eastAsia="Arial" w:hAnsi="Arial"/>
                <w:sz w:val="16"/>
                <w:szCs w:val="16"/>
                <w:color w:val="0000FF"/>
              </w:rPr>
            </w:pPr>
            <w:hyperlink r:id="rId99">
              <w:r>
                <w:rPr>
                  <w:rFonts w:ascii="Arial" w:cs="Arial" w:eastAsia="Arial" w:hAnsi="Arial"/>
                  <w:sz w:val="16"/>
                  <w:szCs w:val="16"/>
                  <w:color w:val="0000FF"/>
                </w:rPr>
                <w:t>Form of Stock Option Grant Notice and Stock Option</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10.3(b)</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gridSpan w:val="2"/>
            <w:vMerge w:val="continue"/>
          </w:tcPr>
          <w:p>
            <w:pPr>
              <w:spacing w:after="0"/>
              <w:rPr>
                <w:sz w:val="12"/>
                <w:szCs w:val="12"/>
                <w:color w:val="auto"/>
              </w:rPr>
            </w:pPr>
          </w:p>
        </w:tc>
        <w:tc>
          <w:tcPr>
            <w:tcW w:w="35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Agreement under the 2021 Incentive Award Plan</w:t>
              </w:r>
            </w:hyperlink>
          </w:p>
        </w:tc>
        <w:tc>
          <w:tcPr>
            <w:tcW w:w="3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0000FF"/>
            </w:tcBorders>
            <w:gridSpan w:val="18"/>
          </w:tcPr>
          <w:p>
            <w:pPr>
              <w:spacing w:after="0"/>
              <w:rPr>
                <w:rFonts w:ascii="Arial" w:cs="Arial" w:eastAsia="Arial" w:hAnsi="Arial"/>
                <w:sz w:val="16"/>
                <w:szCs w:val="16"/>
                <w:color w:val="0000FF"/>
              </w:rPr>
            </w:pPr>
            <w:hyperlink r:id="rId100">
              <w:r>
                <w:rPr>
                  <w:rFonts w:ascii="Arial" w:cs="Arial" w:eastAsia="Arial" w:hAnsi="Arial"/>
                  <w:sz w:val="16"/>
                  <w:szCs w:val="16"/>
                  <w:color w:val="0000FF"/>
                </w:rPr>
                <w:t>Form of Restricted Stock Unit Award Grant Notice and</w:t>
              </w:r>
            </w:hyperlink>
          </w:p>
        </w:tc>
        <w:tc>
          <w:tcPr>
            <w:tcW w:w="34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10.1(c)#</w:t>
            </w:r>
          </w:p>
        </w:tc>
        <w:tc>
          <w:tcPr>
            <w:tcW w:w="4240" w:type="dxa"/>
            <w:vAlign w:val="bottom"/>
            <w:gridSpan w:val="23"/>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Restricted Stock Unit Award Agreement under the 2021</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10.3(c)</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gridSpan w:val="2"/>
            <w:vMerge w:val="continue"/>
          </w:tcPr>
          <w:p>
            <w:pPr>
              <w:spacing w:after="0"/>
              <w:rPr>
                <w:sz w:val="12"/>
                <w:szCs w:val="12"/>
                <w:color w:val="auto"/>
              </w:rPr>
            </w:pPr>
          </w:p>
        </w:tc>
        <w:tc>
          <w:tcPr>
            <w:tcW w:w="40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Incentive Award Plan</w:t>
              </w:r>
            </w:hyperlink>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9"/>
              </w:rPr>
              <w:t>10.2#</w:t>
            </w:r>
          </w:p>
        </w:tc>
        <w:tc>
          <w:tcPr>
            <w:tcW w:w="100" w:type="dxa"/>
            <w:vAlign w:val="bottom"/>
          </w:tcPr>
          <w:p>
            <w:pPr>
              <w:spacing w:after="0"/>
              <w:rPr>
                <w:sz w:val="17"/>
                <w:szCs w:val="17"/>
                <w:color w:val="auto"/>
              </w:rPr>
            </w:pPr>
          </w:p>
        </w:tc>
        <w:tc>
          <w:tcPr>
            <w:tcW w:w="2280" w:type="dxa"/>
            <w:vAlign w:val="bottom"/>
            <w:tcBorders>
              <w:bottom w:val="single" w:sz="8" w:color="0000FF"/>
            </w:tcBorders>
            <w:gridSpan w:val="7"/>
          </w:tcPr>
          <w:p>
            <w:pPr>
              <w:spacing w:after="0"/>
              <w:rPr>
                <w:rFonts w:ascii="Arial" w:cs="Arial" w:eastAsia="Arial" w:hAnsi="Arial"/>
                <w:sz w:val="16"/>
                <w:szCs w:val="16"/>
                <w:color w:val="0000FF"/>
              </w:rPr>
            </w:pPr>
            <w:hyperlink r:id="rId101">
              <w:r>
                <w:rPr>
                  <w:rFonts w:ascii="Arial" w:cs="Arial" w:eastAsia="Arial" w:hAnsi="Arial"/>
                  <w:sz w:val="16"/>
                  <w:szCs w:val="16"/>
                  <w:color w:val="0000FF"/>
                </w:rPr>
                <w:t>Employee Stock Purchase Plan</w:t>
              </w:r>
            </w:hyperlink>
          </w:p>
        </w:tc>
        <w:tc>
          <w:tcPr>
            <w:tcW w:w="1960" w:type="dxa"/>
            <w:vAlign w:val="bottom"/>
            <w:gridSpan w:val="16"/>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9"/>
              </w:rPr>
              <w:t>10.3#</w:t>
            </w:r>
          </w:p>
        </w:tc>
        <w:tc>
          <w:tcPr>
            <w:tcW w:w="100" w:type="dxa"/>
            <w:vAlign w:val="bottom"/>
          </w:tcPr>
          <w:p>
            <w:pPr>
              <w:spacing w:after="0"/>
              <w:rPr>
                <w:sz w:val="17"/>
                <w:szCs w:val="17"/>
                <w:color w:val="auto"/>
              </w:rPr>
            </w:pPr>
          </w:p>
        </w:tc>
        <w:tc>
          <w:tcPr>
            <w:tcW w:w="4240" w:type="dxa"/>
            <w:vAlign w:val="bottom"/>
            <w:gridSpan w:val="23"/>
          </w:tcPr>
          <w:p>
            <w:pPr>
              <w:spacing w:after="0"/>
              <w:rPr>
                <w:rFonts w:ascii="Arial" w:cs="Arial" w:eastAsia="Arial" w:hAnsi="Arial"/>
                <w:sz w:val="16"/>
                <w:szCs w:val="16"/>
                <w:color w:val="0000FF"/>
              </w:rPr>
            </w:pPr>
            <w:hyperlink r:id="rId102">
              <w:r>
                <w:rPr>
                  <w:rFonts w:ascii="Arial" w:cs="Arial" w:eastAsia="Arial" w:hAnsi="Arial"/>
                  <w:sz w:val="16"/>
                  <w:szCs w:val="16"/>
                  <w:color w:val="0000FF"/>
                </w:rPr>
                <w:t>Non-Employee Director Compensation Program</w:t>
              </w:r>
            </w:hyperlink>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9"/>
              </w:rPr>
              <w:t>10.4#</w:t>
            </w:r>
          </w:p>
        </w:tc>
        <w:tc>
          <w:tcPr>
            <w:tcW w:w="100" w:type="dxa"/>
            <w:vAlign w:val="bottom"/>
          </w:tcPr>
          <w:p>
            <w:pPr>
              <w:spacing w:after="0"/>
              <w:rPr>
                <w:sz w:val="17"/>
                <w:szCs w:val="17"/>
                <w:color w:val="auto"/>
              </w:rPr>
            </w:pPr>
          </w:p>
        </w:tc>
        <w:tc>
          <w:tcPr>
            <w:tcW w:w="4240" w:type="dxa"/>
            <w:vAlign w:val="bottom"/>
            <w:gridSpan w:val="23"/>
          </w:tcPr>
          <w:p>
            <w:pPr>
              <w:spacing w:after="0"/>
              <w:rPr>
                <w:rFonts w:ascii="Arial" w:cs="Arial" w:eastAsia="Arial" w:hAnsi="Arial"/>
                <w:sz w:val="16"/>
                <w:szCs w:val="16"/>
                <w:color w:val="0000FF"/>
              </w:rPr>
            </w:pPr>
            <w:hyperlink r:id="rId103">
              <w:r>
                <w:rPr>
                  <w:rFonts w:ascii="Arial" w:cs="Arial" w:eastAsia="Arial" w:hAnsi="Arial"/>
                  <w:sz w:val="16"/>
                  <w:szCs w:val="16"/>
                  <w:color w:val="0000FF"/>
                </w:rPr>
                <w:t>Form of Indemnification Agreement for Directors and</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10.12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Officers</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80" w:type="dxa"/>
            <w:vAlign w:val="bottom"/>
            <w:gridSpan w:val="3"/>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4240" w:type="dxa"/>
            <w:vAlign w:val="bottom"/>
            <w:gridSpan w:val="23"/>
          </w:tcPr>
          <w:p>
            <w:pPr>
              <w:spacing w:after="0"/>
              <w:rPr>
                <w:rFonts w:ascii="Arial" w:cs="Arial" w:eastAsia="Arial" w:hAnsi="Arial"/>
                <w:sz w:val="16"/>
                <w:szCs w:val="16"/>
                <w:color w:val="0000FF"/>
              </w:rPr>
            </w:pPr>
            <w:hyperlink r:id="rId104">
              <w:r>
                <w:rPr>
                  <w:rFonts w:ascii="Arial" w:cs="Arial" w:eastAsia="Arial" w:hAnsi="Arial"/>
                  <w:sz w:val="16"/>
                  <w:szCs w:val="16"/>
                  <w:color w:val="0000FF"/>
                </w:rPr>
                <w:t>Form of Exchange Agreement by and among the</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10.13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Registrant and the stockholders listed therein</w:t>
              </w:r>
            </w:hyperlink>
          </w:p>
        </w:tc>
        <w:tc>
          <w:tcPr>
            <w:tcW w:w="260" w:type="dxa"/>
            <w:vAlign w:val="bottom"/>
            <w:tcBorders>
              <w:top w:val="single" w:sz="8" w:color="0000FF"/>
            </w:tcBorders>
            <w:gridSpan w:val="3"/>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80" w:type="dxa"/>
            <w:vAlign w:val="bottom"/>
            <w:gridSpan w:val="3"/>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9"/>
              </w:rPr>
              <w:t>10.6#</w:t>
            </w:r>
          </w:p>
        </w:tc>
        <w:tc>
          <w:tcPr>
            <w:tcW w:w="100" w:type="dxa"/>
            <w:vAlign w:val="bottom"/>
          </w:tcPr>
          <w:p>
            <w:pPr>
              <w:spacing w:after="0"/>
              <w:rPr>
                <w:sz w:val="17"/>
                <w:szCs w:val="17"/>
                <w:color w:val="auto"/>
              </w:rPr>
            </w:pPr>
          </w:p>
        </w:tc>
        <w:tc>
          <w:tcPr>
            <w:tcW w:w="4240" w:type="dxa"/>
            <w:vAlign w:val="bottom"/>
            <w:gridSpan w:val="23"/>
          </w:tcPr>
          <w:p>
            <w:pPr>
              <w:spacing w:after="0"/>
              <w:rPr>
                <w:rFonts w:ascii="Arial" w:cs="Arial" w:eastAsia="Arial" w:hAnsi="Arial"/>
                <w:sz w:val="16"/>
                <w:szCs w:val="16"/>
                <w:color w:val="0000FF"/>
              </w:rPr>
            </w:pPr>
            <w:hyperlink r:id="rId105">
              <w:r>
                <w:rPr>
                  <w:rFonts w:ascii="Arial" w:cs="Arial" w:eastAsia="Arial" w:hAnsi="Arial"/>
                  <w:sz w:val="16"/>
                  <w:szCs w:val="16"/>
                  <w:color w:val="0000FF"/>
                </w:rPr>
                <w:t>Form of Change in Control and Severance Agreement</w:t>
              </w:r>
            </w:hyperlink>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3880" w:type="dxa"/>
            <w:vAlign w:val="bottom"/>
            <w:tcBorders>
              <w:top w:val="single" w:sz="8" w:color="0000FF"/>
            </w:tcBorders>
            <w:gridSpan w:val="17"/>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Certification of Principal Executive Officer pursuant to</w:t>
              </w:r>
            </w:hyperlink>
          </w:p>
        </w:tc>
        <w:tc>
          <w:tcPr>
            <w:tcW w:w="36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w:anchor="page86">
              <w:r>
                <w:rPr>
                  <w:rFonts w:ascii="Arial" w:cs="Arial" w:eastAsia="Arial" w:hAnsi="Arial"/>
                  <w:sz w:val="16"/>
                  <w:szCs w:val="16"/>
                  <w:color w:val="0000FF"/>
                </w:rPr>
                <w:t>Exchange Act Rule 13a-14(a)</w:t>
              </w:r>
            </w:hyperlink>
          </w:p>
        </w:tc>
        <w:tc>
          <w:tcPr>
            <w:tcW w:w="1700" w:type="dxa"/>
            <w:vAlign w:val="bottom"/>
            <w:tcBorders>
              <w:top w:val="single" w:sz="8" w:color="0000FF"/>
            </w:tcBorders>
            <w:gridSpan w:val="10"/>
          </w:tcPr>
          <w:p>
            <w:pPr>
              <w:spacing w:after="0"/>
              <w:rPr>
                <w:sz w:val="12"/>
                <w:szCs w:val="12"/>
                <w:color w:val="auto"/>
              </w:rPr>
            </w:pPr>
          </w:p>
        </w:tc>
        <w:tc>
          <w:tcPr>
            <w:tcW w:w="120" w:type="dxa"/>
            <w:vAlign w:val="bottom"/>
            <w:gridSpan w:val="4"/>
          </w:tcPr>
          <w:p>
            <w:pPr>
              <w:spacing w:after="0"/>
              <w:rPr>
                <w:sz w:val="12"/>
                <w:szCs w:val="12"/>
                <w:color w:val="auto"/>
              </w:rPr>
            </w:pPr>
          </w:p>
        </w:tc>
        <w:tc>
          <w:tcPr>
            <w:tcW w:w="28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4240" w:type="dxa"/>
            <w:vAlign w:val="bottom"/>
            <w:gridSpan w:val="23"/>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Certification of Principal Financial Officer pursuant to</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w:anchor="page87">
              <w:r>
                <w:rPr>
                  <w:rFonts w:ascii="Arial" w:cs="Arial" w:eastAsia="Arial" w:hAnsi="Arial"/>
                  <w:sz w:val="16"/>
                  <w:szCs w:val="16"/>
                  <w:color w:val="0000FF"/>
                </w:rPr>
                <w:t>Exchange Act Rule 13a-14(a)</w:t>
              </w:r>
            </w:hyperlink>
          </w:p>
        </w:tc>
        <w:tc>
          <w:tcPr>
            <w:tcW w:w="1640" w:type="dxa"/>
            <w:vAlign w:val="bottom"/>
            <w:tcBorders>
              <w:top w:val="single" w:sz="8" w:color="0000FF"/>
            </w:tcBorders>
            <w:gridSpan w:val="7"/>
          </w:tcPr>
          <w:p>
            <w:pPr>
              <w:spacing w:after="0"/>
              <w:rPr>
                <w:sz w:val="12"/>
                <w:szCs w:val="12"/>
                <w:color w:val="auto"/>
              </w:rPr>
            </w:pPr>
          </w:p>
        </w:tc>
        <w:tc>
          <w:tcPr>
            <w:tcW w:w="180" w:type="dxa"/>
            <w:vAlign w:val="bottom"/>
            <w:gridSpan w:val="7"/>
          </w:tcPr>
          <w:p>
            <w:pPr>
              <w:spacing w:after="0"/>
              <w:rPr>
                <w:sz w:val="12"/>
                <w:szCs w:val="12"/>
                <w:color w:val="auto"/>
              </w:rPr>
            </w:pPr>
          </w:p>
        </w:tc>
        <w:tc>
          <w:tcPr>
            <w:tcW w:w="28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4240" w:type="dxa"/>
            <w:vAlign w:val="bottom"/>
            <w:gridSpan w:val="23"/>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Certification of Principal Executive Officer and Principal</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w:anchor="page88">
              <w:r>
                <w:rPr>
                  <w:rFonts w:ascii="Arial" w:cs="Arial" w:eastAsia="Arial" w:hAnsi="Arial"/>
                  <w:sz w:val="16"/>
                  <w:szCs w:val="16"/>
                  <w:color w:val="0000FF"/>
                </w:rPr>
                <w:t>Financial Officer pursuant to 18 U.S.C. Section 1350</w:t>
              </w:r>
            </w:hyperlink>
          </w:p>
        </w:tc>
        <w:tc>
          <w:tcPr>
            <w:tcW w:w="28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12"/>
            <w:shd w:val="clear" w:color="auto" w:fill="0000FF"/>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23"/>
          </w:tcPr>
          <w:p>
            <w:pPr>
              <w:spacing w:after="0" w:line="162" w:lineRule="exact"/>
              <w:rPr>
                <w:sz w:val="20"/>
                <w:szCs w:val="20"/>
                <w:color w:val="auto"/>
              </w:rPr>
            </w:pPr>
            <w:r>
              <w:rPr>
                <w:rFonts w:ascii="Arial" w:cs="Arial" w:eastAsia="Arial" w:hAnsi="Arial"/>
                <w:sz w:val="16"/>
                <w:szCs w:val="16"/>
                <w:color w:val="auto"/>
              </w:rPr>
              <w:t>does not appear in the interactive data file because its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23"/>
          </w:tcPr>
          <w:p>
            <w:pPr>
              <w:spacing w:after="0" w:line="162" w:lineRule="exact"/>
              <w:rPr>
                <w:sz w:val="20"/>
                <w:szCs w:val="20"/>
                <w:color w:val="auto"/>
              </w:rPr>
            </w:pPr>
            <w:r>
              <w:rPr>
                <w:rFonts w:ascii="Arial" w:cs="Arial" w:eastAsia="Arial" w:hAnsi="Arial"/>
                <w:sz w:val="16"/>
                <w:szCs w:val="16"/>
                <w:color w:val="auto"/>
              </w:rPr>
              <w:t>XBRL tags are embedded within the Inline XBRL</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101.INS</w:t>
            </w:r>
          </w:p>
        </w:tc>
        <w:tc>
          <w:tcPr>
            <w:tcW w:w="4240" w:type="dxa"/>
            <w:vAlign w:val="bottom"/>
            <w:gridSpan w:val="23"/>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101.SCH</w:t>
            </w:r>
          </w:p>
        </w:tc>
        <w:tc>
          <w:tcPr>
            <w:tcW w:w="424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 Document</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Inline XBRL Taxonomy Extension Calculation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101.CAL</w:t>
            </w:r>
          </w:p>
        </w:tc>
        <w:tc>
          <w:tcPr>
            <w:tcW w:w="4240" w:type="dxa"/>
            <w:vAlign w:val="bottom"/>
            <w:gridSpan w:val="23"/>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Inline XBRL Taxonomy Extension Definition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101.DEF</w:t>
            </w:r>
          </w:p>
        </w:tc>
        <w:tc>
          <w:tcPr>
            <w:tcW w:w="4240" w:type="dxa"/>
            <w:vAlign w:val="bottom"/>
            <w:gridSpan w:val="23"/>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Inline XBRL Taxonomy Extension Label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101.LAB</w:t>
            </w:r>
          </w:p>
        </w:tc>
        <w:tc>
          <w:tcPr>
            <w:tcW w:w="4240" w:type="dxa"/>
            <w:vAlign w:val="bottom"/>
            <w:gridSpan w:val="23"/>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101.LAB</w:t>
            </w:r>
          </w:p>
        </w:tc>
        <w:tc>
          <w:tcPr>
            <w:tcW w:w="4240" w:type="dxa"/>
            <w:vAlign w:val="bottom"/>
            <w:gridSpan w:val="23"/>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0" w:type="dxa"/>
            <w:vAlign w:val="bottom"/>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4240" w:type="dxa"/>
            <w:vAlign w:val="bottom"/>
            <w:gridSpan w:val="23"/>
          </w:tcPr>
          <w:p>
            <w:pPr>
              <w:spacing w:after="0"/>
              <w:rPr>
                <w:sz w:val="20"/>
                <w:szCs w:val="20"/>
                <w:color w:val="auto"/>
              </w:rPr>
            </w:pPr>
            <w:r>
              <w:rPr>
                <w:rFonts w:ascii="Arial" w:cs="Arial" w:eastAsia="Arial" w:hAnsi="Arial"/>
                <w:sz w:val="16"/>
                <w:szCs w:val="16"/>
                <w:color w:val="auto"/>
              </w:rPr>
              <w:t>XBRL and contained in Exhibit 101)</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DUOLINGO, INC.</w:t>
      </w:r>
    </w:p>
    <w:p>
      <w:pPr>
        <w:spacing w:after="0" w:line="315" w:lineRule="exact"/>
        <w:rPr>
          <w:sz w:val="20"/>
          <w:szCs w:val="20"/>
          <w:color w:val="auto"/>
        </w:rPr>
      </w:pPr>
    </w:p>
    <w:p>
      <w:pPr>
        <w:ind w:left="20"/>
        <w:spacing w:after="0"/>
        <w:tabs>
          <w:tab w:leader="none" w:pos="5680" w:val="left"/>
          <w:tab w:leader="none" w:pos="64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6350</wp:posOffset>
            </wp:positionV>
            <wp:extent cx="3077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Luis von Ahn</w:t>
      </w:r>
    </w:p>
    <w:p>
      <w:pPr>
        <w:ind w:left="6420"/>
        <w:spacing w:after="0" w:line="203" w:lineRule="auto"/>
        <w:rPr>
          <w:sz w:val="20"/>
          <w:szCs w:val="20"/>
          <w:color w:val="auto"/>
        </w:rPr>
      </w:pPr>
      <w:r>
        <w:rPr>
          <w:rFonts w:ascii="Arial" w:cs="Arial" w:eastAsia="Arial" w:hAnsi="Arial"/>
          <w:sz w:val="18"/>
          <w:szCs w:val="18"/>
          <w:color w:val="auto"/>
        </w:rPr>
        <w:t>Chief Executive Officer</w:t>
      </w:r>
    </w:p>
    <w:p>
      <w:pPr>
        <w:ind w:left="642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left="570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6350</wp:posOffset>
            </wp:positionV>
            <wp:extent cx="30772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Matthew Skaruppa</w:t>
      </w:r>
    </w:p>
    <w:p>
      <w:pPr>
        <w:ind w:left="6420"/>
        <w:spacing w:after="0" w:line="203" w:lineRule="auto"/>
        <w:rPr>
          <w:sz w:val="20"/>
          <w:szCs w:val="20"/>
          <w:color w:val="auto"/>
        </w:rPr>
      </w:pPr>
      <w:r>
        <w:rPr>
          <w:rFonts w:ascii="Arial" w:cs="Arial" w:eastAsia="Arial" w:hAnsi="Arial"/>
          <w:sz w:val="18"/>
          <w:szCs w:val="18"/>
          <w:color w:val="auto"/>
        </w:rPr>
        <w:t>Chief Financial Officer</w:t>
      </w:r>
    </w:p>
    <w:p>
      <w:pPr>
        <w:ind w:left="6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1440" w:right="4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Luis von Ahn, certify that:</w:t>
      </w:r>
    </w:p>
    <w:p>
      <w:pPr>
        <w:spacing w:after="0" w:line="306" w:lineRule="exact"/>
        <w:rPr>
          <w:sz w:val="20"/>
          <w:szCs w:val="20"/>
          <w:color w:val="auto"/>
        </w:rPr>
      </w:pPr>
    </w:p>
    <w:p>
      <w:pPr>
        <w:ind w:left="540" w:hanging="51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Duolingo, Inc.;</w:t>
      </w:r>
    </w:p>
    <w:p>
      <w:pPr>
        <w:spacing w:after="0" w:line="292" w:lineRule="exact"/>
        <w:rPr>
          <w:rFonts w:ascii="Arial" w:cs="Arial" w:eastAsia="Arial" w:hAnsi="Arial"/>
          <w:sz w:val="18"/>
          <w:szCs w:val="18"/>
          <w:color w:val="auto"/>
        </w:rPr>
      </w:pPr>
    </w:p>
    <w:p>
      <w:pPr>
        <w:jc w:val="both"/>
        <w:ind w:left="540" w:right="220" w:hanging="510"/>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40" w:right="200" w:hanging="510"/>
        <w:spacing w:after="0" w:line="30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ind w:left="540" w:right="240" w:hanging="510"/>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37" w:lineRule="exact"/>
        <w:rPr>
          <w:rFonts w:ascii="Arial" w:cs="Arial" w:eastAsia="Arial" w:hAnsi="Arial"/>
          <w:sz w:val="18"/>
          <w:szCs w:val="18"/>
          <w:color w:val="auto"/>
        </w:rPr>
      </w:pPr>
    </w:p>
    <w:p>
      <w:pPr>
        <w:ind w:left="1060" w:right="140" w:hanging="517"/>
        <w:spacing w:after="0" w:line="263"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060" w:hanging="517"/>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1060" w:right="440" w:hanging="517"/>
        <w:spacing w:after="0" w:line="342"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060" w:right="160" w:hanging="517"/>
        <w:spacing w:after="0" w:line="263"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540" w:right="220" w:hanging="510"/>
        <w:spacing w:after="0" w:line="34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6"/>
          <w:szCs w:val="16"/>
          <w:color w:val="auto"/>
        </w:rPr>
      </w:pPr>
    </w:p>
    <w:p>
      <w:pPr>
        <w:ind w:left="1060" w:right="680" w:hanging="517"/>
        <w:spacing w:after="0" w:line="342"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00" w:hanging="517"/>
        <w:spacing w:after="0" w:line="27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5320" w:val="left"/>
          <w:tab w:leader="none" w:pos="79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33864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53"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Luis von Ahn</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41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Skaruppa, certify that:</w:t>
      </w:r>
    </w:p>
    <w:p>
      <w:pPr>
        <w:spacing w:after="0" w:line="306" w:lineRule="exact"/>
        <w:rPr>
          <w:sz w:val="20"/>
          <w:szCs w:val="20"/>
          <w:color w:val="auto"/>
        </w:rPr>
      </w:pPr>
    </w:p>
    <w:p>
      <w:pPr>
        <w:ind w:left="540" w:hanging="510"/>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Duolingo, Inc.;</w:t>
      </w:r>
    </w:p>
    <w:p>
      <w:pPr>
        <w:spacing w:after="0" w:line="292" w:lineRule="exact"/>
        <w:rPr>
          <w:rFonts w:ascii="Arial" w:cs="Arial" w:eastAsia="Arial" w:hAnsi="Arial"/>
          <w:sz w:val="18"/>
          <w:szCs w:val="18"/>
          <w:color w:val="auto"/>
        </w:rPr>
      </w:pPr>
    </w:p>
    <w:p>
      <w:pPr>
        <w:jc w:val="both"/>
        <w:ind w:left="540" w:right="220" w:hanging="510"/>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40" w:right="200" w:hanging="510"/>
        <w:spacing w:after="0" w:line="308"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ind w:left="540" w:right="240" w:hanging="510"/>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37" w:lineRule="exact"/>
        <w:rPr>
          <w:rFonts w:ascii="Arial" w:cs="Arial" w:eastAsia="Arial" w:hAnsi="Arial"/>
          <w:sz w:val="18"/>
          <w:szCs w:val="18"/>
          <w:color w:val="auto"/>
        </w:rPr>
      </w:pPr>
    </w:p>
    <w:p>
      <w:pPr>
        <w:ind w:left="1060" w:right="140" w:hanging="517"/>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060" w:hanging="517"/>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1060" w:right="440" w:hanging="517"/>
        <w:spacing w:after="0" w:line="342"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060" w:right="160" w:hanging="517"/>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540" w:right="220" w:hanging="510"/>
        <w:spacing w:after="0" w:line="34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6"/>
          <w:szCs w:val="16"/>
          <w:color w:val="auto"/>
        </w:rPr>
      </w:pPr>
    </w:p>
    <w:p>
      <w:pPr>
        <w:ind w:left="1060" w:right="680" w:hanging="517"/>
        <w:spacing w:after="0" w:line="342"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00" w:hanging="517"/>
        <w:spacing w:after="0" w:line="277"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5420" w:val="left"/>
          <w:tab w:leader="none" w:pos="776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864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5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Matthew Skaruppa</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41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Duolingo, Inc. (the “Company”) on Form 10-Q for the quarter ended June 30, 2021 (the “Report”), Luis von Ahn, President and Chief Executive Officer of the Company, and Matthew Skaruppa, Chief Financial Officer of the Company, each hereby certifies, pursuant to 18 U.S.C. Section 1350, as adopted pursuant to Section 906 of the Sarbanes-Oxley Act of 2002, that:</w:t>
      </w:r>
    </w:p>
    <w:p>
      <w:pPr>
        <w:spacing w:after="0" w:line="265" w:lineRule="exact"/>
        <w:rPr>
          <w:sz w:val="20"/>
          <w:szCs w:val="20"/>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92" w:lineRule="exact"/>
        <w:rPr>
          <w:rFonts w:ascii="Arial" w:cs="Arial" w:eastAsia="Arial" w:hAnsi="Arial"/>
          <w:sz w:val="18"/>
          <w:szCs w:val="18"/>
          <w:color w:val="auto"/>
        </w:rPr>
      </w:pPr>
    </w:p>
    <w:p>
      <w:pPr>
        <w:ind w:left="720" w:right="200" w:hanging="352"/>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86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6"/>
          <w:szCs w:val="16"/>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Luis von Ahn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Matthew Skaruppa</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1"/>
    </w:lvl>
  </w:abstractNum>
  <w:abstractNum w:abstractNumId="12">
    <w:nsid w:val="75A2A8D4"/>
    <w:multiLevelType w:val="hybridMultilevel"/>
    <w:lvl w:ilvl="0">
      <w:lvlJc w:val="left"/>
      <w:lvlText w:val="%1."/>
      <w:numFmt w:val="decimal"/>
      <w:start w:val="12"/>
    </w:lvl>
  </w:abstractNum>
  <w:abstractNum w:abstractNumId="13">
    <w:nsid w:val="8EDBDAB"/>
    <w:multiLevelType w:val="hybridMultilevel"/>
    <w:lvl w:ilvl="0">
      <w:lvlJc w:val="left"/>
      <w:lvlText w:val="%1."/>
      <w:numFmt w:val="decimal"/>
      <w:start w:val="13"/>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decimal"/>
      <w:start w:val="3"/>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lvl w:ilvl="1">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96" Type="http://schemas.openxmlformats.org/officeDocument/2006/relationships/hyperlink" Target="https://www.sec.gov/Archives/edgar/data/1562088/000162828021015040/exhibit31-8xk.htm" TargetMode="External"/><Relationship Id="rId97" Type="http://schemas.openxmlformats.org/officeDocument/2006/relationships/hyperlink" Target="https://www.sec.gov/Archives/edgar/data/1562088/000162828021015040/exhibit32-8xk.htm" TargetMode="External"/><Relationship Id="rId98" Type="http://schemas.openxmlformats.org/officeDocument/2006/relationships/hyperlink" Target="https://www.sec.gov/Archives/edgar/data/1562088/000162828021013980/exhibit103a-sx1a1senttouw7.htm" TargetMode="External"/><Relationship Id="rId99" Type="http://schemas.openxmlformats.org/officeDocument/2006/relationships/hyperlink" Target="https://www.sec.gov/Archives/edgar/data/1562088/000162828021013980/exhibit103b-sx1a1senttouw7.htm" TargetMode="External"/><Relationship Id="rId100" Type="http://schemas.openxmlformats.org/officeDocument/2006/relationships/hyperlink" Target="https://www.sec.gov/Archives/edgar/data/1562088/000162828021013980/exhibit103c-sx1a1senttouw7.htm" TargetMode="External"/><Relationship Id="rId101" Type="http://schemas.openxmlformats.org/officeDocument/2006/relationships/hyperlink" Target="https://www.sec.gov/Archives/edgar/data/1562088/000162828021013980/exhibit104-sx1a1senttouw71.htm" TargetMode="External"/><Relationship Id="rId102" Type="http://schemas.openxmlformats.org/officeDocument/2006/relationships/hyperlink" Target="https://www.sec.gov/Archives/edgar/data/0001562088/000162828021013980/exhibit1011-sx1a1sentuw712.htm" TargetMode="External"/><Relationship Id="rId103" Type="http://schemas.openxmlformats.org/officeDocument/2006/relationships/hyperlink" Target="https://www.sec.gov/Archives/edgar/data/0001562088/000162828021013980/exhibit1012-sx1a1sentuw712.htm" TargetMode="External"/><Relationship Id="rId104" Type="http://schemas.openxmlformats.org/officeDocument/2006/relationships/hyperlink" Target="https://www.sec.gov/Archives/edgar/data/0001562088/000162828021013980/exhibit1013-sx1a1sentuw712.htm" TargetMode="External"/><Relationship Id="rId105" Type="http://schemas.openxmlformats.org/officeDocument/2006/relationships/hyperlink" Target="https://www.sec.gov/Archives/edgar/data/1562088/000162828021013980/exhibit1014-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2021-11-12T10:41:17Z</dcterms:created>
  <dcterms:modified xsi:type="dcterms:W3CDTF">2021-11-12T10:41:17Z</dcterms:modified>
</cp:coreProperties>
</file>