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9"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Duolingo,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47"/>
        </w:trPr>
        <w:tc>
          <w:tcPr>
            <w:tcW w:w="3280" w:type="dxa"/>
            <w:vAlign w:val="bottom"/>
          </w:tcPr>
          <w:p>
            <w:pPr>
              <w:jc w:val="center"/>
              <w:ind w:right="930"/>
              <w:spacing w:after="0"/>
              <w:rPr>
                <w:sz w:val="20"/>
                <w:szCs w:val="20"/>
                <w:color w:val="auto"/>
              </w:rPr>
            </w:pPr>
            <w:r>
              <w:rPr>
                <w:rFonts w:ascii="Arial" w:cs="Arial" w:eastAsia="Arial" w:hAnsi="Arial"/>
                <w:sz w:val="18"/>
                <w:szCs w:val="18"/>
                <w:b w:val="1"/>
                <w:bCs w:val="1"/>
                <w:color w:val="auto"/>
                <w:w w:val="98"/>
              </w:rPr>
              <w:t>Delaware</w:t>
            </w:r>
          </w:p>
        </w:tc>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001-40653</w:t>
            </w:r>
          </w:p>
        </w:tc>
        <w:tc>
          <w:tcPr>
            <w:tcW w:w="3020" w:type="dxa"/>
            <w:vAlign w:val="bottom"/>
          </w:tcPr>
          <w:p>
            <w:pPr>
              <w:jc w:val="center"/>
              <w:ind w:left="1010"/>
              <w:spacing w:after="0"/>
              <w:rPr>
                <w:sz w:val="20"/>
                <w:szCs w:val="20"/>
                <w:color w:val="auto"/>
              </w:rPr>
            </w:pPr>
            <w:r>
              <w:rPr>
                <w:rFonts w:ascii="Arial" w:cs="Arial" w:eastAsia="Arial" w:hAnsi="Arial"/>
                <w:sz w:val="18"/>
                <w:szCs w:val="18"/>
                <w:b w:val="1"/>
                <w:bCs w:val="1"/>
                <w:color w:val="auto"/>
                <w:w w:val="99"/>
              </w:rPr>
              <w:t>45-3055872</w:t>
            </w:r>
          </w:p>
        </w:tc>
      </w:tr>
      <w:tr>
        <w:trPr>
          <w:trHeight w:val="239"/>
        </w:trPr>
        <w:tc>
          <w:tcPr>
            <w:tcW w:w="3280" w:type="dxa"/>
            <w:vAlign w:val="bottom"/>
          </w:tcPr>
          <w:p>
            <w:pPr>
              <w:jc w:val="center"/>
              <w:ind w:right="930"/>
              <w:spacing w:after="0"/>
              <w:rPr>
                <w:sz w:val="20"/>
                <w:szCs w:val="20"/>
                <w:color w:val="auto"/>
              </w:rPr>
            </w:pPr>
            <w:r>
              <w:rPr>
                <w:rFonts w:ascii="Arial" w:cs="Arial" w:eastAsia="Arial" w:hAnsi="Arial"/>
                <w:sz w:val="18"/>
                <w:szCs w:val="18"/>
                <w:b w:val="1"/>
                <w:bCs w:val="1"/>
                <w:color w:val="auto"/>
              </w:rPr>
              <w:t>(State or other jurisdiction</w:t>
            </w:r>
          </w:p>
        </w:tc>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(Commission</w:t>
            </w:r>
          </w:p>
        </w:tc>
        <w:tc>
          <w:tcPr>
            <w:tcW w:w="3020" w:type="dxa"/>
            <w:vAlign w:val="bottom"/>
          </w:tcPr>
          <w:p>
            <w:pPr>
              <w:jc w:val="center"/>
              <w:ind w:left="1010"/>
              <w:spacing w:after="0"/>
              <w:rPr>
                <w:sz w:val="20"/>
                <w:szCs w:val="20"/>
                <w:color w:val="auto"/>
              </w:rPr>
            </w:pPr>
            <w:r>
              <w:rPr>
                <w:rFonts w:ascii="Arial" w:cs="Arial" w:eastAsia="Arial" w:hAnsi="Arial"/>
                <w:sz w:val="18"/>
                <w:szCs w:val="18"/>
                <w:b w:val="1"/>
                <w:bCs w:val="1"/>
                <w:color w:val="auto"/>
              </w:rPr>
              <w:t>(IRS Employer</w:t>
            </w:r>
          </w:p>
        </w:tc>
      </w:tr>
      <w:tr>
        <w:trPr>
          <w:trHeight w:val="247"/>
        </w:trPr>
        <w:tc>
          <w:tcPr>
            <w:tcW w:w="3280" w:type="dxa"/>
            <w:vAlign w:val="bottom"/>
          </w:tcPr>
          <w:p>
            <w:pPr>
              <w:jc w:val="center"/>
              <w:ind w:right="910"/>
              <w:spacing w:after="0"/>
              <w:rPr>
                <w:sz w:val="20"/>
                <w:szCs w:val="20"/>
                <w:color w:val="auto"/>
              </w:rPr>
            </w:pPr>
            <w:r>
              <w:rPr>
                <w:rFonts w:ascii="Arial" w:cs="Arial" w:eastAsia="Arial" w:hAnsi="Arial"/>
                <w:sz w:val="18"/>
                <w:szCs w:val="18"/>
                <w:b w:val="1"/>
                <w:bCs w:val="1"/>
                <w:color w:val="auto"/>
                <w:w w:val="99"/>
              </w:rPr>
              <w:t>of incorporation)</w:t>
            </w:r>
          </w:p>
        </w:tc>
        <w:tc>
          <w:tcPr>
            <w:tcW w:w="32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File Number)</w:t>
            </w:r>
          </w:p>
        </w:tc>
        <w:tc>
          <w:tcPr>
            <w:tcW w:w="3020" w:type="dxa"/>
            <w:vAlign w:val="bottom"/>
          </w:tcPr>
          <w:p>
            <w:pPr>
              <w:jc w:val="center"/>
              <w:ind w:left="1010"/>
              <w:spacing w:after="0"/>
              <w:rPr>
                <w:sz w:val="20"/>
                <w:szCs w:val="20"/>
                <w:color w:val="auto"/>
              </w:rPr>
            </w:pPr>
            <w:r>
              <w:rPr>
                <w:rFonts w:ascii="Arial" w:cs="Arial" w:eastAsia="Arial" w:hAnsi="Arial"/>
                <w:sz w:val="18"/>
                <w:szCs w:val="18"/>
                <w:b w:val="1"/>
                <w:bCs w:val="1"/>
                <w:color w:val="auto"/>
              </w:rPr>
              <w:t>Identification Number)</w:t>
            </w: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5900 Penn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Pittsburgh, Pennsylvania 15206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(412) 567-6602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1060" w:hanging="58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1060" w:hanging="58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1060" w:hanging="58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1060" w:hanging="58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8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0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301"/>
        </w:trPr>
        <w:tc>
          <w:tcPr>
            <w:tcW w:w="4880" w:type="dxa"/>
            <w:vAlign w:val="bottom"/>
          </w:tcPr>
          <w:p>
            <w:pPr>
              <w:spacing w:after="0"/>
              <w:rPr>
                <w:sz w:val="24"/>
                <w:szCs w:val="24"/>
                <w:color w:val="auto"/>
              </w:rPr>
            </w:pPr>
          </w:p>
        </w:tc>
        <w:tc>
          <w:tcPr>
            <w:tcW w:w="2100" w:type="dxa"/>
            <w:vAlign w:val="bottom"/>
          </w:tcPr>
          <w:p>
            <w:pPr>
              <w:jc w:val="center"/>
              <w:ind w:right="550"/>
              <w:spacing w:after="0"/>
              <w:rPr>
                <w:sz w:val="20"/>
                <w:szCs w:val="20"/>
                <w:color w:val="auto"/>
              </w:rPr>
            </w:pPr>
            <w:r>
              <w:rPr>
                <w:rFonts w:ascii="Arial" w:cs="Arial" w:eastAsia="Arial" w:hAnsi="Arial"/>
                <w:sz w:val="18"/>
                <w:szCs w:val="18"/>
                <w:b w:val="1"/>
                <w:bCs w:val="1"/>
                <w:color w:val="auto"/>
                <w:w w:val="99"/>
              </w:rPr>
              <w:t>Trading</w:t>
            </w:r>
          </w:p>
        </w:tc>
        <w:tc>
          <w:tcPr>
            <w:tcW w:w="426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55"/>
        </w:trPr>
        <w:tc>
          <w:tcPr>
            <w:tcW w:w="4880" w:type="dxa"/>
            <w:vAlign w:val="bottom"/>
            <w:tcBorders>
              <w:bottom w:val="single" w:sz="8" w:color="auto"/>
            </w:tcBorders>
          </w:tcPr>
          <w:p>
            <w:pPr>
              <w:jc w:val="center"/>
              <w:ind w:right="1050"/>
              <w:spacing w:after="0"/>
              <w:rPr>
                <w:sz w:val="20"/>
                <w:szCs w:val="20"/>
                <w:color w:val="auto"/>
              </w:rPr>
            </w:pPr>
            <w:r>
              <w:rPr>
                <w:rFonts w:ascii="Arial" w:cs="Arial" w:eastAsia="Arial" w:hAnsi="Arial"/>
                <w:sz w:val="18"/>
                <w:szCs w:val="18"/>
                <w:b w:val="1"/>
                <w:bCs w:val="1"/>
                <w:color w:val="auto"/>
                <w:w w:val="99"/>
              </w:rPr>
              <w:t>Title of each class</w:t>
            </w:r>
          </w:p>
        </w:tc>
        <w:tc>
          <w:tcPr>
            <w:tcW w:w="210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98"/>
              </w:rPr>
              <w:t>Symbol(s)</w:t>
            </w:r>
          </w:p>
        </w:tc>
        <w:tc>
          <w:tcPr>
            <w:tcW w:w="42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rPr>
              <w:t>registered</w:t>
            </w:r>
          </w:p>
        </w:tc>
      </w:tr>
      <w:tr>
        <w:trPr>
          <w:trHeight w:val="224"/>
        </w:trPr>
        <w:tc>
          <w:tcPr>
            <w:tcW w:w="4880" w:type="dxa"/>
            <w:vAlign w:val="bottom"/>
          </w:tcPr>
          <w:p>
            <w:pPr>
              <w:jc w:val="center"/>
              <w:ind w:right="1050"/>
              <w:spacing w:after="0"/>
              <w:rPr>
                <w:sz w:val="20"/>
                <w:szCs w:val="20"/>
                <w:color w:val="auto"/>
              </w:rPr>
            </w:pPr>
            <w:r>
              <w:rPr>
                <w:rFonts w:ascii="Arial" w:cs="Arial" w:eastAsia="Arial" w:hAnsi="Arial"/>
                <w:sz w:val="18"/>
                <w:szCs w:val="18"/>
                <w:b w:val="1"/>
                <w:bCs w:val="1"/>
                <w:color w:val="auto"/>
              </w:rPr>
              <w:t>Class A common stock, $0.0001 par value</w:t>
            </w:r>
          </w:p>
        </w:tc>
        <w:tc>
          <w:tcPr>
            <w:tcW w:w="2100" w:type="dxa"/>
            <w:vAlign w:val="bottom"/>
          </w:tcPr>
          <w:p>
            <w:pPr>
              <w:jc w:val="center"/>
              <w:ind w:right="550"/>
              <w:spacing w:after="0"/>
              <w:rPr>
                <w:sz w:val="20"/>
                <w:szCs w:val="20"/>
                <w:color w:val="auto"/>
              </w:rPr>
            </w:pPr>
            <w:r>
              <w:rPr>
                <w:rFonts w:ascii="Arial" w:cs="Arial" w:eastAsia="Arial" w:hAnsi="Arial"/>
                <w:sz w:val="18"/>
                <w:szCs w:val="18"/>
                <w:b w:val="1"/>
                <w:bCs w:val="1"/>
                <w:color w:val="auto"/>
                <w:w w:val="97"/>
              </w:rPr>
              <w:t>DUOL</w:t>
            </w:r>
          </w:p>
        </w:tc>
        <w:tc>
          <w:tcPr>
            <w:tcW w:w="4260" w:type="dxa"/>
            <w:vAlign w:val="bottom"/>
          </w:tcPr>
          <w:p>
            <w:pPr>
              <w:jc w:val="center"/>
              <w:ind w:left="410"/>
              <w:spacing w:after="0"/>
              <w:rPr>
                <w:sz w:val="20"/>
                <w:szCs w:val="20"/>
                <w:color w:val="auto"/>
              </w:rPr>
            </w:pPr>
            <w:r>
              <w:rPr>
                <w:rFonts w:ascii="Arial" w:cs="Arial" w:eastAsia="Arial" w:hAnsi="Arial"/>
                <w:sz w:val="18"/>
                <w:szCs w:val="18"/>
                <w:b w:val="1"/>
                <w:bCs w:val="1"/>
                <w:color w:val="auto"/>
              </w:rPr>
              <w:t>The Nasdaq Stock Market</w:t>
            </w:r>
          </w:p>
        </w:tc>
      </w:tr>
      <w:tr>
        <w:trPr>
          <w:trHeight w:val="247"/>
        </w:trPr>
        <w:tc>
          <w:tcPr>
            <w:tcW w:w="4880" w:type="dxa"/>
            <w:vAlign w:val="bottom"/>
          </w:tcPr>
          <w:p>
            <w:pPr>
              <w:jc w:val="center"/>
              <w:ind w:right="1050"/>
              <w:spacing w:after="0"/>
              <w:rPr>
                <w:sz w:val="20"/>
                <w:szCs w:val="20"/>
                <w:color w:val="auto"/>
              </w:rPr>
            </w:pPr>
            <w:r>
              <w:rPr>
                <w:rFonts w:ascii="Arial" w:cs="Arial" w:eastAsia="Arial" w:hAnsi="Arial"/>
                <w:sz w:val="18"/>
                <w:szCs w:val="18"/>
                <w:b w:val="1"/>
                <w:bCs w:val="1"/>
                <w:color w:val="auto"/>
              </w:rPr>
              <w:t>per share</w:t>
            </w:r>
          </w:p>
        </w:tc>
        <w:tc>
          <w:tcPr>
            <w:tcW w:w="2100" w:type="dxa"/>
            <w:vAlign w:val="bottom"/>
          </w:tcPr>
          <w:p>
            <w:pPr>
              <w:spacing w:after="0"/>
              <w:rPr>
                <w:sz w:val="21"/>
                <w:szCs w:val="21"/>
                <w:color w:val="auto"/>
              </w:rPr>
            </w:pPr>
          </w:p>
        </w:tc>
        <w:tc>
          <w:tcPr>
            <w:tcW w:w="4260" w:type="dxa"/>
            <w:vAlign w:val="bottom"/>
          </w:tcPr>
          <w:p>
            <w:pPr>
              <w:spacing w:after="0"/>
              <w:rPr>
                <w:sz w:val="21"/>
                <w:szCs w:val="21"/>
                <w:color w:val="auto"/>
              </w:rPr>
            </w:pPr>
          </w:p>
        </w:tc>
      </w:tr>
    </w:tbl>
    <w:p>
      <w:pPr>
        <w:spacing w:after="0" w:line="145"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963295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jc w:val="both"/>
        <w:ind w:right="640"/>
        <w:spacing w:after="0" w:line="268" w:lineRule="auto"/>
        <w:rPr>
          <w:sz w:val="20"/>
          <w:szCs w:val="20"/>
          <w:color w:val="auto"/>
        </w:rPr>
      </w:pPr>
      <w:r>
        <w:rPr>
          <w:rFonts w:ascii="Arial" w:cs="Arial" w:eastAsia="Arial" w:hAnsi="Arial"/>
          <w:sz w:val="18"/>
          <w:szCs w:val="18"/>
          <w:color w:val="auto"/>
        </w:rPr>
        <w:t>On May 4, 2026, Duolingo, Inc. (the “Company”) issued a press release announcing the financial results of the Company for the three months ended March 31, 2026. A copy of the press release is being furnished as Exhibit 99.1 attached hereto and is incorporated by reference herein.</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100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12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72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99"/>
              </w:rPr>
              <w:t>Press Release dated May 4, 2026</w:t>
            </w:r>
          </w:p>
        </w:tc>
        <w:tc>
          <w:tcPr>
            <w:tcW w:w="7280" w:type="dxa"/>
            <w:vAlign w:val="bottom"/>
            <w:tcBorders>
              <w:top w:val="single" w:sz="8" w:color="auto"/>
            </w:tcBorders>
            <w:gridSpan w:val="2"/>
          </w:tcPr>
          <w:p>
            <w:pPr>
              <w:spacing w:after="0"/>
              <w:rPr>
                <w:sz w:val="21"/>
                <w:szCs w:val="21"/>
                <w:color w:val="auto"/>
              </w:rPr>
            </w:pPr>
          </w:p>
        </w:tc>
      </w:tr>
      <w:tr>
        <w:trPr>
          <w:trHeight w:val="250"/>
        </w:trPr>
        <w:tc>
          <w:tcPr>
            <w:tcW w:w="1120" w:type="dxa"/>
            <w:vAlign w:val="bottom"/>
          </w:tcPr>
          <w:p>
            <w:pPr>
              <w:jc w:val="right"/>
              <w:ind w:right="656"/>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FF"/>
              </w:rPr>
              <w:t>Shareholder Letter dated May 4, 2026</w:t>
            </w:r>
          </w:p>
        </w:tc>
      </w:tr>
      <w:tr>
        <w:trPr>
          <w:trHeight w:val="1648"/>
        </w:trPr>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9"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DUOLINGO, INC.</w:t>
      </w:r>
    </w:p>
    <w:p>
      <w:pPr>
        <w:spacing w:after="0" w:line="320" w:lineRule="exact"/>
        <w:rPr>
          <w:sz w:val="20"/>
          <w:szCs w:val="20"/>
          <w:color w:val="auto"/>
        </w:rPr>
      </w:pPr>
    </w:p>
    <w:p>
      <w:pPr>
        <w:ind w:left="40"/>
        <w:spacing w:after="0"/>
        <w:tabs>
          <w:tab w:leader="none" w:pos="5360" w:val="left"/>
          <w:tab w:leader="none" w:pos="5860" w:val="left"/>
        </w:tabs>
        <w:rPr>
          <w:sz w:val="20"/>
          <w:szCs w:val="20"/>
          <w:color w:val="auto"/>
        </w:rPr>
      </w:pPr>
      <w:r>
        <w:rPr>
          <w:rFonts w:ascii="Arial" w:cs="Arial" w:eastAsia="Arial" w:hAnsi="Arial"/>
          <w:sz w:val="18"/>
          <w:szCs w:val="18"/>
          <w:color w:val="auto"/>
        </w:rPr>
        <w:t>Date: May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Gillian Munson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34925</wp:posOffset>
            </wp:positionV>
            <wp:extent cx="3403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3600"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Gillian Munson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00"/>
          </w:cols>
          <w:pgMar w:left="320" w:top="141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911860</wp:posOffset>
            </wp:positionV>
            <wp:extent cx="257175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717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Duolingo Reports First Quarter 2026 Results</w:t>
      </w:r>
    </w:p>
    <w:p>
      <w:pPr>
        <w:spacing w:after="0" w:line="200" w:lineRule="exact"/>
        <w:rPr>
          <w:sz w:val="20"/>
          <w:szCs w:val="20"/>
          <w:color w:val="auto"/>
        </w:rPr>
      </w:pPr>
    </w:p>
    <w:p>
      <w:pPr>
        <w:spacing w:after="0" w:line="299" w:lineRule="exact"/>
        <w:rPr>
          <w:sz w:val="20"/>
          <w:szCs w:val="20"/>
          <w:color w:val="auto"/>
        </w:rPr>
      </w:pPr>
    </w:p>
    <w:p>
      <w:pPr>
        <w:ind w:right="700"/>
        <w:spacing w:after="0" w:line="303" w:lineRule="auto"/>
        <w:rPr>
          <w:sz w:val="20"/>
          <w:szCs w:val="20"/>
          <w:color w:val="auto"/>
        </w:rPr>
      </w:pPr>
      <w:r>
        <w:rPr>
          <w:rFonts w:ascii="Arial" w:cs="Arial" w:eastAsia="Arial" w:hAnsi="Arial"/>
          <w:sz w:val="18"/>
          <w:szCs w:val="18"/>
          <w:b w:val="1"/>
          <w:bCs w:val="1"/>
          <w:color w:val="auto"/>
        </w:rPr>
        <w:t xml:space="preserve">Pittsburgh, PA – May 4, 2026 </w:t>
      </w:r>
      <w:r>
        <w:rPr>
          <w:rFonts w:ascii="Arial" w:cs="Arial" w:eastAsia="Arial" w:hAnsi="Arial"/>
          <w:sz w:val="18"/>
          <w:szCs w:val="18"/>
          <w:color w:val="auto"/>
        </w:rPr>
        <w:t>– Duolingo, Inc. (NASDAQ: DUOL) announced results for the first quarter ending March 31, 2026 in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letter that is posted on its Investor Relations website at investors.duolingo.com.</w:t>
      </w:r>
    </w:p>
    <w:p>
      <w:pPr>
        <w:spacing w:after="0" w:line="193"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color w:val="auto"/>
        </w:rPr>
        <w:t>"In Q1, we made progress on the strategy we laid out last quarter," said Luis von Ahn, Co-Founder and CEO of Duolingo. "We've made speaking a core part of the learning experience, and we’ve added more features and content to continue to support learners."</w:t>
      </w:r>
    </w:p>
    <w:p>
      <w:pPr>
        <w:spacing w:after="0" w:line="16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"We're still early in executing our 2026 plan, and we're building a product that drives long-term engagement and loyalty. We believe that's what will make Duolingo a much larger and more durable business over time."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Webcast</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Duolingo will host a live video webcast to discuss its quarterly results today, May 4, 2026 at 5:00 p.m. ET. Luis von Ahn and Gillian Munson, our Chief Financial Officer, will answer questions from sell side analysts. This webcast and related materials will be publicly available and can be accessed at investors.duolingo.com. A replay will be available on the Investor Relations section of our website two hours following completion of the webcast and will remain available for a period of one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Duolingo</w:t>
      </w:r>
    </w:p>
    <w:p>
      <w:pPr>
        <w:spacing w:after="0" w:line="40"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Duolingo is the leading mobile learning platform globally. Its flagship app has organically become the world's most popular way to learn languages and the top-grossing app in the Education category on both Google Play and the Apple App Store. With technology at the core of everything it does, Duolingo has consistently invested to provide learners a fun, engaging, and effective learning experience while remaining committed to its mission to develop the best education in the world and make it universally available.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including without limitation, statements regarding our business model and strategy and the expected benefits therefrom are forward-looking statements. 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53" w:lineRule="auto"/>
        <w:rPr>
          <w:sz w:val="20"/>
          <w:szCs w:val="20"/>
          <w:color w:val="auto"/>
        </w:rPr>
      </w:pPr>
      <w:r>
        <w:rPr>
          <w:rFonts w:ascii="Arial" w:cs="Arial" w:eastAsia="Arial" w:hAnsi="Arial"/>
          <w:sz w:val="18"/>
          <w:szCs w:val="18"/>
          <w:color w:val="auto"/>
        </w:rPr>
        <w:t>known and unknown risks, uncertainties and assumptions that may cause our actual results, performance or achievements to differ materially from those expressed or implied in the forward-looking statements due to various factors, including, but not limited to: our ability to retain and grow our users and sustain their engagement with our products; competition in the online language learning industry; our limited operating history; our ability to maintain or increase profitability; our ability to manage our growth and operate at such scale; the success of our investments; our reliance on third-party platforms to store and distribute our products and collect revenue; our reliance on third-party hosting and cloud computing providers; our ability to compete for advertisements; acceptance by educational organizations of technology-based education; our ability to access, collect, use, and otherwise process Personal Data about our users and payers, and to comply with applicable data privacy laws; our ability to successfully develop, implement and use of artificial intelligence and machine learning technologies; our ability adequately obtain, protect and maintain our intellectual property rights; and the other important factors more fully detailed under the caption "Risk Factors" in our Annual Report on Form 10-K for the fiscal year ended December 31, 2025, as any such factors may be updated from time to time in our other filings with the Securities and Exchange Commission (“SEC”), accessible on the SEC’s website at www.sec.gov and the Investor Relations section of the Company’s website at investors.duolingo.com. All forward-looking statements speak only as of the date of this press release. While we may elect to update such forward-looking statements at some point in the future, unless required by applicable law, we disclaim any obligation to do so, even if subsequent events cause our views to change.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Deborah Belevan, VP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IR@duolingo.com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Monica Earle, Director of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press@duolingo.com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5" w:name="page6"/>
    <w:bookmarkEnd w:id="5"/>
    <w:p>
      <w:pPr>
        <w:ind w:right="3899"/>
        <w:spacing w:after="0" w:line="245" w:lineRule="auto"/>
        <w:rPr>
          <w:sz w:val="20"/>
          <w:szCs w:val="20"/>
          <w:color w:val="auto"/>
        </w:rPr>
      </w:pPr>
      <w:r>
        <w:rPr>
          <w:rFonts w:ascii="Times New Roman" w:cs="Times New Roman" w:eastAsia="Times New Roman" w:hAnsi="Times New Roman"/>
          <w:sz w:val="122"/>
          <w:szCs w:val="122"/>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61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761095"/>
                    </a:xfrm>
                    <a:prstGeom prst="rect">
                      <a:avLst/>
                    </a:prstGeom>
                    <a:noFill/>
                  </pic:spPr>
                </pic:pic>
              </a:graphicData>
            </a:graphic>
          </wp:anchor>
        </w:drawing>
        <w:t>shareholder letter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8"/>
          <w:szCs w:val="108"/>
          <w:b w:val="1"/>
          <w:bCs w:val="1"/>
          <w:color w:val="A5ED6E"/>
        </w:rPr>
        <w:t>Q1 2026</w:t>
      </w:r>
    </w:p>
    <w:p>
      <w:pPr>
        <w:sectPr>
          <w:pgSz w:w="11900" w:h="16838" w:orient="portrait"/>
          <w:cols w:equalWidth="0" w:num="1">
            <w:col w:w="10139"/>
          </w:cols>
          <w:pgMar w:left="320" w:top="1126" w:right="1440" w:bottom="1440" w:gutter="0" w:footer="0" w:header="0"/>
        </w:sectPr>
      </w:pPr>
    </w:p>
    <w:bookmarkStart w:id="6" w:name="page7"/>
    <w:bookmarkEnd w:id="6"/>
    <w:p>
      <w:pPr>
        <w:jc w:val="both"/>
        <w:ind w:right="4200"/>
        <w:spacing w:after="0" w:line="236" w:lineRule="auto"/>
        <w:rPr>
          <w:sz w:val="20"/>
          <w:szCs w:val="20"/>
          <w:color w:val="auto"/>
        </w:rPr>
      </w:pPr>
      <w:r>
        <w:rPr>
          <w:rFonts w:ascii="Times New Roman" w:cs="Times New Roman" w:eastAsia="Times New Roman" w:hAnsi="Times New Roman"/>
          <w:sz w:val="108"/>
          <w:szCs w:val="108"/>
          <w:b w:val="1"/>
          <w:bCs w:val="1"/>
          <w:color w:val="58CC02"/>
        </w:rPr>
        <w:t>our mission is to develop the best education in the world</w:t>
      </w:r>
    </w:p>
    <w:p>
      <w:pPr>
        <w:spacing w:after="0" w:line="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08"/>
          <w:szCs w:val="108"/>
          <w:b w:val="1"/>
          <w:bCs w:val="1"/>
          <w:color w:val="58CC02"/>
        </w:rPr>
        <w:t>and make it universally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-41910</wp:posOffset>
            </wp:positionV>
            <wp:extent cx="2717165" cy="2417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716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00" w:type="dxa"/>
            <w:vAlign w:val="bottom"/>
          </w:tcPr>
          <w:p>
            <w:pPr>
              <w:spacing w:after="0"/>
              <w:rPr>
                <w:sz w:val="20"/>
                <w:szCs w:val="20"/>
                <w:color w:val="auto"/>
              </w:rPr>
            </w:pPr>
            <w:r>
              <w:rPr>
                <w:rFonts w:ascii="Arial" w:cs="Arial" w:eastAsia="Arial" w:hAnsi="Arial"/>
                <w:sz w:val="15"/>
                <w:szCs w:val="15"/>
                <w:color w:val="AFAFAF"/>
              </w:rPr>
              <w:t>DUOLINGO Q1 / FY 2026</w:t>
            </w:r>
          </w:p>
        </w:tc>
        <w:tc>
          <w:tcPr>
            <w:tcW w:w="800" w:type="dxa"/>
            <w:vAlign w:val="bottom"/>
          </w:tcPr>
          <w:p>
            <w:pPr>
              <w:jc w:val="right"/>
              <w:spacing w:after="0"/>
              <w:rPr>
                <w:sz w:val="20"/>
                <w:szCs w:val="20"/>
                <w:color w:val="auto"/>
              </w:rPr>
            </w:pPr>
            <w:r>
              <w:rPr>
                <w:rFonts w:ascii="Arial" w:cs="Arial" w:eastAsia="Arial" w:hAnsi="Arial"/>
                <w:sz w:val="15"/>
                <w:szCs w:val="15"/>
                <w:color w:val="AFAFAF"/>
              </w:rPr>
              <w:t>2</w:t>
            </w:r>
          </w:p>
        </w:tc>
      </w:tr>
    </w:tbl>
    <w:p>
      <w:pPr>
        <w:sectPr>
          <w:pgSz w:w="11900" w:h="16838" w:orient="portrait"/>
          <w:cols w:equalWidth="0" w:num="1">
            <w:col w:w="10840"/>
          </w:cols>
          <w:pgMar w:left="320" w:top="1153" w:right="7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4B4B4B"/>
        </w:rPr>
        <w:t>Q1 Highlights</w:t>
      </w: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370"/>
        </w:trPr>
        <w:tc>
          <w:tcPr>
            <w:tcW w:w="5400" w:type="dxa"/>
            <w:vAlign w:val="bottom"/>
            <w:tcBorders>
              <w:top w:val="single" w:sz="8" w:color="E5E5E5"/>
              <w:left w:val="single" w:sz="8" w:color="E5E5E5"/>
              <w:bottom w:val="single" w:sz="8" w:color="F7F7F7"/>
            </w:tcBorders>
            <w:shd w:val="clear" w:color="auto" w:fill="F7F7F7"/>
          </w:tcPr>
          <w:p>
            <w:pPr>
              <w:ind w:left="40"/>
              <w:spacing w:after="0"/>
              <w:rPr>
                <w:sz w:val="20"/>
                <w:szCs w:val="20"/>
                <w:color w:val="auto"/>
              </w:rPr>
            </w:pPr>
            <w:r>
              <w:rPr>
                <w:rFonts w:ascii="Arial" w:cs="Arial" w:eastAsia="Arial" w:hAnsi="Arial"/>
                <w:sz w:val="22"/>
                <w:szCs w:val="22"/>
                <w:b w:val="1"/>
                <w:bCs w:val="1"/>
                <w:color w:val="4B4B4B"/>
              </w:rPr>
              <w:t>User Metrics</w:t>
            </w:r>
          </w:p>
        </w:tc>
        <w:tc>
          <w:tcPr>
            <w:tcW w:w="2960" w:type="dxa"/>
            <w:vAlign w:val="bottom"/>
            <w:tcBorders>
              <w:top w:val="single" w:sz="8" w:color="E5E5E5"/>
              <w:bottom w:val="single" w:sz="8" w:color="F7F7F7"/>
            </w:tcBorders>
            <w:shd w:val="clear" w:color="auto" w:fill="F7F7F7"/>
          </w:tcPr>
          <w:p>
            <w:pPr>
              <w:ind w:left="1020"/>
              <w:spacing w:after="0"/>
              <w:rPr>
                <w:sz w:val="20"/>
                <w:szCs w:val="20"/>
                <w:color w:val="auto"/>
              </w:rPr>
            </w:pPr>
            <w:r>
              <w:rPr>
                <w:rFonts w:ascii="Arial" w:cs="Arial" w:eastAsia="Arial" w:hAnsi="Arial"/>
                <w:sz w:val="22"/>
                <w:szCs w:val="22"/>
                <w:b w:val="1"/>
                <w:bCs w:val="1"/>
                <w:color w:val="4B4B4B"/>
              </w:rPr>
              <w:t>Q1 2025</w:t>
            </w:r>
          </w:p>
        </w:tc>
        <w:tc>
          <w:tcPr>
            <w:tcW w:w="2900" w:type="dxa"/>
            <w:vAlign w:val="bottom"/>
            <w:tcBorders>
              <w:top w:val="single" w:sz="8" w:color="E5E5E5"/>
              <w:bottom w:val="single" w:sz="8" w:color="F7F7F7"/>
              <w:right w:val="single" w:sz="8" w:color="E5E5E5"/>
            </w:tcBorders>
            <w:shd w:val="clear" w:color="auto" w:fill="F7F7F7"/>
          </w:tcPr>
          <w:p>
            <w:pPr>
              <w:ind w:left="680"/>
              <w:spacing w:after="0"/>
              <w:rPr>
                <w:sz w:val="20"/>
                <w:szCs w:val="20"/>
                <w:color w:val="auto"/>
              </w:rPr>
            </w:pPr>
            <w:r>
              <w:rPr>
                <w:rFonts w:ascii="Arial" w:cs="Arial" w:eastAsia="Arial" w:hAnsi="Arial"/>
                <w:sz w:val="22"/>
                <w:szCs w:val="22"/>
                <w:b w:val="1"/>
                <w:bCs w:val="1"/>
                <w:color w:val="4B4B4B"/>
              </w:rPr>
              <w:t>Q1 2026</w:t>
            </w:r>
          </w:p>
        </w:tc>
      </w:tr>
      <w:tr>
        <w:trPr>
          <w:trHeight w:val="441"/>
        </w:trPr>
        <w:tc>
          <w:tcPr>
            <w:tcW w:w="5400" w:type="dxa"/>
            <w:vAlign w:val="bottom"/>
            <w:tcBorders>
              <w:top w:val="single" w:sz="8" w:color="E5E5E5"/>
              <w:left w:val="single" w:sz="8" w:color="E5E5E5"/>
            </w:tcBorders>
          </w:tcPr>
          <w:p>
            <w:pPr>
              <w:ind w:left="40"/>
              <w:spacing w:after="0"/>
              <w:rPr>
                <w:sz w:val="20"/>
                <w:szCs w:val="20"/>
                <w:color w:val="auto"/>
              </w:rPr>
            </w:pPr>
            <w:r>
              <w:rPr>
                <w:rFonts w:ascii="Arial" w:cs="Arial" w:eastAsia="Arial" w:hAnsi="Arial"/>
                <w:sz w:val="22"/>
                <w:szCs w:val="22"/>
                <w:b w:val="1"/>
                <w:bCs w:val="1"/>
                <w:color w:val="4B4B4B"/>
              </w:rPr>
              <w:t>Daily Active Users</w:t>
            </w:r>
          </w:p>
        </w:tc>
        <w:tc>
          <w:tcPr>
            <w:tcW w:w="2960" w:type="dxa"/>
            <w:vAlign w:val="bottom"/>
            <w:tcBorders>
              <w:top w:val="single" w:sz="8" w:color="E5E5E5"/>
            </w:tcBorders>
          </w:tcPr>
          <w:p>
            <w:pPr>
              <w:ind w:left="1020"/>
              <w:spacing w:after="0"/>
              <w:rPr>
                <w:sz w:val="20"/>
                <w:szCs w:val="20"/>
                <w:color w:val="auto"/>
              </w:rPr>
            </w:pPr>
            <w:r>
              <w:rPr>
                <w:rFonts w:ascii="Arial" w:cs="Arial" w:eastAsia="Arial" w:hAnsi="Arial"/>
                <w:sz w:val="32"/>
                <w:szCs w:val="32"/>
                <w:b w:val="1"/>
                <w:bCs w:val="1"/>
                <w:color w:val="1CB0F6"/>
              </w:rPr>
              <w:t>46.6M</w:t>
            </w:r>
          </w:p>
        </w:tc>
        <w:tc>
          <w:tcPr>
            <w:tcW w:w="2900" w:type="dxa"/>
            <w:vAlign w:val="bottom"/>
            <w:tcBorders>
              <w:top w:val="single" w:sz="8" w:color="E5E5E5"/>
              <w:right w:val="single" w:sz="8" w:color="E5E5E5"/>
            </w:tcBorders>
          </w:tcPr>
          <w:p>
            <w:pPr>
              <w:ind w:left="680"/>
              <w:spacing w:after="0"/>
              <w:rPr>
                <w:sz w:val="20"/>
                <w:szCs w:val="20"/>
                <w:color w:val="auto"/>
              </w:rPr>
            </w:pPr>
            <w:r>
              <w:rPr>
                <w:rFonts w:ascii="Arial" w:cs="Arial" w:eastAsia="Arial" w:hAnsi="Arial"/>
                <w:sz w:val="32"/>
                <w:szCs w:val="32"/>
                <w:b w:val="1"/>
                <w:bCs w:val="1"/>
                <w:color w:val="58CC02"/>
              </w:rPr>
              <w:t>56.5M</w:t>
            </w:r>
          </w:p>
        </w:tc>
      </w:tr>
      <w:tr>
        <w:trPr>
          <w:trHeight w:val="238"/>
        </w:trPr>
        <w:tc>
          <w:tcPr>
            <w:tcW w:w="5400" w:type="dxa"/>
            <w:vAlign w:val="bottom"/>
            <w:tcBorders>
              <w:left w:val="single" w:sz="8" w:color="E5E5E5"/>
              <w:bottom w:val="single" w:sz="8" w:color="E5E5E5"/>
            </w:tcBorders>
          </w:tcPr>
          <w:p>
            <w:pPr>
              <w:spacing w:after="0"/>
              <w:rPr>
                <w:sz w:val="20"/>
                <w:szCs w:val="20"/>
                <w:color w:val="auto"/>
              </w:rPr>
            </w:pPr>
          </w:p>
        </w:tc>
        <w:tc>
          <w:tcPr>
            <w:tcW w:w="2960" w:type="dxa"/>
            <w:vAlign w:val="bottom"/>
            <w:tcBorders>
              <w:bottom w:val="single" w:sz="8" w:color="E5E5E5"/>
            </w:tcBorders>
          </w:tcPr>
          <w:p>
            <w:pPr>
              <w:spacing w:after="0"/>
              <w:rPr>
                <w:sz w:val="20"/>
                <w:szCs w:val="20"/>
                <w:color w:val="auto"/>
              </w:rPr>
            </w:pPr>
          </w:p>
        </w:tc>
        <w:tc>
          <w:tcPr>
            <w:tcW w:w="2900" w:type="dxa"/>
            <w:vAlign w:val="bottom"/>
            <w:tcBorders>
              <w:bottom w:val="single" w:sz="8" w:color="E5E5E5"/>
              <w:right w:val="single" w:sz="8" w:color="E5E5E5"/>
            </w:tcBorders>
          </w:tcPr>
          <w:p>
            <w:pPr>
              <w:ind w:left="680"/>
              <w:spacing w:after="0"/>
              <w:rPr>
                <w:sz w:val="20"/>
                <w:szCs w:val="20"/>
                <w:color w:val="auto"/>
              </w:rPr>
            </w:pPr>
            <w:r>
              <w:rPr>
                <w:rFonts w:ascii="Arial" w:cs="Arial" w:eastAsia="Arial" w:hAnsi="Arial"/>
                <w:sz w:val="16"/>
                <w:szCs w:val="16"/>
                <w:b w:val="1"/>
                <w:bCs w:val="1"/>
                <w:color w:val="4B4B4B"/>
              </w:rPr>
              <w:t>21% YoY</w:t>
            </w:r>
          </w:p>
        </w:tc>
      </w:tr>
      <w:tr>
        <w:trPr>
          <w:trHeight w:val="444"/>
        </w:trPr>
        <w:tc>
          <w:tcPr>
            <w:tcW w:w="5400" w:type="dxa"/>
            <w:vAlign w:val="bottom"/>
            <w:tcBorders>
              <w:left w:val="single" w:sz="8" w:color="E5E5E5"/>
            </w:tcBorders>
          </w:tcPr>
          <w:p>
            <w:pPr>
              <w:ind w:left="40"/>
              <w:spacing w:after="0"/>
              <w:rPr>
                <w:sz w:val="20"/>
                <w:szCs w:val="20"/>
                <w:color w:val="auto"/>
              </w:rPr>
            </w:pPr>
            <w:r>
              <w:rPr>
                <w:rFonts w:ascii="Arial" w:cs="Arial" w:eastAsia="Arial" w:hAnsi="Arial"/>
                <w:sz w:val="22"/>
                <w:szCs w:val="22"/>
                <w:b w:val="1"/>
                <w:bCs w:val="1"/>
                <w:color w:val="4B4B4B"/>
              </w:rPr>
              <w:t>Paid Subscribers</w:t>
            </w:r>
          </w:p>
        </w:tc>
        <w:tc>
          <w:tcPr>
            <w:tcW w:w="2960" w:type="dxa"/>
            <w:vAlign w:val="bottom"/>
          </w:tcPr>
          <w:p>
            <w:pPr>
              <w:ind w:left="1020"/>
              <w:spacing w:after="0"/>
              <w:rPr>
                <w:sz w:val="20"/>
                <w:szCs w:val="20"/>
                <w:color w:val="auto"/>
              </w:rPr>
            </w:pPr>
            <w:r>
              <w:rPr>
                <w:rFonts w:ascii="Arial" w:cs="Arial" w:eastAsia="Arial" w:hAnsi="Arial"/>
                <w:sz w:val="32"/>
                <w:szCs w:val="32"/>
                <w:b w:val="1"/>
                <w:bCs w:val="1"/>
                <w:color w:val="1CB0F6"/>
              </w:rPr>
              <w:t>10.3M</w:t>
            </w:r>
          </w:p>
        </w:tc>
        <w:tc>
          <w:tcPr>
            <w:tcW w:w="2900" w:type="dxa"/>
            <w:vAlign w:val="bottom"/>
            <w:tcBorders>
              <w:right w:val="single" w:sz="8" w:color="E5E5E5"/>
            </w:tcBorders>
          </w:tcPr>
          <w:p>
            <w:pPr>
              <w:ind w:left="680"/>
              <w:spacing w:after="0"/>
              <w:rPr>
                <w:sz w:val="20"/>
                <w:szCs w:val="20"/>
                <w:color w:val="auto"/>
              </w:rPr>
            </w:pPr>
            <w:r>
              <w:rPr>
                <w:rFonts w:ascii="Arial" w:cs="Arial" w:eastAsia="Arial" w:hAnsi="Arial"/>
                <w:sz w:val="32"/>
                <w:szCs w:val="32"/>
                <w:b w:val="1"/>
                <w:bCs w:val="1"/>
                <w:color w:val="58CC02"/>
              </w:rPr>
              <w:t>12.5M</w:t>
            </w:r>
          </w:p>
        </w:tc>
      </w:tr>
      <w:tr>
        <w:trPr>
          <w:trHeight w:val="321"/>
        </w:trPr>
        <w:tc>
          <w:tcPr>
            <w:tcW w:w="5400" w:type="dxa"/>
            <w:vAlign w:val="bottom"/>
            <w:tcBorders>
              <w:left w:val="single" w:sz="8" w:color="E5E5E5"/>
            </w:tcBorders>
          </w:tcPr>
          <w:p>
            <w:pPr>
              <w:ind w:left="40"/>
              <w:spacing w:after="0"/>
              <w:rPr>
                <w:sz w:val="20"/>
                <w:szCs w:val="20"/>
                <w:color w:val="auto"/>
              </w:rPr>
            </w:pPr>
            <w:r>
              <w:rPr>
                <w:rFonts w:ascii="Arial" w:cs="Arial" w:eastAsia="Arial" w:hAnsi="Arial"/>
                <w:sz w:val="22"/>
                <w:szCs w:val="22"/>
                <w:b w:val="1"/>
                <w:bCs w:val="1"/>
                <w:color w:val="4B4B4B"/>
              </w:rPr>
              <w:t>at period end</w:t>
            </w:r>
          </w:p>
        </w:tc>
        <w:tc>
          <w:tcPr>
            <w:tcW w:w="2960" w:type="dxa"/>
            <w:vAlign w:val="bottom"/>
          </w:tcPr>
          <w:p>
            <w:pPr>
              <w:spacing w:after="0"/>
              <w:rPr>
                <w:sz w:val="24"/>
                <w:szCs w:val="24"/>
                <w:color w:val="auto"/>
              </w:rPr>
            </w:pPr>
          </w:p>
        </w:tc>
        <w:tc>
          <w:tcPr>
            <w:tcW w:w="2900" w:type="dxa"/>
            <w:vAlign w:val="bottom"/>
            <w:tcBorders>
              <w:right w:val="single" w:sz="8" w:color="E5E5E5"/>
            </w:tcBorders>
          </w:tcPr>
          <w:p>
            <w:pPr>
              <w:ind w:left="680"/>
              <w:spacing w:after="0"/>
              <w:rPr>
                <w:sz w:val="20"/>
                <w:szCs w:val="20"/>
                <w:color w:val="auto"/>
              </w:rPr>
            </w:pPr>
            <w:r>
              <w:rPr>
                <w:rFonts w:ascii="Arial" w:cs="Arial" w:eastAsia="Arial" w:hAnsi="Arial"/>
                <w:sz w:val="16"/>
                <w:szCs w:val="16"/>
                <w:b w:val="1"/>
                <w:bCs w:val="1"/>
                <w:color w:val="4B4B4B"/>
              </w:rPr>
              <w:t>21% YoY</w:t>
            </w:r>
          </w:p>
        </w:tc>
      </w:tr>
      <w:tr>
        <w:trPr>
          <w:trHeight w:val="28"/>
        </w:trPr>
        <w:tc>
          <w:tcPr>
            <w:tcW w:w="5400" w:type="dxa"/>
            <w:vAlign w:val="bottom"/>
            <w:tcBorders>
              <w:left w:val="single" w:sz="8" w:color="E5E5E5"/>
              <w:bottom w:val="single" w:sz="8" w:color="E5E5E5"/>
            </w:tcBorders>
          </w:tcPr>
          <w:p>
            <w:pPr>
              <w:spacing w:after="0"/>
              <w:rPr>
                <w:sz w:val="2"/>
                <w:szCs w:val="2"/>
                <w:color w:val="auto"/>
              </w:rPr>
            </w:pPr>
          </w:p>
        </w:tc>
        <w:tc>
          <w:tcPr>
            <w:tcW w:w="2960" w:type="dxa"/>
            <w:vAlign w:val="bottom"/>
            <w:tcBorders>
              <w:bottom w:val="single" w:sz="8" w:color="E5E5E5"/>
            </w:tcBorders>
          </w:tcPr>
          <w:p>
            <w:pPr>
              <w:spacing w:after="0"/>
              <w:rPr>
                <w:sz w:val="2"/>
                <w:szCs w:val="2"/>
                <w:color w:val="auto"/>
              </w:rPr>
            </w:pPr>
          </w:p>
        </w:tc>
        <w:tc>
          <w:tcPr>
            <w:tcW w:w="2900" w:type="dxa"/>
            <w:vAlign w:val="bottom"/>
            <w:tcBorders>
              <w:bottom w:val="single" w:sz="8" w:color="E5E5E5"/>
              <w:right w:val="single" w:sz="8" w:color="E5E5E5"/>
            </w:tcBorders>
          </w:tcPr>
          <w:p>
            <w:pPr>
              <w:spacing w:after="0"/>
              <w:rPr>
                <w:sz w:val="2"/>
                <w:szCs w:val="2"/>
                <w:color w:val="auto"/>
              </w:rPr>
            </w:pPr>
          </w:p>
        </w:tc>
      </w:tr>
      <w:tr>
        <w:trPr>
          <w:trHeight w:val="358"/>
        </w:trPr>
        <w:tc>
          <w:tcPr>
            <w:tcW w:w="5400" w:type="dxa"/>
            <w:vAlign w:val="bottom"/>
            <w:tcBorders>
              <w:bottom w:val="single" w:sz="8" w:color="E5E5E5"/>
            </w:tcBorders>
          </w:tcPr>
          <w:p>
            <w:pPr>
              <w:spacing w:after="0"/>
              <w:rPr>
                <w:sz w:val="24"/>
                <w:szCs w:val="24"/>
                <w:color w:val="auto"/>
              </w:rPr>
            </w:pPr>
          </w:p>
        </w:tc>
        <w:tc>
          <w:tcPr>
            <w:tcW w:w="2960" w:type="dxa"/>
            <w:vAlign w:val="bottom"/>
            <w:tcBorders>
              <w:bottom w:val="single" w:sz="8" w:color="E5E5E5"/>
            </w:tcBorders>
          </w:tcPr>
          <w:p>
            <w:pPr>
              <w:spacing w:after="0"/>
              <w:rPr>
                <w:sz w:val="24"/>
                <w:szCs w:val="24"/>
                <w:color w:val="auto"/>
              </w:rPr>
            </w:pPr>
          </w:p>
        </w:tc>
        <w:tc>
          <w:tcPr>
            <w:tcW w:w="2900" w:type="dxa"/>
            <w:vAlign w:val="bottom"/>
            <w:tcBorders>
              <w:bottom w:val="single" w:sz="8" w:color="E5E5E5"/>
            </w:tcBorders>
          </w:tcPr>
          <w:p>
            <w:pPr>
              <w:spacing w:after="0"/>
              <w:rPr>
                <w:sz w:val="24"/>
                <w:szCs w:val="24"/>
                <w:color w:val="auto"/>
              </w:rPr>
            </w:pPr>
          </w:p>
        </w:tc>
      </w:tr>
      <w:tr>
        <w:trPr>
          <w:trHeight w:val="349"/>
        </w:trPr>
        <w:tc>
          <w:tcPr>
            <w:tcW w:w="5400" w:type="dxa"/>
            <w:vAlign w:val="bottom"/>
            <w:tcBorders>
              <w:left w:val="single" w:sz="8" w:color="E5E5E5"/>
              <w:bottom w:val="single" w:sz="8" w:color="F7F7F7"/>
            </w:tcBorders>
            <w:shd w:val="clear" w:color="auto" w:fill="F7F7F7"/>
          </w:tcPr>
          <w:p>
            <w:pPr>
              <w:ind w:left="40"/>
              <w:spacing w:after="0"/>
              <w:rPr>
                <w:sz w:val="20"/>
                <w:szCs w:val="20"/>
                <w:color w:val="auto"/>
              </w:rPr>
            </w:pPr>
            <w:r>
              <w:rPr>
                <w:rFonts w:ascii="Arial" w:cs="Arial" w:eastAsia="Arial" w:hAnsi="Arial"/>
                <w:sz w:val="22"/>
                <w:szCs w:val="22"/>
                <w:b w:val="1"/>
                <w:bCs w:val="1"/>
                <w:color w:val="4B4B4B"/>
              </w:rPr>
              <w:t>Financial Metrics</w:t>
            </w:r>
          </w:p>
        </w:tc>
        <w:tc>
          <w:tcPr>
            <w:tcW w:w="2960" w:type="dxa"/>
            <w:vAlign w:val="bottom"/>
            <w:tcBorders>
              <w:bottom w:val="single" w:sz="8" w:color="F7F7F7"/>
            </w:tcBorders>
            <w:shd w:val="clear" w:color="auto" w:fill="F7F7F7"/>
          </w:tcPr>
          <w:p>
            <w:pPr>
              <w:ind w:left="1020"/>
              <w:spacing w:after="0"/>
              <w:rPr>
                <w:sz w:val="20"/>
                <w:szCs w:val="20"/>
                <w:color w:val="auto"/>
              </w:rPr>
            </w:pPr>
            <w:r>
              <w:rPr>
                <w:rFonts w:ascii="Arial" w:cs="Arial" w:eastAsia="Arial" w:hAnsi="Arial"/>
                <w:sz w:val="22"/>
                <w:szCs w:val="22"/>
                <w:b w:val="1"/>
                <w:bCs w:val="1"/>
                <w:color w:val="4B4B4B"/>
              </w:rPr>
              <w:t>Q1 2025</w:t>
            </w:r>
          </w:p>
        </w:tc>
        <w:tc>
          <w:tcPr>
            <w:tcW w:w="2900" w:type="dxa"/>
            <w:vAlign w:val="bottom"/>
            <w:tcBorders>
              <w:bottom w:val="single" w:sz="8" w:color="F7F7F7"/>
              <w:right w:val="single" w:sz="8" w:color="E5E5E5"/>
            </w:tcBorders>
            <w:shd w:val="clear" w:color="auto" w:fill="F7F7F7"/>
          </w:tcPr>
          <w:p>
            <w:pPr>
              <w:ind w:left="680"/>
              <w:spacing w:after="0"/>
              <w:rPr>
                <w:sz w:val="20"/>
                <w:szCs w:val="20"/>
                <w:color w:val="auto"/>
              </w:rPr>
            </w:pPr>
            <w:r>
              <w:rPr>
                <w:rFonts w:ascii="Arial" w:cs="Arial" w:eastAsia="Arial" w:hAnsi="Arial"/>
                <w:sz w:val="22"/>
                <w:szCs w:val="22"/>
                <w:b w:val="1"/>
                <w:bCs w:val="1"/>
                <w:color w:val="4B4B4B"/>
              </w:rPr>
              <w:t>Q1 2026</w:t>
            </w:r>
          </w:p>
        </w:tc>
      </w:tr>
      <w:tr>
        <w:trPr>
          <w:trHeight w:val="441"/>
        </w:trPr>
        <w:tc>
          <w:tcPr>
            <w:tcW w:w="5400" w:type="dxa"/>
            <w:vAlign w:val="bottom"/>
            <w:tcBorders>
              <w:top w:val="single" w:sz="8" w:color="E5E5E5"/>
              <w:left w:val="single" w:sz="8" w:color="E5E5E5"/>
            </w:tcBorders>
          </w:tcPr>
          <w:p>
            <w:pPr>
              <w:ind w:left="40"/>
              <w:spacing w:after="0"/>
              <w:rPr>
                <w:sz w:val="20"/>
                <w:szCs w:val="20"/>
                <w:color w:val="auto"/>
              </w:rPr>
            </w:pPr>
            <w:r>
              <w:rPr>
                <w:rFonts w:ascii="Arial" w:cs="Arial" w:eastAsia="Arial" w:hAnsi="Arial"/>
                <w:sz w:val="22"/>
                <w:szCs w:val="22"/>
                <w:b w:val="1"/>
                <w:bCs w:val="1"/>
                <w:color w:val="4B4B4B"/>
              </w:rPr>
              <w:t>Revenue</w:t>
            </w:r>
          </w:p>
        </w:tc>
        <w:tc>
          <w:tcPr>
            <w:tcW w:w="2960" w:type="dxa"/>
            <w:vAlign w:val="bottom"/>
            <w:tcBorders>
              <w:top w:val="single" w:sz="8" w:color="E5E5E5"/>
            </w:tcBorders>
          </w:tcPr>
          <w:p>
            <w:pPr>
              <w:ind w:left="1020"/>
              <w:spacing w:after="0"/>
              <w:rPr>
                <w:sz w:val="20"/>
                <w:szCs w:val="20"/>
                <w:color w:val="auto"/>
              </w:rPr>
            </w:pPr>
            <w:r>
              <w:rPr>
                <w:rFonts w:ascii="Arial" w:cs="Arial" w:eastAsia="Arial" w:hAnsi="Arial"/>
                <w:sz w:val="32"/>
                <w:szCs w:val="32"/>
                <w:b w:val="1"/>
                <w:bCs w:val="1"/>
                <w:color w:val="1CB0F6"/>
              </w:rPr>
              <w:t>$230.7M</w:t>
            </w:r>
          </w:p>
        </w:tc>
        <w:tc>
          <w:tcPr>
            <w:tcW w:w="2900" w:type="dxa"/>
            <w:vAlign w:val="bottom"/>
            <w:tcBorders>
              <w:top w:val="single" w:sz="8" w:color="E5E5E5"/>
              <w:right w:val="single" w:sz="8" w:color="E5E5E5"/>
            </w:tcBorders>
          </w:tcPr>
          <w:p>
            <w:pPr>
              <w:ind w:left="680"/>
              <w:spacing w:after="0"/>
              <w:rPr>
                <w:sz w:val="20"/>
                <w:szCs w:val="20"/>
                <w:color w:val="auto"/>
              </w:rPr>
            </w:pPr>
            <w:r>
              <w:rPr>
                <w:rFonts w:ascii="Arial" w:cs="Arial" w:eastAsia="Arial" w:hAnsi="Arial"/>
                <w:sz w:val="32"/>
                <w:szCs w:val="32"/>
                <w:b w:val="1"/>
                <w:bCs w:val="1"/>
                <w:color w:val="58CC02"/>
              </w:rPr>
              <w:t>$292.0M</w:t>
            </w:r>
          </w:p>
        </w:tc>
      </w:tr>
      <w:tr>
        <w:trPr>
          <w:trHeight w:val="238"/>
        </w:trPr>
        <w:tc>
          <w:tcPr>
            <w:tcW w:w="5400" w:type="dxa"/>
            <w:vAlign w:val="bottom"/>
            <w:tcBorders>
              <w:left w:val="single" w:sz="8" w:color="E5E5E5"/>
              <w:bottom w:val="single" w:sz="8" w:color="E5E5E5"/>
            </w:tcBorders>
          </w:tcPr>
          <w:p>
            <w:pPr>
              <w:spacing w:after="0"/>
              <w:rPr>
                <w:sz w:val="20"/>
                <w:szCs w:val="20"/>
                <w:color w:val="auto"/>
              </w:rPr>
            </w:pPr>
          </w:p>
        </w:tc>
        <w:tc>
          <w:tcPr>
            <w:tcW w:w="2960" w:type="dxa"/>
            <w:vAlign w:val="bottom"/>
            <w:tcBorders>
              <w:bottom w:val="single" w:sz="8" w:color="E5E5E5"/>
            </w:tcBorders>
          </w:tcPr>
          <w:p>
            <w:pPr>
              <w:spacing w:after="0"/>
              <w:rPr>
                <w:sz w:val="20"/>
                <w:szCs w:val="20"/>
                <w:color w:val="auto"/>
              </w:rPr>
            </w:pPr>
          </w:p>
        </w:tc>
        <w:tc>
          <w:tcPr>
            <w:tcW w:w="2900" w:type="dxa"/>
            <w:vAlign w:val="bottom"/>
            <w:tcBorders>
              <w:bottom w:val="single" w:sz="8" w:color="E5E5E5"/>
              <w:right w:val="single" w:sz="8" w:color="E5E5E5"/>
            </w:tcBorders>
          </w:tcPr>
          <w:p>
            <w:pPr>
              <w:ind w:left="680"/>
              <w:spacing w:after="0"/>
              <w:rPr>
                <w:sz w:val="20"/>
                <w:szCs w:val="20"/>
                <w:color w:val="auto"/>
              </w:rPr>
            </w:pPr>
            <w:r>
              <w:rPr>
                <w:rFonts w:ascii="Arial" w:cs="Arial" w:eastAsia="Arial" w:hAnsi="Arial"/>
                <w:sz w:val="16"/>
                <w:szCs w:val="16"/>
                <w:b w:val="1"/>
                <w:bCs w:val="1"/>
                <w:color w:val="4B4B4B"/>
              </w:rPr>
              <w:t>27% YoY</w:t>
            </w:r>
          </w:p>
        </w:tc>
      </w:tr>
      <w:tr>
        <w:trPr>
          <w:trHeight w:val="444"/>
        </w:trPr>
        <w:tc>
          <w:tcPr>
            <w:tcW w:w="5400" w:type="dxa"/>
            <w:vAlign w:val="bottom"/>
            <w:tcBorders>
              <w:left w:val="single" w:sz="8" w:color="E5E5E5"/>
            </w:tcBorders>
          </w:tcPr>
          <w:p>
            <w:pPr>
              <w:ind w:left="40"/>
              <w:spacing w:after="0"/>
              <w:rPr>
                <w:sz w:val="20"/>
                <w:szCs w:val="20"/>
                <w:color w:val="auto"/>
              </w:rPr>
            </w:pPr>
            <w:r>
              <w:rPr>
                <w:rFonts w:ascii="Arial" w:cs="Arial" w:eastAsia="Arial" w:hAnsi="Arial"/>
                <w:sz w:val="22"/>
                <w:szCs w:val="22"/>
                <w:b w:val="1"/>
                <w:bCs w:val="1"/>
                <w:color w:val="4B4B4B"/>
              </w:rPr>
              <w:t>Total Bookings</w:t>
            </w:r>
          </w:p>
        </w:tc>
        <w:tc>
          <w:tcPr>
            <w:tcW w:w="2960" w:type="dxa"/>
            <w:vAlign w:val="bottom"/>
          </w:tcPr>
          <w:p>
            <w:pPr>
              <w:ind w:left="1020"/>
              <w:spacing w:after="0"/>
              <w:rPr>
                <w:sz w:val="20"/>
                <w:szCs w:val="20"/>
                <w:color w:val="auto"/>
              </w:rPr>
            </w:pPr>
            <w:r>
              <w:rPr>
                <w:rFonts w:ascii="Arial" w:cs="Arial" w:eastAsia="Arial" w:hAnsi="Arial"/>
                <w:sz w:val="32"/>
                <w:szCs w:val="32"/>
                <w:b w:val="1"/>
                <w:bCs w:val="1"/>
                <w:color w:val="1CB0F6"/>
              </w:rPr>
              <w:t>$271.6M</w:t>
            </w:r>
          </w:p>
        </w:tc>
        <w:tc>
          <w:tcPr>
            <w:tcW w:w="2900" w:type="dxa"/>
            <w:vAlign w:val="bottom"/>
            <w:tcBorders>
              <w:right w:val="single" w:sz="8" w:color="E5E5E5"/>
            </w:tcBorders>
          </w:tcPr>
          <w:p>
            <w:pPr>
              <w:ind w:left="680"/>
              <w:spacing w:after="0"/>
              <w:rPr>
                <w:sz w:val="20"/>
                <w:szCs w:val="20"/>
                <w:color w:val="auto"/>
              </w:rPr>
            </w:pPr>
            <w:r>
              <w:rPr>
                <w:rFonts w:ascii="Arial" w:cs="Arial" w:eastAsia="Arial" w:hAnsi="Arial"/>
                <w:sz w:val="32"/>
                <w:szCs w:val="32"/>
                <w:b w:val="1"/>
                <w:bCs w:val="1"/>
                <w:color w:val="58CC02"/>
              </w:rPr>
              <w:t>$308.5M</w:t>
            </w:r>
          </w:p>
        </w:tc>
      </w:tr>
      <w:tr>
        <w:trPr>
          <w:trHeight w:val="238"/>
        </w:trPr>
        <w:tc>
          <w:tcPr>
            <w:tcW w:w="5400" w:type="dxa"/>
            <w:vAlign w:val="bottom"/>
            <w:tcBorders>
              <w:left w:val="single" w:sz="8" w:color="E5E5E5"/>
              <w:bottom w:val="single" w:sz="8" w:color="E5E5E5"/>
            </w:tcBorders>
          </w:tcPr>
          <w:p>
            <w:pPr>
              <w:spacing w:after="0"/>
              <w:rPr>
                <w:sz w:val="20"/>
                <w:szCs w:val="20"/>
                <w:color w:val="auto"/>
              </w:rPr>
            </w:pPr>
          </w:p>
        </w:tc>
        <w:tc>
          <w:tcPr>
            <w:tcW w:w="2960" w:type="dxa"/>
            <w:vAlign w:val="bottom"/>
            <w:tcBorders>
              <w:bottom w:val="single" w:sz="8" w:color="E5E5E5"/>
            </w:tcBorders>
          </w:tcPr>
          <w:p>
            <w:pPr>
              <w:spacing w:after="0"/>
              <w:rPr>
                <w:sz w:val="20"/>
                <w:szCs w:val="20"/>
                <w:color w:val="auto"/>
              </w:rPr>
            </w:pPr>
          </w:p>
        </w:tc>
        <w:tc>
          <w:tcPr>
            <w:tcW w:w="2900" w:type="dxa"/>
            <w:vAlign w:val="bottom"/>
            <w:tcBorders>
              <w:bottom w:val="single" w:sz="8" w:color="E5E5E5"/>
              <w:right w:val="single" w:sz="8" w:color="E5E5E5"/>
            </w:tcBorders>
          </w:tcPr>
          <w:p>
            <w:pPr>
              <w:ind w:left="680"/>
              <w:spacing w:after="0"/>
              <w:rPr>
                <w:sz w:val="20"/>
                <w:szCs w:val="20"/>
                <w:color w:val="auto"/>
              </w:rPr>
            </w:pPr>
            <w:r>
              <w:rPr>
                <w:rFonts w:ascii="Arial" w:cs="Arial" w:eastAsia="Arial" w:hAnsi="Arial"/>
                <w:sz w:val="16"/>
                <w:szCs w:val="16"/>
                <w:b w:val="1"/>
                <w:bCs w:val="1"/>
                <w:color w:val="4B4B4B"/>
              </w:rPr>
              <w:t>14% YoY</w:t>
            </w:r>
          </w:p>
        </w:tc>
      </w:tr>
      <w:tr>
        <w:trPr>
          <w:trHeight w:val="444"/>
        </w:trPr>
        <w:tc>
          <w:tcPr>
            <w:tcW w:w="5400" w:type="dxa"/>
            <w:vAlign w:val="bottom"/>
            <w:tcBorders>
              <w:left w:val="single" w:sz="8" w:color="E5E5E5"/>
            </w:tcBorders>
          </w:tcPr>
          <w:p>
            <w:pPr>
              <w:ind w:left="40"/>
              <w:spacing w:after="0"/>
              <w:rPr>
                <w:sz w:val="20"/>
                <w:szCs w:val="20"/>
                <w:color w:val="auto"/>
              </w:rPr>
            </w:pPr>
            <w:r>
              <w:rPr>
                <w:rFonts w:ascii="Arial" w:cs="Arial" w:eastAsia="Arial" w:hAnsi="Arial"/>
                <w:sz w:val="22"/>
                <w:szCs w:val="22"/>
                <w:b w:val="1"/>
                <w:bCs w:val="1"/>
                <w:color w:val="4B4B4B"/>
              </w:rPr>
              <w:t>Net Income</w:t>
            </w:r>
          </w:p>
        </w:tc>
        <w:tc>
          <w:tcPr>
            <w:tcW w:w="2960" w:type="dxa"/>
            <w:vAlign w:val="bottom"/>
          </w:tcPr>
          <w:p>
            <w:pPr>
              <w:ind w:left="1020"/>
              <w:spacing w:after="0"/>
              <w:rPr>
                <w:sz w:val="20"/>
                <w:szCs w:val="20"/>
                <w:color w:val="auto"/>
              </w:rPr>
            </w:pPr>
            <w:r>
              <w:rPr>
                <w:rFonts w:ascii="Arial" w:cs="Arial" w:eastAsia="Arial" w:hAnsi="Arial"/>
                <w:sz w:val="32"/>
                <w:szCs w:val="32"/>
                <w:b w:val="1"/>
                <w:bCs w:val="1"/>
                <w:color w:val="1CB0F6"/>
              </w:rPr>
              <w:t>$35.1M</w:t>
            </w:r>
          </w:p>
        </w:tc>
        <w:tc>
          <w:tcPr>
            <w:tcW w:w="2900" w:type="dxa"/>
            <w:vAlign w:val="bottom"/>
            <w:tcBorders>
              <w:right w:val="single" w:sz="8" w:color="E5E5E5"/>
            </w:tcBorders>
          </w:tcPr>
          <w:p>
            <w:pPr>
              <w:ind w:left="680"/>
              <w:spacing w:after="0"/>
              <w:rPr>
                <w:sz w:val="20"/>
                <w:szCs w:val="20"/>
                <w:color w:val="auto"/>
              </w:rPr>
            </w:pPr>
            <w:r>
              <w:rPr>
                <w:rFonts w:ascii="Arial" w:cs="Arial" w:eastAsia="Arial" w:hAnsi="Arial"/>
                <w:sz w:val="32"/>
                <w:szCs w:val="32"/>
                <w:b w:val="1"/>
                <w:bCs w:val="1"/>
                <w:color w:val="58CC02"/>
              </w:rPr>
              <w:t>$43.5M</w:t>
            </w:r>
          </w:p>
        </w:tc>
      </w:tr>
      <w:tr>
        <w:trPr>
          <w:trHeight w:val="238"/>
        </w:trPr>
        <w:tc>
          <w:tcPr>
            <w:tcW w:w="5400" w:type="dxa"/>
            <w:vAlign w:val="bottom"/>
            <w:tcBorders>
              <w:left w:val="single" w:sz="8" w:color="E5E5E5"/>
              <w:bottom w:val="single" w:sz="8" w:color="E5E5E5"/>
            </w:tcBorders>
          </w:tcPr>
          <w:p>
            <w:pPr>
              <w:spacing w:after="0"/>
              <w:rPr>
                <w:sz w:val="20"/>
                <w:szCs w:val="20"/>
                <w:color w:val="auto"/>
              </w:rPr>
            </w:pPr>
          </w:p>
        </w:tc>
        <w:tc>
          <w:tcPr>
            <w:tcW w:w="2960" w:type="dxa"/>
            <w:vAlign w:val="bottom"/>
            <w:tcBorders>
              <w:bottom w:val="single" w:sz="8" w:color="E5E5E5"/>
            </w:tcBorders>
          </w:tcPr>
          <w:p>
            <w:pPr>
              <w:ind w:left="1020"/>
              <w:spacing w:after="0"/>
              <w:rPr>
                <w:sz w:val="20"/>
                <w:szCs w:val="20"/>
                <w:color w:val="auto"/>
              </w:rPr>
            </w:pPr>
            <w:r>
              <w:rPr>
                <w:rFonts w:ascii="Arial" w:cs="Arial" w:eastAsia="Arial" w:hAnsi="Arial"/>
                <w:sz w:val="16"/>
                <w:szCs w:val="16"/>
                <w:b w:val="1"/>
                <w:bCs w:val="1"/>
                <w:color w:val="4B4B4B"/>
              </w:rPr>
              <w:t>15.2% margin</w:t>
            </w:r>
          </w:p>
        </w:tc>
        <w:tc>
          <w:tcPr>
            <w:tcW w:w="2900" w:type="dxa"/>
            <w:vAlign w:val="bottom"/>
            <w:tcBorders>
              <w:bottom w:val="single" w:sz="8" w:color="E5E5E5"/>
              <w:right w:val="single" w:sz="8" w:color="E5E5E5"/>
            </w:tcBorders>
          </w:tcPr>
          <w:p>
            <w:pPr>
              <w:ind w:left="680"/>
              <w:spacing w:after="0"/>
              <w:rPr>
                <w:sz w:val="20"/>
                <w:szCs w:val="20"/>
                <w:color w:val="auto"/>
              </w:rPr>
            </w:pPr>
            <w:r>
              <w:rPr>
                <w:rFonts w:ascii="Arial" w:cs="Arial" w:eastAsia="Arial" w:hAnsi="Arial"/>
                <w:sz w:val="16"/>
                <w:szCs w:val="16"/>
                <w:b w:val="1"/>
                <w:bCs w:val="1"/>
                <w:color w:val="4B4B4B"/>
              </w:rPr>
              <w:t>14.9% margin</w:t>
            </w:r>
          </w:p>
        </w:tc>
      </w:tr>
      <w:tr>
        <w:trPr>
          <w:trHeight w:val="444"/>
        </w:trPr>
        <w:tc>
          <w:tcPr>
            <w:tcW w:w="5400" w:type="dxa"/>
            <w:vAlign w:val="bottom"/>
            <w:tcBorders>
              <w:left w:val="single" w:sz="8" w:color="E5E5E5"/>
            </w:tcBorders>
          </w:tcPr>
          <w:p>
            <w:pPr>
              <w:ind w:left="40"/>
              <w:spacing w:after="0"/>
              <w:rPr>
                <w:sz w:val="20"/>
                <w:szCs w:val="20"/>
                <w:color w:val="auto"/>
              </w:rPr>
            </w:pPr>
            <w:r>
              <w:rPr>
                <w:rFonts w:ascii="Arial" w:cs="Arial" w:eastAsia="Arial" w:hAnsi="Arial"/>
                <w:sz w:val="22"/>
                <w:szCs w:val="22"/>
                <w:b w:val="1"/>
                <w:bCs w:val="1"/>
                <w:color w:val="4B4B4B"/>
              </w:rPr>
              <w:t>Adjusted EBITDA</w:t>
            </w:r>
          </w:p>
        </w:tc>
        <w:tc>
          <w:tcPr>
            <w:tcW w:w="2960" w:type="dxa"/>
            <w:vAlign w:val="bottom"/>
          </w:tcPr>
          <w:p>
            <w:pPr>
              <w:ind w:left="1020"/>
              <w:spacing w:after="0"/>
              <w:rPr>
                <w:sz w:val="20"/>
                <w:szCs w:val="20"/>
                <w:color w:val="auto"/>
              </w:rPr>
            </w:pPr>
            <w:r>
              <w:rPr>
                <w:rFonts w:ascii="Arial" w:cs="Arial" w:eastAsia="Arial" w:hAnsi="Arial"/>
                <w:sz w:val="32"/>
                <w:szCs w:val="32"/>
                <w:b w:val="1"/>
                <w:bCs w:val="1"/>
                <w:color w:val="1CB0F6"/>
              </w:rPr>
              <w:t>$62.8M</w:t>
            </w:r>
          </w:p>
        </w:tc>
        <w:tc>
          <w:tcPr>
            <w:tcW w:w="2900" w:type="dxa"/>
            <w:vAlign w:val="bottom"/>
            <w:tcBorders>
              <w:right w:val="single" w:sz="8" w:color="E5E5E5"/>
            </w:tcBorders>
          </w:tcPr>
          <w:p>
            <w:pPr>
              <w:ind w:left="680"/>
              <w:spacing w:after="0"/>
              <w:rPr>
                <w:sz w:val="20"/>
                <w:szCs w:val="20"/>
                <w:color w:val="auto"/>
              </w:rPr>
            </w:pPr>
            <w:r>
              <w:rPr>
                <w:rFonts w:ascii="Arial" w:cs="Arial" w:eastAsia="Arial" w:hAnsi="Arial"/>
                <w:sz w:val="32"/>
                <w:szCs w:val="32"/>
                <w:b w:val="1"/>
                <w:bCs w:val="1"/>
                <w:color w:val="58CC02"/>
              </w:rPr>
              <w:t>$83.4M</w:t>
            </w:r>
          </w:p>
        </w:tc>
      </w:tr>
      <w:tr>
        <w:trPr>
          <w:trHeight w:val="238"/>
        </w:trPr>
        <w:tc>
          <w:tcPr>
            <w:tcW w:w="5400" w:type="dxa"/>
            <w:vAlign w:val="bottom"/>
            <w:tcBorders>
              <w:left w:val="single" w:sz="8" w:color="E5E5E5"/>
              <w:bottom w:val="single" w:sz="8" w:color="E5E5E5"/>
            </w:tcBorders>
          </w:tcPr>
          <w:p>
            <w:pPr>
              <w:spacing w:after="0"/>
              <w:rPr>
                <w:sz w:val="20"/>
                <w:szCs w:val="20"/>
                <w:color w:val="auto"/>
              </w:rPr>
            </w:pPr>
          </w:p>
        </w:tc>
        <w:tc>
          <w:tcPr>
            <w:tcW w:w="2960" w:type="dxa"/>
            <w:vAlign w:val="bottom"/>
            <w:tcBorders>
              <w:bottom w:val="single" w:sz="8" w:color="E5E5E5"/>
            </w:tcBorders>
          </w:tcPr>
          <w:p>
            <w:pPr>
              <w:ind w:left="1020"/>
              <w:spacing w:after="0"/>
              <w:rPr>
                <w:sz w:val="20"/>
                <w:szCs w:val="20"/>
                <w:color w:val="auto"/>
              </w:rPr>
            </w:pPr>
            <w:r>
              <w:rPr>
                <w:rFonts w:ascii="Arial" w:cs="Arial" w:eastAsia="Arial" w:hAnsi="Arial"/>
                <w:sz w:val="16"/>
                <w:szCs w:val="16"/>
                <w:b w:val="1"/>
                <w:bCs w:val="1"/>
                <w:color w:val="4B4B4B"/>
              </w:rPr>
              <w:t>27.2% margin</w:t>
            </w:r>
          </w:p>
        </w:tc>
        <w:tc>
          <w:tcPr>
            <w:tcW w:w="2900" w:type="dxa"/>
            <w:vAlign w:val="bottom"/>
            <w:tcBorders>
              <w:bottom w:val="single" w:sz="8" w:color="E5E5E5"/>
              <w:right w:val="single" w:sz="8" w:color="E5E5E5"/>
            </w:tcBorders>
          </w:tcPr>
          <w:p>
            <w:pPr>
              <w:ind w:left="680"/>
              <w:spacing w:after="0"/>
              <w:rPr>
                <w:sz w:val="20"/>
                <w:szCs w:val="20"/>
                <w:color w:val="auto"/>
              </w:rPr>
            </w:pPr>
            <w:r>
              <w:rPr>
                <w:rFonts w:ascii="Arial" w:cs="Arial" w:eastAsia="Arial" w:hAnsi="Arial"/>
                <w:sz w:val="16"/>
                <w:szCs w:val="16"/>
                <w:b w:val="1"/>
                <w:bCs w:val="1"/>
                <w:color w:val="4B4B4B"/>
              </w:rPr>
              <w:t>28.6% margin</w:t>
            </w:r>
          </w:p>
        </w:tc>
      </w:tr>
      <w:tr>
        <w:trPr>
          <w:trHeight w:val="444"/>
        </w:trPr>
        <w:tc>
          <w:tcPr>
            <w:tcW w:w="5400" w:type="dxa"/>
            <w:vAlign w:val="bottom"/>
            <w:tcBorders>
              <w:left w:val="single" w:sz="8" w:color="E5E5E5"/>
            </w:tcBorders>
          </w:tcPr>
          <w:p>
            <w:pPr>
              <w:ind w:left="40"/>
              <w:spacing w:after="0"/>
              <w:rPr>
                <w:sz w:val="20"/>
                <w:szCs w:val="20"/>
                <w:color w:val="auto"/>
              </w:rPr>
            </w:pPr>
            <w:r>
              <w:rPr>
                <w:rFonts w:ascii="Arial" w:cs="Arial" w:eastAsia="Arial" w:hAnsi="Arial"/>
                <w:sz w:val="22"/>
                <w:szCs w:val="22"/>
                <w:b w:val="1"/>
                <w:bCs w:val="1"/>
                <w:color w:val="4B4B4B"/>
              </w:rPr>
              <w:t>Net Cash Provided by Operating Activities</w:t>
            </w:r>
          </w:p>
        </w:tc>
        <w:tc>
          <w:tcPr>
            <w:tcW w:w="2960" w:type="dxa"/>
            <w:vAlign w:val="bottom"/>
          </w:tcPr>
          <w:p>
            <w:pPr>
              <w:ind w:left="1020"/>
              <w:spacing w:after="0"/>
              <w:rPr>
                <w:sz w:val="20"/>
                <w:szCs w:val="20"/>
                <w:color w:val="auto"/>
              </w:rPr>
            </w:pPr>
            <w:r>
              <w:rPr>
                <w:rFonts w:ascii="Arial" w:cs="Arial" w:eastAsia="Arial" w:hAnsi="Arial"/>
                <w:sz w:val="32"/>
                <w:szCs w:val="32"/>
                <w:b w:val="1"/>
                <w:bCs w:val="1"/>
                <w:color w:val="1CB0F6"/>
              </w:rPr>
              <w:t>$105.6M</w:t>
            </w:r>
          </w:p>
        </w:tc>
        <w:tc>
          <w:tcPr>
            <w:tcW w:w="2900" w:type="dxa"/>
            <w:vAlign w:val="bottom"/>
            <w:tcBorders>
              <w:right w:val="single" w:sz="8" w:color="E5E5E5"/>
            </w:tcBorders>
          </w:tcPr>
          <w:p>
            <w:pPr>
              <w:ind w:left="680"/>
              <w:spacing w:after="0"/>
              <w:rPr>
                <w:sz w:val="20"/>
                <w:szCs w:val="20"/>
                <w:color w:val="auto"/>
              </w:rPr>
            </w:pPr>
            <w:r>
              <w:rPr>
                <w:rFonts w:ascii="Arial" w:cs="Arial" w:eastAsia="Arial" w:hAnsi="Arial"/>
                <w:sz w:val="32"/>
                <w:szCs w:val="32"/>
                <w:b w:val="1"/>
                <w:bCs w:val="1"/>
                <w:color w:val="58CC02"/>
              </w:rPr>
              <w:t>$150.8M</w:t>
            </w:r>
          </w:p>
        </w:tc>
      </w:tr>
      <w:tr>
        <w:trPr>
          <w:trHeight w:val="238"/>
        </w:trPr>
        <w:tc>
          <w:tcPr>
            <w:tcW w:w="5400" w:type="dxa"/>
            <w:vAlign w:val="bottom"/>
            <w:tcBorders>
              <w:left w:val="single" w:sz="8" w:color="E5E5E5"/>
              <w:bottom w:val="single" w:sz="8" w:color="E5E5E5"/>
            </w:tcBorders>
          </w:tcPr>
          <w:p>
            <w:pPr>
              <w:spacing w:after="0"/>
              <w:rPr>
                <w:sz w:val="20"/>
                <w:szCs w:val="20"/>
                <w:color w:val="auto"/>
              </w:rPr>
            </w:pPr>
          </w:p>
        </w:tc>
        <w:tc>
          <w:tcPr>
            <w:tcW w:w="2960" w:type="dxa"/>
            <w:vAlign w:val="bottom"/>
            <w:tcBorders>
              <w:bottom w:val="single" w:sz="8" w:color="E5E5E5"/>
            </w:tcBorders>
          </w:tcPr>
          <w:p>
            <w:pPr>
              <w:ind w:left="1020"/>
              <w:spacing w:after="0"/>
              <w:rPr>
                <w:sz w:val="20"/>
                <w:szCs w:val="20"/>
                <w:color w:val="auto"/>
              </w:rPr>
            </w:pPr>
            <w:r>
              <w:rPr>
                <w:rFonts w:ascii="Arial" w:cs="Arial" w:eastAsia="Arial" w:hAnsi="Arial"/>
                <w:sz w:val="16"/>
                <w:szCs w:val="16"/>
                <w:b w:val="1"/>
                <w:bCs w:val="1"/>
                <w:color w:val="4B4B4B"/>
              </w:rPr>
              <w:t>45.8% margin</w:t>
            </w:r>
          </w:p>
        </w:tc>
        <w:tc>
          <w:tcPr>
            <w:tcW w:w="2900" w:type="dxa"/>
            <w:vAlign w:val="bottom"/>
            <w:tcBorders>
              <w:bottom w:val="single" w:sz="8" w:color="E5E5E5"/>
              <w:right w:val="single" w:sz="8" w:color="E5E5E5"/>
            </w:tcBorders>
          </w:tcPr>
          <w:p>
            <w:pPr>
              <w:ind w:left="680"/>
              <w:spacing w:after="0"/>
              <w:rPr>
                <w:sz w:val="20"/>
                <w:szCs w:val="20"/>
                <w:color w:val="auto"/>
              </w:rPr>
            </w:pPr>
            <w:r>
              <w:rPr>
                <w:rFonts w:ascii="Arial" w:cs="Arial" w:eastAsia="Arial" w:hAnsi="Arial"/>
                <w:sz w:val="16"/>
                <w:szCs w:val="16"/>
                <w:b w:val="1"/>
                <w:bCs w:val="1"/>
                <w:color w:val="4B4B4B"/>
              </w:rPr>
              <w:t>51.6% margin</w:t>
            </w:r>
          </w:p>
        </w:tc>
      </w:tr>
      <w:tr>
        <w:trPr>
          <w:trHeight w:val="444"/>
        </w:trPr>
        <w:tc>
          <w:tcPr>
            <w:tcW w:w="5400" w:type="dxa"/>
            <w:vAlign w:val="bottom"/>
            <w:tcBorders>
              <w:left w:val="single" w:sz="8" w:color="E5E5E5"/>
            </w:tcBorders>
          </w:tcPr>
          <w:p>
            <w:pPr>
              <w:ind w:left="40"/>
              <w:spacing w:after="0"/>
              <w:rPr>
                <w:sz w:val="20"/>
                <w:szCs w:val="20"/>
                <w:color w:val="auto"/>
              </w:rPr>
            </w:pPr>
            <w:r>
              <w:rPr>
                <w:rFonts w:ascii="Arial" w:cs="Arial" w:eastAsia="Arial" w:hAnsi="Arial"/>
                <w:sz w:val="22"/>
                <w:szCs w:val="22"/>
                <w:b w:val="1"/>
                <w:bCs w:val="1"/>
                <w:color w:val="4B4B4B"/>
              </w:rPr>
              <w:t>Free Cash Flow</w:t>
            </w:r>
          </w:p>
        </w:tc>
        <w:tc>
          <w:tcPr>
            <w:tcW w:w="2960" w:type="dxa"/>
            <w:vAlign w:val="bottom"/>
          </w:tcPr>
          <w:p>
            <w:pPr>
              <w:ind w:left="1020"/>
              <w:spacing w:after="0"/>
              <w:rPr>
                <w:sz w:val="20"/>
                <w:szCs w:val="20"/>
                <w:color w:val="auto"/>
              </w:rPr>
            </w:pPr>
            <w:r>
              <w:rPr>
                <w:rFonts w:ascii="Arial" w:cs="Arial" w:eastAsia="Arial" w:hAnsi="Arial"/>
                <w:sz w:val="32"/>
                <w:szCs w:val="32"/>
                <w:b w:val="1"/>
                <w:bCs w:val="1"/>
                <w:color w:val="1CB0F6"/>
              </w:rPr>
              <w:t>$103.0M</w:t>
            </w:r>
          </w:p>
        </w:tc>
        <w:tc>
          <w:tcPr>
            <w:tcW w:w="2900" w:type="dxa"/>
            <w:vAlign w:val="bottom"/>
            <w:tcBorders>
              <w:right w:val="single" w:sz="8" w:color="E5E5E5"/>
            </w:tcBorders>
          </w:tcPr>
          <w:p>
            <w:pPr>
              <w:ind w:left="680"/>
              <w:spacing w:after="0"/>
              <w:rPr>
                <w:sz w:val="20"/>
                <w:szCs w:val="20"/>
                <w:color w:val="auto"/>
              </w:rPr>
            </w:pPr>
            <w:r>
              <w:rPr>
                <w:rFonts w:ascii="Arial" w:cs="Arial" w:eastAsia="Arial" w:hAnsi="Arial"/>
                <w:sz w:val="32"/>
                <w:szCs w:val="32"/>
                <w:b w:val="1"/>
                <w:bCs w:val="1"/>
                <w:color w:val="58CC02"/>
              </w:rPr>
              <w:t>$147.8M</w:t>
            </w:r>
          </w:p>
        </w:tc>
      </w:tr>
      <w:tr>
        <w:trPr>
          <w:trHeight w:val="238"/>
        </w:trPr>
        <w:tc>
          <w:tcPr>
            <w:tcW w:w="5400" w:type="dxa"/>
            <w:vAlign w:val="bottom"/>
            <w:tcBorders>
              <w:left w:val="single" w:sz="8" w:color="E5E5E5"/>
              <w:bottom w:val="single" w:sz="8" w:color="E5E5E5"/>
            </w:tcBorders>
          </w:tcPr>
          <w:p>
            <w:pPr>
              <w:spacing w:after="0"/>
              <w:rPr>
                <w:sz w:val="20"/>
                <w:szCs w:val="20"/>
                <w:color w:val="auto"/>
              </w:rPr>
            </w:pPr>
          </w:p>
        </w:tc>
        <w:tc>
          <w:tcPr>
            <w:tcW w:w="2960" w:type="dxa"/>
            <w:vAlign w:val="bottom"/>
            <w:tcBorders>
              <w:bottom w:val="single" w:sz="8" w:color="E5E5E5"/>
            </w:tcBorders>
          </w:tcPr>
          <w:p>
            <w:pPr>
              <w:ind w:left="1020"/>
              <w:spacing w:after="0"/>
              <w:rPr>
                <w:sz w:val="20"/>
                <w:szCs w:val="20"/>
                <w:color w:val="auto"/>
              </w:rPr>
            </w:pPr>
            <w:r>
              <w:rPr>
                <w:rFonts w:ascii="Arial" w:cs="Arial" w:eastAsia="Arial" w:hAnsi="Arial"/>
                <w:sz w:val="16"/>
                <w:szCs w:val="16"/>
                <w:b w:val="1"/>
                <w:bCs w:val="1"/>
                <w:color w:val="4B4B4B"/>
              </w:rPr>
              <w:t>44.6% margin</w:t>
            </w:r>
          </w:p>
        </w:tc>
        <w:tc>
          <w:tcPr>
            <w:tcW w:w="2900" w:type="dxa"/>
            <w:vAlign w:val="bottom"/>
            <w:tcBorders>
              <w:bottom w:val="single" w:sz="8" w:color="E5E5E5"/>
              <w:right w:val="single" w:sz="8" w:color="E5E5E5"/>
            </w:tcBorders>
          </w:tcPr>
          <w:p>
            <w:pPr>
              <w:ind w:left="680"/>
              <w:spacing w:after="0"/>
              <w:rPr>
                <w:sz w:val="20"/>
                <w:szCs w:val="20"/>
                <w:color w:val="auto"/>
              </w:rPr>
            </w:pPr>
            <w:r>
              <w:rPr>
                <w:rFonts w:ascii="Arial" w:cs="Arial" w:eastAsia="Arial" w:hAnsi="Arial"/>
                <w:sz w:val="16"/>
                <w:szCs w:val="16"/>
                <w:b w:val="1"/>
                <w:bCs w:val="1"/>
                <w:color w:val="4B4B4B"/>
              </w:rPr>
              <w:t>50.6% margin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00" w:type="dxa"/>
            <w:vAlign w:val="bottom"/>
          </w:tcPr>
          <w:p>
            <w:pPr>
              <w:spacing w:after="0"/>
              <w:rPr>
                <w:sz w:val="20"/>
                <w:szCs w:val="20"/>
                <w:color w:val="auto"/>
              </w:rPr>
            </w:pPr>
            <w:r>
              <w:rPr>
                <w:rFonts w:ascii="Arial" w:cs="Arial" w:eastAsia="Arial" w:hAnsi="Arial"/>
                <w:sz w:val="15"/>
                <w:szCs w:val="15"/>
                <w:color w:val="AFAFAF"/>
              </w:rPr>
              <w:t>DUOLINGO Q1 / FY 2026</w:t>
            </w:r>
          </w:p>
        </w:tc>
        <w:tc>
          <w:tcPr>
            <w:tcW w:w="800" w:type="dxa"/>
            <w:vAlign w:val="bottom"/>
          </w:tcPr>
          <w:p>
            <w:pPr>
              <w:jc w:val="right"/>
              <w:spacing w:after="0"/>
              <w:rPr>
                <w:sz w:val="20"/>
                <w:szCs w:val="20"/>
                <w:color w:val="auto"/>
              </w:rPr>
            </w:pPr>
            <w:r>
              <w:rPr>
                <w:rFonts w:ascii="Arial" w:cs="Arial" w:eastAsia="Arial" w:hAnsi="Arial"/>
                <w:sz w:val="15"/>
                <w:szCs w:val="15"/>
                <w:color w:val="AFAFAF"/>
              </w:rPr>
              <w:t>3</w:t>
            </w:r>
          </w:p>
        </w:tc>
      </w:tr>
    </w:tbl>
    <w:p>
      <w:pPr>
        <w:sectPr>
          <w:pgSz w:w="11900" w:h="16838" w:orient="portrait"/>
          <w:cols w:equalWidth="0" w:num="1">
            <w:col w:w="11260"/>
          </w:cols>
          <w:pgMar w:left="320" w:top="1270" w:right="31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4B4B4B"/>
        </w:rPr>
        <w:t>Dear shareholders,</w:t>
      </w:r>
    </w:p>
    <w:p>
      <w:pPr>
        <w:spacing w:after="0" w:line="310" w:lineRule="exact"/>
        <w:rPr>
          <w:sz w:val="20"/>
          <w:szCs w:val="20"/>
          <w:color w:val="auto"/>
        </w:rPr>
      </w:pPr>
    </w:p>
    <w:p>
      <w:pPr>
        <w:ind w:right="80"/>
        <w:spacing w:after="0" w:line="344" w:lineRule="auto"/>
        <w:rPr>
          <w:sz w:val="20"/>
          <w:szCs w:val="20"/>
          <w:color w:val="auto"/>
        </w:rPr>
      </w:pPr>
      <w:r>
        <w:rPr>
          <w:rFonts w:ascii="Arial" w:cs="Arial" w:eastAsia="Arial" w:hAnsi="Arial"/>
          <w:sz w:val="19"/>
          <w:szCs w:val="19"/>
          <w:color w:val="4B4B4B"/>
        </w:rPr>
        <w:t>In Q1, we executed on the strategy we outlined in the last shareholder letter. It’s still too early to see the impact in our metrics, but our results so far are in line with what we expected.</w:t>
      </w:r>
    </w:p>
    <w:p>
      <w:pPr>
        <w:spacing w:after="0" w:line="184"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4B4B4B"/>
        </w:rPr>
        <w:t>As a reminder, our medium-term goal is to reach 100 million DAUs in 2028. We believe that a larger user base will make Duolingo a significantly more valuable company, so we are prioritizing teaching better and growing our audience. In this letter, we will share more about the work we are doing to improve the learning outcomes of our users.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4B4B4B"/>
        </w:rPr>
        <w:t>Speaking practice</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4B4B4B"/>
        </w:rPr>
        <w:t>Speaking practice, historically the biggest gap for learners on Duolingo, is now a core part of the product.</w:t>
      </w:r>
    </w:p>
    <w:p>
      <w:pPr>
        <w:spacing w:after="0" w:line="308" w:lineRule="exact"/>
        <w:rPr>
          <w:sz w:val="20"/>
          <w:szCs w:val="20"/>
          <w:color w:val="auto"/>
        </w:rPr>
      </w:pPr>
    </w:p>
    <w:p>
      <w:pPr>
        <w:spacing w:after="0" w:line="301" w:lineRule="auto"/>
        <w:rPr>
          <w:sz w:val="20"/>
          <w:szCs w:val="20"/>
          <w:color w:val="auto"/>
        </w:rPr>
      </w:pPr>
      <w:r>
        <w:rPr>
          <w:rFonts w:ascii="Arial" w:cs="Arial" w:eastAsia="Arial" w:hAnsi="Arial"/>
          <w:sz w:val="19"/>
          <w:szCs w:val="19"/>
          <w:color w:val="4B4B4B"/>
        </w:rPr>
        <w:t xml:space="preserve">For paid subscribers, </w:t>
      </w:r>
      <w:r>
        <w:rPr>
          <w:rFonts w:ascii="Arial" w:cs="Arial" w:eastAsia="Arial" w:hAnsi="Arial"/>
          <w:sz w:val="19"/>
          <w:szCs w:val="19"/>
          <w:b w:val="1"/>
          <w:bCs w:val="1"/>
          <w:color w:val="1CB0F6"/>
        </w:rPr>
        <w:t>Video Call</w:t>
      </w:r>
      <w:r>
        <w:rPr>
          <w:rFonts w:ascii="Arial" w:cs="Arial" w:eastAsia="Arial" w:hAnsi="Arial"/>
          <w:sz w:val="19"/>
          <w:szCs w:val="19"/>
          <w:color w:val="4B4B4B"/>
        </w:rPr>
        <w:t xml:space="preserve"> continues to improve and remains one of our most impactful features. Over the last year, we've </w:t>
      </w:r>
      <w:r>
        <w:rPr>
          <w:rFonts w:ascii="Arial" w:cs="Arial" w:eastAsia="Arial" w:hAnsi="Arial"/>
          <w:sz w:val="19"/>
          <w:szCs w:val="19"/>
          <w:b w:val="1"/>
          <w:bCs w:val="1"/>
          <w:color w:val="4B4B4B"/>
        </w:rPr>
        <w:t>more</w:t>
      </w:r>
      <w:r>
        <w:rPr>
          <w:rFonts w:ascii="Arial" w:cs="Arial" w:eastAsia="Arial" w:hAnsi="Arial"/>
          <w:sz w:val="19"/>
          <w:szCs w:val="19"/>
          <w:color w:val="4B4B4B"/>
        </w:rPr>
        <w:t xml:space="preserve"> </w:t>
      </w:r>
      <w:r>
        <w:rPr>
          <w:rFonts w:ascii="Arial" w:cs="Arial" w:eastAsia="Arial" w:hAnsi="Arial"/>
          <w:sz w:val="19"/>
          <w:szCs w:val="19"/>
          <w:b w:val="1"/>
          <w:bCs w:val="1"/>
          <w:color w:val="4B4B4B"/>
        </w:rPr>
        <w:t>than doubled the average number of words spoken per user in Video Call</w:t>
      </w:r>
      <w:r>
        <w:rPr>
          <w:rFonts w:ascii="Arial" w:cs="Arial" w:eastAsia="Arial" w:hAnsi="Arial"/>
          <w:sz w:val="19"/>
          <w:szCs w:val="19"/>
          <w:color w:val="4B4B4B"/>
        </w:rPr>
        <w:t>. And as promised in our last shareholder letter, we’re</w:t>
      </w:r>
      <w:r>
        <w:rPr>
          <w:rFonts w:ascii="Arial" w:cs="Arial" w:eastAsia="Arial" w:hAnsi="Arial"/>
          <w:sz w:val="19"/>
          <w:szCs w:val="19"/>
          <w:b w:val="1"/>
          <w:bCs w:val="1"/>
          <w:color w:val="4B4B4B"/>
        </w:rPr>
        <w:t xml:space="preserve"> </w:t>
      </w:r>
      <w:r>
        <w:rPr>
          <w:rFonts w:ascii="Arial" w:cs="Arial" w:eastAsia="Arial" w:hAnsi="Arial"/>
          <w:sz w:val="19"/>
          <w:szCs w:val="19"/>
          <w:color w:val="4B4B4B"/>
        </w:rPr>
        <w:t>starting to expand access to Video Call to Super subscribers.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4B4B4B"/>
        </w:rPr>
        <w:t>For free and paid users, we’ve introduced several new ways to practice speaking:</w:t>
      </w:r>
    </w:p>
    <w:p>
      <w:pPr>
        <w:spacing w:after="0" w:line="52" w:lineRule="exact"/>
        <w:rPr>
          <w:sz w:val="20"/>
          <w:szCs w:val="20"/>
          <w:color w:val="auto"/>
        </w:rPr>
      </w:pPr>
    </w:p>
    <w:p>
      <w:pPr>
        <w:ind w:left="500" w:right="560" w:hanging="249"/>
        <w:spacing w:after="0" w:line="311" w:lineRule="auto"/>
        <w:tabs>
          <w:tab w:leader="none" w:pos="472" w:val="left"/>
        </w:tabs>
        <w:numPr>
          <w:ilvl w:val="0"/>
          <w:numId w:val="2"/>
        </w:numPr>
        <w:rPr>
          <w:rFonts w:ascii="Arial" w:cs="Arial" w:eastAsia="Arial" w:hAnsi="Arial"/>
          <w:sz w:val="19"/>
          <w:szCs w:val="19"/>
          <w:color w:val="4B4B4B"/>
        </w:rPr>
      </w:pPr>
      <w:r>
        <w:rPr>
          <w:rFonts w:ascii="Arial" w:cs="Arial" w:eastAsia="Arial" w:hAnsi="Arial"/>
          <w:sz w:val="19"/>
          <w:szCs w:val="19"/>
          <w:b w:val="1"/>
          <w:bCs w:val="1"/>
          <w:color w:val="4B4B4B"/>
        </w:rPr>
        <w:t xml:space="preserve">Spoken tokens </w:t>
      </w:r>
      <w:r>
        <w:rPr>
          <w:rFonts w:ascii="Arial" w:cs="Arial" w:eastAsia="Arial" w:hAnsi="Arial"/>
          <w:sz w:val="19"/>
          <w:szCs w:val="19"/>
          <w:color w:val="4B4B4B"/>
        </w:rPr>
        <w:t>allow learners to speak their answers to most exercises instead of tapping the words. This is an important</w:t>
      </w:r>
      <w:r>
        <w:rPr>
          <w:rFonts w:ascii="Arial" w:cs="Arial" w:eastAsia="Arial" w:hAnsi="Arial"/>
          <w:sz w:val="19"/>
          <w:szCs w:val="19"/>
          <w:b w:val="1"/>
          <w:bCs w:val="1"/>
          <w:color w:val="4B4B4B"/>
        </w:rPr>
        <w:t xml:space="preserve"> </w:t>
      </w:r>
      <w:r>
        <w:rPr>
          <w:rFonts w:ascii="Arial" w:cs="Arial" w:eastAsia="Arial" w:hAnsi="Arial"/>
          <w:sz w:val="19"/>
          <w:szCs w:val="19"/>
          <w:color w:val="4B4B4B"/>
        </w:rPr>
        <w:t>change that enables almost every exercise in Duolingo to become speaking practice.</w:t>
      </w:r>
    </w:p>
    <w:p>
      <w:pPr>
        <w:ind w:left="500" w:right="940" w:hanging="249"/>
        <w:spacing w:after="0" w:line="311" w:lineRule="auto"/>
        <w:tabs>
          <w:tab w:leader="none" w:pos="472" w:val="left"/>
        </w:tabs>
        <w:numPr>
          <w:ilvl w:val="0"/>
          <w:numId w:val="2"/>
        </w:numPr>
        <w:rPr>
          <w:rFonts w:ascii="Arial" w:cs="Arial" w:eastAsia="Arial" w:hAnsi="Arial"/>
          <w:sz w:val="19"/>
          <w:szCs w:val="19"/>
          <w:color w:val="4B4B4B"/>
        </w:rPr>
      </w:pPr>
      <w:r>
        <w:rPr>
          <w:rFonts w:ascii="Arial" w:cs="Arial" w:eastAsia="Arial" w:hAnsi="Arial"/>
          <w:sz w:val="19"/>
          <w:szCs w:val="19"/>
          <w:b w:val="1"/>
          <w:bCs w:val="1"/>
          <w:color w:val="4B4B4B"/>
        </w:rPr>
        <w:t xml:space="preserve">Flashcards </w:t>
      </w:r>
      <w:r>
        <w:rPr>
          <w:rFonts w:ascii="Arial" w:cs="Arial" w:eastAsia="Arial" w:hAnsi="Arial"/>
          <w:sz w:val="19"/>
          <w:szCs w:val="19"/>
          <w:color w:val="4B4B4B"/>
        </w:rPr>
        <w:t>help learners build fast recall of words or phrases by saying them out loud, which is critical for developing</w:t>
      </w:r>
      <w:r>
        <w:rPr>
          <w:rFonts w:ascii="Arial" w:cs="Arial" w:eastAsia="Arial" w:hAnsi="Arial"/>
          <w:sz w:val="19"/>
          <w:szCs w:val="19"/>
          <w:b w:val="1"/>
          <w:bCs w:val="1"/>
          <w:color w:val="4B4B4B"/>
        </w:rPr>
        <w:t xml:space="preserve"> </w:t>
      </w:r>
      <w:r>
        <w:rPr>
          <w:rFonts w:ascii="Arial" w:cs="Arial" w:eastAsia="Arial" w:hAnsi="Arial"/>
          <w:sz w:val="19"/>
          <w:szCs w:val="19"/>
          <w:color w:val="4B4B4B"/>
        </w:rPr>
        <w:t>conversational skills.</w:t>
      </w:r>
    </w:p>
    <w:p>
      <w:pPr>
        <w:ind w:left="500" w:right="160" w:hanging="249"/>
        <w:spacing w:after="0" w:line="344" w:lineRule="auto"/>
        <w:tabs>
          <w:tab w:leader="none" w:pos="472" w:val="left"/>
        </w:tabs>
        <w:numPr>
          <w:ilvl w:val="0"/>
          <w:numId w:val="2"/>
        </w:numPr>
        <w:rPr>
          <w:rFonts w:ascii="Arial" w:cs="Arial" w:eastAsia="Arial" w:hAnsi="Arial"/>
          <w:sz w:val="19"/>
          <w:szCs w:val="19"/>
          <w:color w:val="4B4B4B"/>
        </w:rPr>
      </w:pPr>
      <w:r>
        <w:rPr>
          <w:rFonts w:ascii="Arial" w:cs="Arial" w:eastAsia="Arial" w:hAnsi="Arial"/>
          <w:sz w:val="19"/>
          <w:szCs w:val="19"/>
          <w:b w:val="1"/>
          <w:bCs w:val="1"/>
          <w:color w:val="4B4B4B"/>
        </w:rPr>
        <w:t xml:space="preserve">Speaking Adventures </w:t>
      </w:r>
      <w:r>
        <w:rPr>
          <w:rFonts w:ascii="Arial" w:cs="Arial" w:eastAsia="Arial" w:hAnsi="Arial"/>
          <w:sz w:val="19"/>
          <w:szCs w:val="19"/>
          <w:color w:val="4B4B4B"/>
        </w:rPr>
        <w:t>prepare learners for conversations by having them complete real-world tasks that require speaking with</w:t>
      </w:r>
      <w:r>
        <w:rPr>
          <w:rFonts w:ascii="Arial" w:cs="Arial" w:eastAsia="Arial" w:hAnsi="Arial"/>
          <w:sz w:val="19"/>
          <w:szCs w:val="19"/>
          <w:b w:val="1"/>
          <w:bCs w:val="1"/>
          <w:color w:val="4B4B4B"/>
        </w:rPr>
        <w:t xml:space="preserve"> </w:t>
      </w:r>
      <w:r>
        <w:rPr>
          <w:rFonts w:ascii="Arial" w:cs="Arial" w:eastAsia="Arial" w:hAnsi="Arial"/>
          <w:sz w:val="19"/>
          <w:szCs w:val="19"/>
          <w:color w:val="4B4B4B"/>
        </w:rPr>
        <w:t>our characters. These scenarios come from the course curriculum, reinforcing concepts users are learning.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5726430" cy="2606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2643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00" w:type="dxa"/>
            <w:vAlign w:val="bottom"/>
          </w:tcPr>
          <w:p>
            <w:pPr>
              <w:spacing w:after="0"/>
              <w:rPr>
                <w:sz w:val="20"/>
                <w:szCs w:val="20"/>
                <w:color w:val="auto"/>
              </w:rPr>
            </w:pPr>
            <w:r>
              <w:rPr>
                <w:rFonts w:ascii="Arial" w:cs="Arial" w:eastAsia="Arial" w:hAnsi="Arial"/>
                <w:sz w:val="15"/>
                <w:szCs w:val="15"/>
                <w:color w:val="AFAFAF"/>
              </w:rPr>
              <w:t>DUOLINGO Q1 / FY 2026</w:t>
            </w:r>
          </w:p>
        </w:tc>
        <w:tc>
          <w:tcPr>
            <w:tcW w:w="800" w:type="dxa"/>
            <w:vAlign w:val="bottom"/>
          </w:tcPr>
          <w:p>
            <w:pPr>
              <w:jc w:val="right"/>
              <w:spacing w:after="0"/>
              <w:rPr>
                <w:sz w:val="20"/>
                <w:szCs w:val="20"/>
                <w:color w:val="auto"/>
              </w:rPr>
            </w:pPr>
            <w:r>
              <w:rPr>
                <w:rFonts w:ascii="Arial" w:cs="Arial" w:eastAsia="Arial" w:hAnsi="Arial"/>
                <w:sz w:val="15"/>
                <w:szCs w:val="15"/>
                <w:color w:val="AFAFAF"/>
              </w:rPr>
              <w:t>4</w:t>
            </w:r>
          </w:p>
        </w:tc>
      </w:tr>
    </w:tbl>
    <w:p>
      <w:pPr>
        <w:sectPr>
          <w:pgSz w:w="11900" w:h="16838" w:orient="portrait"/>
          <w:cols w:equalWidth="0" w:num="1">
            <w:col w:w="11220"/>
          </w:cols>
          <w:pgMar w:left="320" w:top="1270" w:right="359" w:bottom="1440" w:gutter="0" w:footer="0" w:header="0"/>
        </w:sectPr>
      </w:pPr>
    </w:p>
    <w:bookmarkStart w:id="9" w:name="page10"/>
    <w:bookmarkEnd w:id="9"/>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4B4B4B"/>
        </w:rPr>
        <w:t>Scaling learning content</w:t>
      </w:r>
    </w:p>
    <w:p>
      <w:pPr>
        <w:spacing w:after="0" w:line="65" w:lineRule="exact"/>
        <w:rPr>
          <w:sz w:val="20"/>
          <w:szCs w:val="20"/>
          <w:color w:val="auto"/>
        </w:rPr>
      </w:pPr>
    </w:p>
    <w:p>
      <w:pPr>
        <w:spacing w:after="0" w:line="328" w:lineRule="auto"/>
        <w:rPr>
          <w:sz w:val="20"/>
          <w:szCs w:val="20"/>
          <w:color w:val="auto"/>
        </w:rPr>
      </w:pPr>
      <w:r>
        <w:rPr>
          <w:rFonts w:ascii="Arial" w:cs="Arial" w:eastAsia="Arial" w:hAnsi="Arial"/>
          <w:sz w:val="19"/>
          <w:szCs w:val="19"/>
          <w:color w:val="4B4B4B"/>
        </w:rPr>
        <w:t>We’ve now launched content up to Duolingo Score 129 (CEFR B2) across courses teaching our 9 most-learned languages, so learners can use Duolingo to reach professional proficiency. Given the number of language combinations we teach, expanding to this level required building an enormous amount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5726430" cy="2606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2643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FAFAF"/>
        </w:rPr>
        <w:t>The left table shows our course coverage in Q1 2024 versus the right table, which shows coverage in Q1 2026.</w:t>
      </w:r>
    </w:p>
    <w:p>
      <w:pPr>
        <w:spacing w:after="0" w:line="304" w:lineRule="exact"/>
        <w:rPr>
          <w:sz w:val="20"/>
          <w:szCs w:val="20"/>
          <w:color w:val="auto"/>
        </w:rPr>
      </w:pPr>
    </w:p>
    <w:p>
      <w:pPr>
        <w:ind w:right="20"/>
        <w:spacing w:after="0" w:line="319" w:lineRule="auto"/>
        <w:rPr>
          <w:sz w:val="20"/>
          <w:szCs w:val="20"/>
          <w:color w:val="auto"/>
        </w:rPr>
      </w:pPr>
      <w:r>
        <w:rPr>
          <w:rFonts w:ascii="Arial" w:cs="Arial" w:eastAsia="Arial" w:hAnsi="Arial"/>
          <w:sz w:val="19"/>
          <w:szCs w:val="19"/>
          <w:color w:val="4B4B4B"/>
        </w:rPr>
        <w:t xml:space="preserve">We’ve been able to achieve this by investing in AI tools that fundamentally change how quickly we can create content. In Q1 2026 alone, we published </w:t>
      </w:r>
      <w:r>
        <w:rPr>
          <w:rFonts w:ascii="Arial" w:cs="Arial" w:eastAsia="Arial" w:hAnsi="Arial"/>
          <w:sz w:val="19"/>
          <w:szCs w:val="19"/>
          <w:b w:val="1"/>
          <w:bCs w:val="1"/>
          <w:color w:val="4B4B4B"/>
        </w:rPr>
        <w:t>20,500 course units</w:t>
      </w:r>
      <w:r>
        <w:rPr>
          <w:rFonts w:ascii="Arial" w:cs="Arial" w:eastAsia="Arial" w:hAnsi="Arial"/>
          <w:sz w:val="19"/>
          <w:szCs w:val="19"/>
          <w:color w:val="4B4B4B"/>
        </w:rPr>
        <w:t xml:space="preserve"> (collections of lessons that teach vocabulary and grammar topics) across our language courses, up from 7,100 per quarter in 2025 and 1,800 per quarter in 2024. Automating more of our content creation process also lets us iterate in ways that were not possible before. We can now push changes across many courses at once and improve quality more quickly and consistently. This is already improving engagement among new users.</w:t>
      </w:r>
    </w:p>
    <w:p>
      <w:pPr>
        <w:spacing w:after="0" w:line="208" w:lineRule="exact"/>
        <w:rPr>
          <w:sz w:val="20"/>
          <w:szCs w:val="20"/>
          <w:color w:val="auto"/>
        </w:rPr>
      </w:pPr>
    </w:p>
    <w:p>
      <w:pPr>
        <w:jc w:val="both"/>
        <w:ind w:right="140"/>
        <w:spacing w:after="0" w:line="328" w:lineRule="auto"/>
        <w:rPr>
          <w:sz w:val="20"/>
          <w:szCs w:val="20"/>
          <w:color w:val="auto"/>
        </w:rPr>
      </w:pPr>
      <w:r>
        <w:rPr>
          <w:rFonts w:ascii="Arial" w:cs="Arial" w:eastAsia="Arial" w:hAnsi="Arial"/>
          <w:sz w:val="19"/>
          <w:szCs w:val="19"/>
          <w:color w:val="4B4B4B"/>
        </w:rPr>
        <w:t>We’ve also been focused on improving our Chinese, Japanese, and Korean courses. These are some of our most popular courses, but they can feel challenging because of the character writing systems. We’re making them more approachable by simplifying early lessons and making characters easier to learn.</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4B4B4B"/>
        </w:rPr>
        <w:t>Checking for mastery</w:t>
      </w:r>
    </w:p>
    <w:p>
      <w:pPr>
        <w:spacing w:after="0" w:line="6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4B4B4B"/>
        </w:rPr>
        <w:t>We’ve added a session at the end of each unit of content to assess learners’ mastery. This is better for learning outcomes because it won’t let users proceed until they’ve mastered the previous concepts. Just as importantly, it provides us with a valuable signal about how well each unit of content teaches, which enables us to better iterate on the quality of our teaching.</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3200" w:val="left"/>
        </w:tabs>
        <w:rPr>
          <w:sz w:val="20"/>
          <w:szCs w:val="20"/>
          <w:color w:val="auto"/>
        </w:rPr>
      </w:pPr>
      <w:r>
        <w:rPr>
          <w:rFonts w:ascii="Arial" w:cs="Arial" w:eastAsia="Arial" w:hAnsi="Arial"/>
          <w:sz w:val="15"/>
          <w:szCs w:val="15"/>
          <w:color w:val="AFAFAF"/>
        </w:rPr>
        <w:t>DUOLINGO Q1 / FY 2026</w:t>
      </w:r>
      <w:r>
        <w:rPr>
          <w:sz w:val="20"/>
          <w:szCs w:val="20"/>
          <w:color w:val="auto"/>
        </w:rPr>
        <w:tab/>
      </w:r>
      <w:r>
        <w:rPr>
          <w:rFonts w:ascii="Arial" w:cs="Arial" w:eastAsia="Arial" w:hAnsi="Arial"/>
          <w:sz w:val="14"/>
          <w:szCs w:val="14"/>
          <w:color w:val="AFAFAF"/>
        </w:rPr>
        <w:t>5</w:t>
      </w:r>
    </w:p>
    <w:p>
      <w:pPr>
        <w:sectPr>
          <w:pgSz w:w="11900" w:h="16838" w:orient="portrait"/>
          <w:cols w:equalWidth="0" w:num="1">
            <w:col w:w="11100"/>
          </w:cols>
          <w:pgMar w:left="320" w:top="1440"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9"/>
          <w:szCs w:val="19"/>
          <w:b w:val="1"/>
          <w:bCs w:val="1"/>
          <w:color w:val="4B4B4B"/>
        </w:rPr>
        <w:t>Closing remarks</w:t>
      </w:r>
    </w:p>
    <w:p>
      <w:pPr>
        <w:spacing w:after="0" w:line="65" w:lineRule="exact"/>
        <w:rPr>
          <w:sz w:val="20"/>
          <w:szCs w:val="20"/>
          <w:color w:val="auto"/>
        </w:rPr>
      </w:pPr>
    </w:p>
    <w:p>
      <w:pPr>
        <w:spacing w:after="0" w:line="328" w:lineRule="auto"/>
        <w:rPr>
          <w:sz w:val="20"/>
          <w:szCs w:val="20"/>
          <w:color w:val="auto"/>
        </w:rPr>
      </w:pPr>
      <w:r>
        <w:rPr>
          <w:rFonts w:ascii="Arial" w:cs="Arial" w:eastAsia="Arial" w:hAnsi="Arial"/>
          <w:sz w:val="19"/>
          <w:szCs w:val="19"/>
          <w:color w:val="4B4B4B"/>
        </w:rPr>
        <w:t>We are early in our strategic shift, but one thing is already clear to us: Duolingo is better than ever. Speaking practice is now a core part of the experience, more courses teach intermediate and advanced levels, and we’re building features designed to ensure learners master concepts before they progress.</w:t>
      </w:r>
    </w:p>
    <w:p>
      <w:pPr>
        <w:spacing w:after="0" w:line="198" w:lineRule="exact"/>
        <w:rPr>
          <w:sz w:val="20"/>
          <w:szCs w:val="20"/>
          <w:color w:val="auto"/>
        </w:rPr>
      </w:pPr>
    </w:p>
    <w:p>
      <w:pPr>
        <w:ind w:right="60"/>
        <w:spacing w:after="0" w:line="322" w:lineRule="auto"/>
        <w:rPr>
          <w:sz w:val="20"/>
          <w:szCs w:val="20"/>
          <w:color w:val="auto"/>
        </w:rPr>
      </w:pPr>
      <w:r>
        <w:rPr>
          <w:rFonts w:ascii="Arial" w:cs="Arial" w:eastAsia="Arial" w:hAnsi="Arial"/>
          <w:sz w:val="19"/>
          <w:szCs w:val="19"/>
          <w:color w:val="4B4B4B"/>
        </w:rPr>
        <w:t>We believe that initiatives like these are key to realizing our long-term goals. Teaching better not only translates into better learning outcomes, but over time it can drive engagement, retention, growth, and brand credibility. We are moving quickly to prioritize the product and free user experience, while also investing in our next engines of growth, like chess, math, and music. We have conviction this is ultimately what will make us a larger and more durable company.</w:t>
      </w:r>
    </w:p>
    <w:p>
      <w:pPr>
        <w:spacing w:after="0" w:line="204" w:lineRule="exact"/>
        <w:rPr>
          <w:sz w:val="20"/>
          <w:szCs w:val="20"/>
          <w:color w:val="auto"/>
        </w:rPr>
      </w:pPr>
    </w:p>
    <w:p>
      <w:pPr>
        <w:ind w:right="700"/>
        <w:spacing w:after="0" w:line="344" w:lineRule="auto"/>
        <w:rPr>
          <w:sz w:val="20"/>
          <w:szCs w:val="20"/>
          <w:color w:val="auto"/>
        </w:rPr>
      </w:pPr>
      <w:r>
        <w:rPr>
          <w:rFonts w:ascii="Arial" w:cs="Arial" w:eastAsia="Arial" w:hAnsi="Arial"/>
          <w:sz w:val="19"/>
          <w:szCs w:val="19"/>
          <w:color w:val="4B4B4B"/>
        </w:rPr>
        <w:t>As part of us taking the long view in our business, we have also repurchased over 500,000 shares since our last earnings call, representing more than 100% of 2025 dilution.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4B4B4B"/>
        </w:rPr>
        <w:t>I am energized by what’s ahead of us, and I am thankful to all our investors for believing in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1602740" cy="891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027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4B4B4B"/>
        </w:rPr>
        <w:t>Luis von Ahn</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9"/>
          <w:szCs w:val="19"/>
          <w:color w:val="4B4B4B"/>
        </w:rPr>
        <w:t>CEO and Co-Founder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00" w:type="dxa"/>
            <w:vAlign w:val="bottom"/>
          </w:tcPr>
          <w:p>
            <w:pPr>
              <w:spacing w:after="0"/>
              <w:rPr>
                <w:sz w:val="20"/>
                <w:szCs w:val="20"/>
                <w:color w:val="auto"/>
              </w:rPr>
            </w:pPr>
            <w:r>
              <w:rPr>
                <w:rFonts w:ascii="Arial" w:cs="Arial" w:eastAsia="Arial" w:hAnsi="Arial"/>
                <w:sz w:val="15"/>
                <w:szCs w:val="15"/>
                <w:color w:val="AFAFAF"/>
              </w:rPr>
              <w:t>DUOLINGO Q1 / FY 2026</w:t>
            </w:r>
          </w:p>
        </w:tc>
        <w:tc>
          <w:tcPr>
            <w:tcW w:w="800" w:type="dxa"/>
            <w:vAlign w:val="bottom"/>
          </w:tcPr>
          <w:p>
            <w:pPr>
              <w:jc w:val="right"/>
              <w:spacing w:after="0"/>
              <w:rPr>
                <w:sz w:val="20"/>
                <w:szCs w:val="20"/>
                <w:color w:val="auto"/>
              </w:rPr>
            </w:pPr>
            <w:r>
              <w:rPr>
                <w:rFonts w:ascii="Arial" w:cs="Arial" w:eastAsia="Arial" w:hAnsi="Arial"/>
                <w:sz w:val="15"/>
                <w:szCs w:val="15"/>
                <w:color w:val="AFAFAF"/>
              </w:rPr>
              <w:t>6</w:t>
            </w:r>
          </w:p>
        </w:tc>
      </w:tr>
    </w:tbl>
    <w:p>
      <w:pPr>
        <w:sectPr>
          <w:pgSz w:w="11900" w:h="16838" w:orient="portrait"/>
          <w:cols w:equalWidth="0" w:num="1">
            <w:col w:w="11220"/>
          </w:cols>
          <w:pgMar w:left="320" w:top="1314" w:right="359" w:bottom="1440" w:gutter="0" w:footer="0" w:header="0"/>
        </w:sectPr>
      </w:pPr>
    </w:p>
    <w:bookmarkStart w:id="11" w:name="page12"/>
    <w:bookmarkEnd w:id="11"/>
    <w:p>
      <w:pPr>
        <w:spacing w:after="0" w:line="288" w:lineRule="auto"/>
        <w:rPr>
          <w:sz w:val="20"/>
          <w:szCs w:val="20"/>
          <w:color w:val="auto"/>
        </w:rPr>
      </w:pPr>
      <w:r>
        <w:rPr>
          <w:rFonts w:ascii="Times New Roman" w:cs="Times New Roman" w:eastAsia="Times New Roman" w:hAnsi="Times New Roman"/>
          <w:sz w:val="108"/>
          <w:szCs w:val="10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480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480810"/>
                    </a:xfrm>
                    <a:prstGeom prst="rect">
                      <a:avLst/>
                    </a:prstGeom>
                    <a:noFill/>
                  </pic:spPr>
                </pic:pic>
              </a:graphicData>
            </a:graphic>
          </wp:anchor>
        </w:drawing>
        <w:t>financial performance and outlook</w:t>
      </w:r>
    </w:p>
    <w:p>
      <w:pPr>
        <w:sectPr>
          <w:pgSz w:w="11900" w:h="16838" w:orient="portrait"/>
          <w:cols w:equalWidth="0" w:num="1">
            <w:col w:w="10240"/>
          </w:cols>
          <w:pgMar w:left="320" w:top="1207" w:right="1339" w:bottom="1440" w:gutter="0" w:footer="0" w:header="0"/>
        </w:sectPr>
      </w:pPr>
    </w:p>
    <w:bookmarkStart w:id="12" w:name="page13"/>
    <w:bookmarkEnd w:id="12"/>
    <w:p>
      <w:pPr>
        <w:ind w:left="20"/>
        <w:spacing w:after="0"/>
        <w:rPr>
          <w:sz w:val="20"/>
          <w:szCs w:val="20"/>
          <w:color w:val="auto"/>
        </w:rPr>
      </w:pPr>
      <w:r>
        <w:rPr>
          <w:rFonts w:ascii="Arial" w:cs="Arial" w:eastAsia="Arial" w:hAnsi="Arial"/>
          <w:sz w:val="23"/>
          <w:szCs w:val="23"/>
          <w:b w:val="1"/>
          <w:bCs w:val="1"/>
          <w:color w:val="4B4B4B"/>
        </w:rPr>
        <w:t>Summary of Financial and Key Operating Metrics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40" w:type="dxa"/>
            <w:vAlign w:val="bottom"/>
          </w:tcPr>
          <w:p>
            <w:pPr>
              <w:ind w:left="20"/>
              <w:spacing w:after="0"/>
              <w:rPr>
                <w:sz w:val="20"/>
                <w:szCs w:val="20"/>
                <w:color w:val="auto"/>
              </w:rPr>
            </w:pPr>
            <w:r>
              <w:rPr>
                <w:rFonts w:ascii="Arial" w:cs="Arial" w:eastAsia="Arial" w:hAnsi="Arial"/>
                <w:sz w:val="19"/>
                <w:szCs w:val="19"/>
                <w:b w:val="1"/>
                <w:bCs w:val="1"/>
                <w:color w:val="58CC02"/>
              </w:rPr>
              <w:t>(in millions)</w:t>
            </w:r>
          </w:p>
        </w:tc>
        <w:tc>
          <w:tcPr>
            <w:tcW w:w="3320" w:type="dxa"/>
            <w:vAlign w:val="bottom"/>
          </w:tcPr>
          <w:p>
            <w:pPr>
              <w:jc w:val="center"/>
              <w:ind w:left="1906"/>
              <w:spacing w:after="0"/>
              <w:rPr>
                <w:sz w:val="20"/>
                <w:szCs w:val="20"/>
                <w:color w:val="auto"/>
              </w:rPr>
            </w:pPr>
            <w:r>
              <w:rPr>
                <w:rFonts w:ascii="Arial" w:cs="Arial" w:eastAsia="Arial" w:hAnsi="Arial"/>
                <w:sz w:val="19"/>
                <w:szCs w:val="19"/>
                <w:b w:val="1"/>
                <w:bCs w:val="1"/>
                <w:color w:val="58CC02"/>
                <w:w w:val="98"/>
              </w:rPr>
              <w:t>Q1 2025</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58CC02"/>
                <w:w w:val="98"/>
              </w:rPr>
              <w:t>Q1 2026</w:t>
            </w:r>
          </w:p>
        </w:tc>
        <w:tc>
          <w:tcPr>
            <w:tcW w:w="1320" w:type="dxa"/>
            <w:vAlign w:val="bottom"/>
          </w:tcPr>
          <w:p>
            <w:pPr>
              <w:jc w:val="center"/>
              <w:spacing w:after="0"/>
              <w:rPr>
                <w:sz w:val="20"/>
                <w:szCs w:val="20"/>
                <w:color w:val="auto"/>
              </w:rPr>
            </w:pPr>
            <w:r>
              <w:rPr>
                <w:rFonts w:ascii="Arial" w:cs="Arial" w:eastAsia="Arial" w:hAnsi="Arial"/>
                <w:sz w:val="19"/>
                <w:szCs w:val="19"/>
                <w:b w:val="1"/>
                <w:bCs w:val="1"/>
                <w:color w:val="58CC02"/>
                <w:w w:val="91"/>
              </w:rPr>
              <w:t>YoY</w:t>
            </w:r>
          </w:p>
        </w:tc>
      </w:tr>
      <w:tr>
        <w:trPr>
          <w:trHeight w:val="290"/>
        </w:trPr>
        <w:tc>
          <w:tcPr>
            <w:tcW w:w="5240" w:type="dxa"/>
            <w:vAlign w:val="bottom"/>
            <w:tcBorders>
              <w:bottom w:val="single" w:sz="8" w:color="58CC02"/>
            </w:tcBorders>
            <w:shd w:val="clear" w:color="auto" w:fill="58CC02"/>
          </w:tcPr>
          <w:p>
            <w:pPr>
              <w:ind w:left="20"/>
              <w:spacing w:after="0"/>
              <w:rPr>
                <w:sz w:val="20"/>
                <w:szCs w:val="20"/>
                <w:color w:val="auto"/>
              </w:rPr>
            </w:pPr>
            <w:r>
              <w:rPr>
                <w:rFonts w:ascii="Arial" w:cs="Arial" w:eastAsia="Arial" w:hAnsi="Arial"/>
                <w:sz w:val="19"/>
                <w:szCs w:val="19"/>
                <w:color w:val="FFFFFF"/>
              </w:rPr>
              <w:t>User Metrics</w:t>
            </w:r>
          </w:p>
        </w:tc>
        <w:tc>
          <w:tcPr>
            <w:tcW w:w="3320" w:type="dxa"/>
            <w:vAlign w:val="bottom"/>
            <w:tcBorders>
              <w:bottom w:val="single" w:sz="8" w:color="58CC02"/>
            </w:tcBorders>
            <w:shd w:val="clear" w:color="auto" w:fill="58CC02"/>
          </w:tcPr>
          <w:p>
            <w:pPr>
              <w:spacing w:after="0"/>
              <w:rPr>
                <w:sz w:val="24"/>
                <w:szCs w:val="24"/>
                <w:color w:val="auto"/>
              </w:rPr>
            </w:pPr>
          </w:p>
        </w:tc>
        <w:tc>
          <w:tcPr>
            <w:tcW w:w="1360" w:type="dxa"/>
            <w:vAlign w:val="bottom"/>
            <w:tcBorders>
              <w:bottom w:val="single" w:sz="8" w:color="58CC02"/>
            </w:tcBorders>
            <w:shd w:val="clear" w:color="auto" w:fill="58CC02"/>
          </w:tcPr>
          <w:p>
            <w:pPr>
              <w:spacing w:after="0"/>
              <w:rPr>
                <w:sz w:val="24"/>
                <w:szCs w:val="24"/>
                <w:color w:val="auto"/>
              </w:rPr>
            </w:pPr>
          </w:p>
        </w:tc>
        <w:tc>
          <w:tcPr>
            <w:tcW w:w="1320" w:type="dxa"/>
            <w:vAlign w:val="bottom"/>
            <w:tcBorders>
              <w:bottom w:val="single" w:sz="8" w:color="58CC02"/>
            </w:tcBorders>
            <w:shd w:val="clear" w:color="auto" w:fill="58CC02"/>
          </w:tcPr>
          <w:p>
            <w:pPr>
              <w:spacing w:after="0"/>
              <w:rPr>
                <w:sz w:val="24"/>
                <w:szCs w:val="24"/>
                <w:color w:val="auto"/>
              </w:rPr>
            </w:pPr>
          </w:p>
        </w:tc>
      </w:tr>
      <w:tr>
        <w:trPr>
          <w:trHeight w:val="330"/>
        </w:trPr>
        <w:tc>
          <w:tcPr>
            <w:tcW w:w="5240" w:type="dxa"/>
            <w:vAlign w:val="bottom"/>
          </w:tcPr>
          <w:p>
            <w:pPr>
              <w:ind w:left="20"/>
              <w:spacing w:after="0"/>
              <w:rPr>
                <w:sz w:val="20"/>
                <w:szCs w:val="20"/>
                <w:color w:val="auto"/>
              </w:rPr>
            </w:pPr>
            <w:r>
              <w:rPr>
                <w:rFonts w:ascii="Arial" w:cs="Arial" w:eastAsia="Arial" w:hAnsi="Arial"/>
                <w:sz w:val="19"/>
                <w:szCs w:val="19"/>
                <w:color w:val="4B4B4B"/>
              </w:rPr>
              <w:t>Daily active users (DAUs) (1)</w:t>
            </w:r>
          </w:p>
        </w:tc>
        <w:tc>
          <w:tcPr>
            <w:tcW w:w="3320" w:type="dxa"/>
            <w:vAlign w:val="bottom"/>
          </w:tcPr>
          <w:p>
            <w:pPr>
              <w:jc w:val="center"/>
              <w:ind w:left="1906"/>
              <w:spacing w:after="0"/>
              <w:rPr>
                <w:sz w:val="20"/>
                <w:szCs w:val="20"/>
                <w:color w:val="auto"/>
              </w:rPr>
            </w:pPr>
            <w:r>
              <w:rPr>
                <w:rFonts w:ascii="Arial" w:cs="Arial" w:eastAsia="Arial" w:hAnsi="Arial"/>
                <w:sz w:val="19"/>
                <w:szCs w:val="19"/>
                <w:color w:val="4B4B4B"/>
                <w:w w:val="97"/>
              </w:rPr>
              <w:t>46.6</w:t>
            </w:r>
          </w:p>
        </w:tc>
        <w:tc>
          <w:tcPr>
            <w:tcW w:w="1360" w:type="dxa"/>
            <w:vAlign w:val="bottom"/>
          </w:tcPr>
          <w:p>
            <w:pPr>
              <w:jc w:val="center"/>
              <w:spacing w:after="0"/>
              <w:rPr>
                <w:sz w:val="20"/>
                <w:szCs w:val="20"/>
                <w:color w:val="auto"/>
              </w:rPr>
            </w:pPr>
            <w:r>
              <w:rPr>
                <w:rFonts w:ascii="Arial" w:cs="Arial" w:eastAsia="Arial" w:hAnsi="Arial"/>
                <w:sz w:val="19"/>
                <w:szCs w:val="19"/>
                <w:color w:val="4B4B4B"/>
                <w:w w:val="97"/>
              </w:rPr>
              <w:t>56.5</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21%</w:t>
            </w:r>
          </w:p>
        </w:tc>
      </w:tr>
      <w:tr>
        <w:trPr>
          <w:trHeight w:val="311"/>
        </w:trPr>
        <w:tc>
          <w:tcPr>
            <w:tcW w:w="5240" w:type="dxa"/>
            <w:vAlign w:val="bottom"/>
          </w:tcPr>
          <w:p>
            <w:pPr>
              <w:ind w:left="20"/>
              <w:spacing w:after="0"/>
              <w:rPr>
                <w:sz w:val="20"/>
                <w:szCs w:val="20"/>
                <w:color w:val="auto"/>
              </w:rPr>
            </w:pPr>
            <w:r>
              <w:rPr>
                <w:rFonts w:ascii="Arial" w:cs="Arial" w:eastAsia="Arial" w:hAnsi="Arial"/>
                <w:sz w:val="19"/>
                <w:szCs w:val="19"/>
                <w:color w:val="4B4B4B"/>
              </w:rPr>
              <w:t>Paid subscribers (period end)</w:t>
            </w:r>
          </w:p>
        </w:tc>
        <w:tc>
          <w:tcPr>
            <w:tcW w:w="3320" w:type="dxa"/>
            <w:vAlign w:val="bottom"/>
          </w:tcPr>
          <w:p>
            <w:pPr>
              <w:jc w:val="center"/>
              <w:ind w:left="1906"/>
              <w:spacing w:after="0"/>
              <w:rPr>
                <w:sz w:val="20"/>
                <w:szCs w:val="20"/>
                <w:color w:val="auto"/>
              </w:rPr>
            </w:pPr>
            <w:r>
              <w:rPr>
                <w:rFonts w:ascii="Arial" w:cs="Arial" w:eastAsia="Arial" w:hAnsi="Arial"/>
                <w:sz w:val="19"/>
                <w:szCs w:val="19"/>
                <w:color w:val="4B4B4B"/>
                <w:w w:val="97"/>
              </w:rPr>
              <w:t>10.3</w:t>
            </w:r>
          </w:p>
        </w:tc>
        <w:tc>
          <w:tcPr>
            <w:tcW w:w="1360" w:type="dxa"/>
            <w:vAlign w:val="bottom"/>
          </w:tcPr>
          <w:p>
            <w:pPr>
              <w:jc w:val="center"/>
              <w:spacing w:after="0"/>
              <w:rPr>
                <w:sz w:val="20"/>
                <w:szCs w:val="20"/>
                <w:color w:val="auto"/>
              </w:rPr>
            </w:pPr>
            <w:r>
              <w:rPr>
                <w:rFonts w:ascii="Arial" w:cs="Arial" w:eastAsia="Arial" w:hAnsi="Arial"/>
                <w:sz w:val="19"/>
                <w:szCs w:val="19"/>
                <w:color w:val="4B4B4B"/>
                <w:w w:val="97"/>
              </w:rPr>
              <w:t>12.5</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21%</w:t>
            </w:r>
          </w:p>
        </w:tc>
      </w:tr>
      <w:tr>
        <w:trPr>
          <w:trHeight w:val="34"/>
        </w:trPr>
        <w:tc>
          <w:tcPr>
            <w:tcW w:w="524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1"/>
        </w:trPr>
        <w:tc>
          <w:tcPr>
            <w:tcW w:w="5240" w:type="dxa"/>
            <w:vAlign w:val="bottom"/>
            <w:tcBorders>
              <w:bottom w:val="single" w:sz="8" w:color="58CC02"/>
            </w:tcBorders>
            <w:shd w:val="clear" w:color="auto" w:fill="58CC02"/>
          </w:tcPr>
          <w:p>
            <w:pPr>
              <w:ind w:left="20"/>
              <w:spacing w:after="0"/>
              <w:rPr>
                <w:sz w:val="20"/>
                <w:szCs w:val="20"/>
                <w:color w:val="auto"/>
              </w:rPr>
            </w:pPr>
            <w:r>
              <w:rPr>
                <w:rFonts w:ascii="Arial" w:cs="Arial" w:eastAsia="Arial" w:hAnsi="Arial"/>
                <w:sz w:val="19"/>
                <w:szCs w:val="19"/>
                <w:color w:val="FFFFFF"/>
              </w:rPr>
              <w:t>Operating Metrics</w:t>
            </w:r>
          </w:p>
        </w:tc>
        <w:tc>
          <w:tcPr>
            <w:tcW w:w="3320" w:type="dxa"/>
            <w:vAlign w:val="bottom"/>
            <w:tcBorders>
              <w:bottom w:val="single" w:sz="8" w:color="58CC02"/>
            </w:tcBorders>
            <w:shd w:val="clear" w:color="auto" w:fill="58CC02"/>
          </w:tcPr>
          <w:p>
            <w:pPr>
              <w:spacing w:after="0"/>
              <w:rPr>
                <w:sz w:val="24"/>
                <w:szCs w:val="24"/>
                <w:color w:val="auto"/>
              </w:rPr>
            </w:pPr>
          </w:p>
        </w:tc>
        <w:tc>
          <w:tcPr>
            <w:tcW w:w="1360" w:type="dxa"/>
            <w:vAlign w:val="bottom"/>
            <w:tcBorders>
              <w:bottom w:val="single" w:sz="8" w:color="58CC02"/>
            </w:tcBorders>
            <w:shd w:val="clear" w:color="auto" w:fill="58CC02"/>
          </w:tcPr>
          <w:p>
            <w:pPr>
              <w:spacing w:after="0"/>
              <w:rPr>
                <w:sz w:val="24"/>
                <w:szCs w:val="24"/>
                <w:color w:val="auto"/>
              </w:rPr>
            </w:pPr>
          </w:p>
        </w:tc>
        <w:tc>
          <w:tcPr>
            <w:tcW w:w="1320" w:type="dxa"/>
            <w:vAlign w:val="bottom"/>
            <w:tcBorders>
              <w:bottom w:val="single" w:sz="8" w:color="58CC02"/>
            </w:tcBorders>
            <w:shd w:val="clear" w:color="auto" w:fill="58CC02"/>
          </w:tcPr>
          <w:p>
            <w:pPr>
              <w:spacing w:after="0"/>
              <w:rPr>
                <w:sz w:val="24"/>
                <w:szCs w:val="24"/>
                <w:color w:val="auto"/>
              </w:rPr>
            </w:pPr>
          </w:p>
        </w:tc>
      </w:tr>
      <w:tr>
        <w:trPr>
          <w:trHeight w:val="330"/>
        </w:trPr>
        <w:tc>
          <w:tcPr>
            <w:tcW w:w="5240" w:type="dxa"/>
            <w:vAlign w:val="bottom"/>
          </w:tcPr>
          <w:p>
            <w:pPr>
              <w:ind w:left="20"/>
              <w:spacing w:after="0"/>
              <w:rPr>
                <w:sz w:val="20"/>
                <w:szCs w:val="20"/>
                <w:color w:val="auto"/>
              </w:rPr>
            </w:pPr>
            <w:r>
              <w:rPr>
                <w:rFonts w:ascii="Arial" w:cs="Arial" w:eastAsia="Arial" w:hAnsi="Arial"/>
                <w:sz w:val="19"/>
                <w:szCs w:val="19"/>
                <w:color w:val="4B4B4B"/>
              </w:rPr>
              <w:t>Subscription bookings</w:t>
            </w:r>
          </w:p>
        </w:tc>
        <w:tc>
          <w:tcPr>
            <w:tcW w:w="3320" w:type="dxa"/>
            <w:vAlign w:val="bottom"/>
          </w:tcPr>
          <w:p>
            <w:pPr>
              <w:jc w:val="center"/>
              <w:ind w:left="1886"/>
              <w:spacing w:after="0"/>
              <w:rPr>
                <w:sz w:val="20"/>
                <w:szCs w:val="20"/>
                <w:color w:val="auto"/>
              </w:rPr>
            </w:pPr>
            <w:r>
              <w:rPr>
                <w:rFonts w:ascii="Arial" w:cs="Arial" w:eastAsia="Arial" w:hAnsi="Arial"/>
                <w:sz w:val="19"/>
                <w:szCs w:val="19"/>
                <w:color w:val="4B4B4B"/>
                <w:w w:val="99"/>
              </w:rPr>
              <w:t>$232.2</w:t>
            </w:r>
          </w:p>
        </w:tc>
        <w:tc>
          <w:tcPr>
            <w:tcW w:w="1360" w:type="dxa"/>
            <w:vAlign w:val="bottom"/>
          </w:tcPr>
          <w:p>
            <w:pPr>
              <w:jc w:val="center"/>
              <w:spacing w:after="0"/>
              <w:rPr>
                <w:sz w:val="20"/>
                <w:szCs w:val="20"/>
                <w:color w:val="auto"/>
              </w:rPr>
            </w:pPr>
            <w:r>
              <w:rPr>
                <w:rFonts w:ascii="Arial" w:cs="Arial" w:eastAsia="Arial" w:hAnsi="Arial"/>
                <w:sz w:val="19"/>
                <w:szCs w:val="19"/>
                <w:color w:val="4B4B4B"/>
                <w:w w:val="99"/>
              </w:rPr>
              <w:t>$268.1</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15%</w:t>
            </w:r>
          </w:p>
        </w:tc>
      </w:tr>
      <w:tr>
        <w:trPr>
          <w:trHeight w:val="310"/>
        </w:trPr>
        <w:tc>
          <w:tcPr>
            <w:tcW w:w="5240" w:type="dxa"/>
            <w:vAlign w:val="bottom"/>
          </w:tcPr>
          <w:p>
            <w:pPr>
              <w:ind w:left="20"/>
              <w:spacing w:after="0"/>
              <w:rPr>
                <w:sz w:val="20"/>
                <w:szCs w:val="20"/>
                <w:color w:val="auto"/>
              </w:rPr>
            </w:pPr>
            <w:r>
              <w:rPr>
                <w:rFonts w:ascii="Arial" w:cs="Arial" w:eastAsia="Arial" w:hAnsi="Arial"/>
                <w:sz w:val="19"/>
                <w:szCs w:val="19"/>
                <w:color w:val="4B4B4B"/>
              </w:rPr>
              <w:t>Total bookings</w:t>
            </w:r>
          </w:p>
        </w:tc>
        <w:tc>
          <w:tcPr>
            <w:tcW w:w="3320" w:type="dxa"/>
            <w:vAlign w:val="bottom"/>
          </w:tcPr>
          <w:p>
            <w:pPr>
              <w:jc w:val="center"/>
              <w:ind w:left="1886"/>
              <w:spacing w:after="0"/>
              <w:rPr>
                <w:sz w:val="20"/>
                <w:szCs w:val="20"/>
                <w:color w:val="auto"/>
              </w:rPr>
            </w:pPr>
            <w:r>
              <w:rPr>
                <w:rFonts w:ascii="Arial" w:cs="Arial" w:eastAsia="Arial" w:hAnsi="Arial"/>
                <w:sz w:val="19"/>
                <w:szCs w:val="19"/>
                <w:color w:val="4B4B4B"/>
                <w:w w:val="99"/>
              </w:rPr>
              <w:t>$271.6</w:t>
            </w:r>
          </w:p>
        </w:tc>
        <w:tc>
          <w:tcPr>
            <w:tcW w:w="1360" w:type="dxa"/>
            <w:vAlign w:val="bottom"/>
          </w:tcPr>
          <w:p>
            <w:pPr>
              <w:jc w:val="center"/>
              <w:spacing w:after="0"/>
              <w:rPr>
                <w:sz w:val="20"/>
                <w:szCs w:val="20"/>
                <w:color w:val="auto"/>
              </w:rPr>
            </w:pPr>
            <w:r>
              <w:rPr>
                <w:rFonts w:ascii="Arial" w:cs="Arial" w:eastAsia="Arial" w:hAnsi="Arial"/>
                <w:sz w:val="19"/>
                <w:szCs w:val="19"/>
                <w:color w:val="4B4B4B"/>
                <w:w w:val="99"/>
              </w:rPr>
              <w:t>$308.5</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14%</w:t>
            </w:r>
          </w:p>
        </w:tc>
      </w:tr>
      <w:tr>
        <w:trPr>
          <w:trHeight w:val="35"/>
        </w:trPr>
        <w:tc>
          <w:tcPr>
            <w:tcW w:w="524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0"/>
        </w:trPr>
        <w:tc>
          <w:tcPr>
            <w:tcW w:w="5240" w:type="dxa"/>
            <w:vAlign w:val="bottom"/>
            <w:tcBorders>
              <w:bottom w:val="single" w:sz="8" w:color="58CC02"/>
            </w:tcBorders>
            <w:shd w:val="clear" w:color="auto" w:fill="58CC02"/>
          </w:tcPr>
          <w:p>
            <w:pPr>
              <w:ind w:left="20"/>
              <w:spacing w:after="0"/>
              <w:rPr>
                <w:sz w:val="20"/>
                <w:szCs w:val="20"/>
                <w:color w:val="auto"/>
              </w:rPr>
            </w:pPr>
            <w:r>
              <w:rPr>
                <w:rFonts w:ascii="Arial" w:cs="Arial" w:eastAsia="Arial" w:hAnsi="Arial"/>
                <w:sz w:val="19"/>
                <w:szCs w:val="19"/>
                <w:color w:val="FFFFFF"/>
              </w:rPr>
              <w:t>GAAP Financial Measures</w:t>
            </w:r>
          </w:p>
        </w:tc>
        <w:tc>
          <w:tcPr>
            <w:tcW w:w="3320" w:type="dxa"/>
            <w:vAlign w:val="bottom"/>
            <w:tcBorders>
              <w:bottom w:val="single" w:sz="8" w:color="58CC02"/>
            </w:tcBorders>
            <w:shd w:val="clear" w:color="auto" w:fill="58CC02"/>
          </w:tcPr>
          <w:p>
            <w:pPr>
              <w:spacing w:after="0"/>
              <w:rPr>
                <w:sz w:val="24"/>
                <w:szCs w:val="24"/>
                <w:color w:val="auto"/>
              </w:rPr>
            </w:pPr>
          </w:p>
        </w:tc>
        <w:tc>
          <w:tcPr>
            <w:tcW w:w="1360" w:type="dxa"/>
            <w:vAlign w:val="bottom"/>
            <w:tcBorders>
              <w:bottom w:val="single" w:sz="8" w:color="58CC02"/>
            </w:tcBorders>
            <w:shd w:val="clear" w:color="auto" w:fill="58CC02"/>
          </w:tcPr>
          <w:p>
            <w:pPr>
              <w:spacing w:after="0"/>
              <w:rPr>
                <w:sz w:val="24"/>
                <w:szCs w:val="24"/>
                <w:color w:val="auto"/>
              </w:rPr>
            </w:pPr>
          </w:p>
        </w:tc>
        <w:tc>
          <w:tcPr>
            <w:tcW w:w="1320" w:type="dxa"/>
            <w:vAlign w:val="bottom"/>
            <w:tcBorders>
              <w:bottom w:val="single" w:sz="8" w:color="58CC02"/>
            </w:tcBorders>
            <w:shd w:val="clear" w:color="auto" w:fill="58CC02"/>
          </w:tcPr>
          <w:p>
            <w:pPr>
              <w:spacing w:after="0"/>
              <w:rPr>
                <w:sz w:val="24"/>
                <w:szCs w:val="24"/>
                <w:color w:val="auto"/>
              </w:rPr>
            </w:pPr>
          </w:p>
        </w:tc>
      </w:tr>
      <w:tr>
        <w:trPr>
          <w:trHeight w:val="330"/>
        </w:trPr>
        <w:tc>
          <w:tcPr>
            <w:tcW w:w="5240" w:type="dxa"/>
            <w:vAlign w:val="bottom"/>
          </w:tcPr>
          <w:p>
            <w:pPr>
              <w:ind w:left="20"/>
              <w:spacing w:after="0"/>
              <w:rPr>
                <w:sz w:val="20"/>
                <w:szCs w:val="20"/>
                <w:color w:val="auto"/>
              </w:rPr>
            </w:pPr>
            <w:r>
              <w:rPr>
                <w:rFonts w:ascii="Arial" w:cs="Arial" w:eastAsia="Arial" w:hAnsi="Arial"/>
                <w:sz w:val="19"/>
                <w:szCs w:val="19"/>
                <w:color w:val="4B4B4B"/>
              </w:rPr>
              <w:t>Revenues</w:t>
            </w:r>
          </w:p>
        </w:tc>
        <w:tc>
          <w:tcPr>
            <w:tcW w:w="3320" w:type="dxa"/>
            <w:vAlign w:val="bottom"/>
          </w:tcPr>
          <w:p>
            <w:pPr>
              <w:jc w:val="center"/>
              <w:ind w:left="1886"/>
              <w:spacing w:after="0"/>
              <w:rPr>
                <w:sz w:val="20"/>
                <w:szCs w:val="20"/>
                <w:color w:val="auto"/>
              </w:rPr>
            </w:pPr>
            <w:r>
              <w:rPr>
                <w:rFonts w:ascii="Arial" w:cs="Arial" w:eastAsia="Arial" w:hAnsi="Arial"/>
                <w:sz w:val="19"/>
                <w:szCs w:val="19"/>
                <w:color w:val="4B4B4B"/>
                <w:w w:val="99"/>
              </w:rPr>
              <w:t>$230.7</w:t>
            </w:r>
          </w:p>
        </w:tc>
        <w:tc>
          <w:tcPr>
            <w:tcW w:w="1360" w:type="dxa"/>
            <w:vAlign w:val="bottom"/>
          </w:tcPr>
          <w:p>
            <w:pPr>
              <w:jc w:val="center"/>
              <w:spacing w:after="0"/>
              <w:rPr>
                <w:sz w:val="20"/>
                <w:szCs w:val="20"/>
                <w:color w:val="auto"/>
              </w:rPr>
            </w:pPr>
            <w:r>
              <w:rPr>
                <w:rFonts w:ascii="Arial" w:cs="Arial" w:eastAsia="Arial" w:hAnsi="Arial"/>
                <w:sz w:val="19"/>
                <w:szCs w:val="19"/>
                <w:color w:val="4B4B4B"/>
                <w:w w:val="99"/>
              </w:rPr>
              <w:t>$292.0</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27%</w:t>
            </w:r>
          </w:p>
        </w:tc>
      </w:tr>
      <w:tr>
        <w:trPr>
          <w:trHeight w:val="311"/>
        </w:trPr>
        <w:tc>
          <w:tcPr>
            <w:tcW w:w="5240" w:type="dxa"/>
            <w:vAlign w:val="bottom"/>
          </w:tcPr>
          <w:p>
            <w:pPr>
              <w:ind w:left="20"/>
              <w:spacing w:after="0"/>
              <w:rPr>
                <w:sz w:val="20"/>
                <w:szCs w:val="20"/>
                <w:color w:val="auto"/>
              </w:rPr>
            </w:pPr>
            <w:r>
              <w:rPr>
                <w:rFonts w:ascii="Arial" w:cs="Arial" w:eastAsia="Arial" w:hAnsi="Arial"/>
                <w:sz w:val="19"/>
                <w:szCs w:val="19"/>
                <w:color w:val="4B4B4B"/>
              </w:rPr>
              <w:t>Gross profit</w:t>
            </w:r>
          </w:p>
        </w:tc>
        <w:tc>
          <w:tcPr>
            <w:tcW w:w="3320" w:type="dxa"/>
            <w:vAlign w:val="bottom"/>
          </w:tcPr>
          <w:p>
            <w:pPr>
              <w:jc w:val="center"/>
              <w:ind w:left="1886"/>
              <w:spacing w:after="0"/>
              <w:rPr>
                <w:sz w:val="20"/>
                <w:szCs w:val="20"/>
                <w:color w:val="auto"/>
              </w:rPr>
            </w:pPr>
            <w:r>
              <w:rPr>
                <w:rFonts w:ascii="Arial" w:cs="Arial" w:eastAsia="Arial" w:hAnsi="Arial"/>
                <w:sz w:val="19"/>
                <w:szCs w:val="19"/>
                <w:color w:val="4B4B4B"/>
                <w:w w:val="99"/>
              </w:rPr>
              <w:t>$164.1</w:t>
            </w:r>
          </w:p>
        </w:tc>
        <w:tc>
          <w:tcPr>
            <w:tcW w:w="1360" w:type="dxa"/>
            <w:vAlign w:val="bottom"/>
          </w:tcPr>
          <w:p>
            <w:pPr>
              <w:jc w:val="center"/>
              <w:spacing w:after="0"/>
              <w:rPr>
                <w:sz w:val="20"/>
                <w:szCs w:val="20"/>
                <w:color w:val="auto"/>
              </w:rPr>
            </w:pPr>
            <w:r>
              <w:rPr>
                <w:rFonts w:ascii="Arial" w:cs="Arial" w:eastAsia="Arial" w:hAnsi="Arial"/>
                <w:sz w:val="19"/>
                <w:szCs w:val="19"/>
                <w:color w:val="4B4B4B"/>
                <w:w w:val="99"/>
              </w:rPr>
              <w:t>$213.1</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30%</w:t>
            </w:r>
          </w:p>
        </w:tc>
      </w:tr>
      <w:tr>
        <w:trPr>
          <w:trHeight w:val="310"/>
        </w:trPr>
        <w:tc>
          <w:tcPr>
            <w:tcW w:w="5240" w:type="dxa"/>
            <w:vAlign w:val="bottom"/>
          </w:tcPr>
          <w:p>
            <w:pPr>
              <w:ind w:left="20"/>
              <w:spacing w:after="0"/>
              <w:rPr>
                <w:sz w:val="20"/>
                <w:szCs w:val="20"/>
                <w:color w:val="auto"/>
              </w:rPr>
            </w:pPr>
            <w:r>
              <w:rPr>
                <w:rFonts w:ascii="Arial" w:cs="Arial" w:eastAsia="Arial" w:hAnsi="Arial"/>
                <w:sz w:val="19"/>
                <w:szCs w:val="19"/>
                <w:color w:val="4B4B4B"/>
              </w:rPr>
              <w:t>Gross margin (%)</w:t>
            </w:r>
          </w:p>
        </w:tc>
        <w:tc>
          <w:tcPr>
            <w:tcW w:w="3320" w:type="dxa"/>
            <w:vAlign w:val="bottom"/>
          </w:tcPr>
          <w:p>
            <w:pPr>
              <w:jc w:val="center"/>
              <w:ind w:left="1906"/>
              <w:spacing w:after="0"/>
              <w:rPr>
                <w:sz w:val="20"/>
                <w:szCs w:val="20"/>
                <w:color w:val="auto"/>
              </w:rPr>
            </w:pPr>
            <w:r>
              <w:rPr>
                <w:rFonts w:ascii="Arial" w:cs="Arial" w:eastAsia="Arial" w:hAnsi="Arial"/>
                <w:sz w:val="19"/>
                <w:szCs w:val="19"/>
                <w:color w:val="4B4B4B"/>
                <w:w w:val="96"/>
              </w:rPr>
              <w:t>71.1%</w:t>
            </w:r>
          </w:p>
        </w:tc>
        <w:tc>
          <w:tcPr>
            <w:tcW w:w="1360" w:type="dxa"/>
            <w:vAlign w:val="bottom"/>
          </w:tcPr>
          <w:p>
            <w:pPr>
              <w:jc w:val="center"/>
              <w:spacing w:after="0"/>
              <w:rPr>
                <w:sz w:val="20"/>
                <w:szCs w:val="20"/>
                <w:color w:val="auto"/>
              </w:rPr>
            </w:pPr>
            <w:r>
              <w:rPr>
                <w:rFonts w:ascii="Arial" w:cs="Arial" w:eastAsia="Arial" w:hAnsi="Arial"/>
                <w:sz w:val="19"/>
                <w:szCs w:val="19"/>
                <w:color w:val="4B4B4B"/>
              </w:rPr>
              <w:t>73.0%</w:t>
            </w:r>
          </w:p>
        </w:tc>
        <w:tc>
          <w:tcPr>
            <w:tcW w:w="1320" w:type="dxa"/>
            <w:vAlign w:val="bottom"/>
          </w:tcPr>
          <w:p>
            <w:pPr>
              <w:jc w:val="center"/>
              <w:spacing w:after="0"/>
              <w:rPr>
                <w:sz w:val="20"/>
                <w:szCs w:val="20"/>
                <w:color w:val="auto"/>
              </w:rPr>
            </w:pPr>
            <w:r>
              <w:rPr>
                <w:rFonts w:ascii="Arial" w:cs="Arial" w:eastAsia="Arial" w:hAnsi="Arial"/>
                <w:sz w:val="19"/>
                <w:szCs w:val="19"/>
                <w:color w:val="4B4B4B"/>
                <w:w w:val="97"/>
              </w:rPr>
              <w:t>190 bps</w:t>
            </w:r>
          </w:p>
        </w:tc>
      </w:tr>
      <w:tr>
        <w:trPr>
          <w:trHeight w:val="311"/>
        </w:trPr>
        <w:tc>
          <w:tcPr>
            <w:tcW w:w="5240" w:type="dxa"/>
            <w:vAlign w:val="bottom"/>
          </w:tcPr>
          <w:p>
            <w:pPr>
              <w:ind w:left="20"/>
              <w:spacing w:after="0"/>
              <w:rPr>
                <w:sz w:val="20"/>
                <w:szCs w:val="20"/>
                <w:color w:val="auto"/>
              </w:rPr>
            </w:pPr>
            <w:r>
              <w:rPr>
                <w:rFonts w:ascii="Arial" w:cs="Arial" w:eastAsia="Arial" w:hAnsi="Arial"/>
                <w:sz w:val="19"/>
                <w:szCs w:val="19"/>
                <w:color w:val="4B4B4B"/>
              </w:rPr>
              <w:t>Net income</w:t>
            </w:r>
          </w:p>
        </w:tc>
        <w:tc>
          <w:tcPr>
            <w:tcW w:w="3320" w:type="dxa"/>
            <w:vAlign w:val="bottom"/>
          </w:tcPr>
          <w:p>
            <w:pPr>
              <w:jc w:val="center"/>
              <w:ind w:left="1906"/>
              <w:spacing w:after="0"/>
              <w:rPr>
                <w:sz w:val="20"/>
                <w:szCs w:val="20"/>
                <w:color w:val="auto"/>
              </w:rPr>
            </w:pPr>
            <w:r>
              <w:rPr>
                <w:rFonts w:ascii="Arial" w:cs="Arial" w:eastAsia="Arial" w:hAnsi="Arial"/>
                <w:sz w:val="19"/>
                <w:szCs w:val="19"/>
                <w:color w:val="4B4B4B"/>
              </w:rPr>
              <w:t>$35.1</w:t>
            </w:r>
          </w:p>
        </w:tc>
        <w:tc>
          <w:tcPr>
            <w:tcW w:w="1360" w:type="dxa"/>
            <w:vAlign w:val="bottom"/>
          </w:tcPr>
          <w:p>
            <w:pPr>
              <w:jc w:val="center"/>
              <w:spacing w:after="0"/>
              <w:rPr>
                <w:sz w:val="20"/>
                <w:szCs w:val="20"/>
                <w:color w:val="auto"/>
              </w:rPr>
            </w:pPr>
            <w:r>
              <w:rPr>
                <w:rFonts w:ascii="Arial" w:cs="Arial" w:eastAsia="Arial" w:hAnsi="Arial"/>
                <w:sz w:val="19"/>
                <w:szCs w:val="19"/>
                <w:color w:val="4B4B4B"/>
              </w:rPr>
              <w:t>$43.5</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24%</w:t>
            </w:r>
          </w:p>
        </w:tc>
      </w:tr>
      <w:tr>
        <w:trPr>
          <w:trHeight w:val="310"/>
        </w:trPr>
        <w:tc>
          <w:tcPr>
            <w:tcW w:w="5240" w:type="dxa"/>
            <w:vAlign w:val="bottom"/>
          </w:tcPr>
          <w:p>
            <w:pPr>
              <w:ind w:left="20"/>
              <w:spacing w:after="0"/>
              <w:rPr>
                <w:sz w:val="20"/>
                <w:szCs w:val="20"/>
                <w:color w:val="auto"/>
              </w:rPr>
            </w:pPr>
            <w:r>
              <w:rPr>
                <w:rFonts w:ascii="Arial" w:cs="Arial" w:eastAsia="Arial" w:hAnsi="Arial"/>
                <w:sz w:val="19"/>
                <w:szCs w:val="19"/>
                <w:color w:val="4B4B4B"/>
              </w:rPr>
              <w:t>Net cash from operating activities</w:t>
            </w:r>
          </w:p>
        </w:tc>
        <w:tc>
          <w:tcPr>
            <w:tcW w:w="3320" w:type="dxa"/>
            <w:vAlign w:val="bottom"/>
          </w:tcPr>
          <w:p>
            <w:pPr>
              <w:jc w:val="center"/>
              <w:ind w:left="1886"/>
              <w:spacing w:after="0"/>
              <w:rPr>
                <w:sz w:val="20"/>
                <w:szCs w:val="20"/>
                <w:color w:val="auto"/>
              </w:rPr>
            </w:pPr>
            <w:r>
              <w:rPr>
                <w:rFonts w:ascii="Arial" w:cs="Arial" w:eastAsia="Arial" w:hAnsi="Arial"/>
                <w:sz w:val="19"/>
                <w:szCs w:val="19"/>
                <w:color w:val="4B4B4B"/>
                <w:w w:val="99"/>
              </w:rPr>
              <w:t>$105.6</w:t>
            </w:r>
          </w:p>
        </w:tc>
        <w:tc>
          <w:tcPr>
            <w:tcW w:w="1360" w:type="dxa"/>
            <w:vAlign w:val="bottom"/>
          </w:tcPr>
          <w:p>
            <w:pPr>
              <w:jc w:val="center"/>
              <w:spacing w:after="0"/>
              <w:rPr>
                <w:sz w:val="20"/>
                <w:szCs w:val="20"/>
                <w:color w:val="auto"/>
              </w:rPr>
            </w:pPr>
            <w:r>
              <w:rPr>
                <w:rFonts w:ascii="Arial" w:cs="Arial" w:eastAsia="Arial" w:hAnsi="Arial"/>
                <w:sz w:val="19"/>
                <w:szCs w:val="19"/>
                <w:color w:val="4B4B4B"/>
                <w:w w:val="99"/>
              </w:rPr>
              <w:t>$150.8</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43%</w:t>
            </w:r>
          </w:p>
        </w:tc>
      </w:tr>
      <w:tr>
        <w:trPr>
          <w:trHeight w:val="35"/>
        </w:trPr>
        <w:tc>
          <w:tcPr>
            <w:tcW w:w="524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0"/>
        </w:trPr>
        <w:tc>
          <w:tcPr>
            <w:tcW w:w="5240" w:type="dxa"/>
            <w:vAlign w:val="bottom"/>
            <w:tcBorders>
              <w:bottom w:val="single" w:sz="8" w:color="58CC02"/>
            </w:tcBorders>
            <w:shd w:val="clear" w:color="auto" w:fill="58CC02"/>
          </w:tcPr>
          <w:p>
            <w:pPr>
              <w:ind w:left="20"/>
              <w:spacing w:after="0"/>
              <w:rPr>
                <w:sz w:val="20"/>
                <w:szCs w:val="20"/>
                <w:color w:val="auto"/>
              </w:rPr>
            </w:pPr>
            <w:r>
              <w:rPr>
                <w:rFonts w:ascii="Arial" w:cs="Arial" w:eastAsia="Arial" w:hAnsi="Arial"/>
                <w:sz w:val="19"/>
                <w:szCs w:val="19"/>
                <w:color w:val="FFFFFF"/>
              </w:rPr>
              <w:t>Non-GAAP Financial Measures (2)</w:t>
            </w:r>
          </w:p>
        </w:tc>
        <w:tc>
          <w:tcPr>
            <w:tcW w:w="3320" w:type="dxa"/>
            <w:vAlign w:val="bottom"/>
            <w:tcBorders>
              <w:bottom w:val="single" w:sz="8" w:color="58CC02"/>
            </w:tcBorders>
            <w:shd w:val="clear" w:color="auto" w:fill="58CC02"/>
          </w:tcPr>
          <w:p>
            <w:pPr>
              <w:spacing w:after="0"/>
              <w:rPr>
                <w:sz w:val="24"/>
                <w:szCs w:val="24"/>
                <w:color w:val="auto"/>
              </w:rPr>
            </w:pPr>
          </w:p>
        </w:tc>
        <w:tc>
          <w:tcPr>
            <w:tcW w:w="1360" w:type="dxa"/>
            <w:vAlign w:val="bottom"/>
            <w:tcBorders>
              <w:bottom w:val="single" w:sz="8" w:color="58CC02"/>
            </w:tcBorders>
            <w:shd w:val="clear" w:color="auto" w:fill="58CC02"/>
          </w:tcPr>
          <w:p>
            <w:pPr>
              <w:spacing w:after="0"/>
              <w:rPr>
                <w:sz w:val="24"/>
                <w:szCs w:val="24"/>
                <w:color w:val="auto"/>
              </w:rPr>
            </w:pPr>
          </w:p>
        </w:tc>
        <w:tc>
          <w:tcPr>
            <w:tcW w:w="1320" w:type="dxa"/>
            <w:vAlign w:val="bottom"/>
            <w:tcBorders>
              <w:bottom w:val="single" w:sz="8" w:color="58CC02"/>
            </w:tcBorders>
            <w:shd w:val="clear" w:color="auto" w:fill="58CC02"/>
          </w:tcPr>
          <w:p>
            <w:pPr>
              <w:spacing w:after="0"/>
              <w:rPr>
                <w:sz w:val="24"/>
                <w:szCs w:val="24"/>
                <w:color w:val="auto"/>
              </w:rPr>
            </w:pPr>
          </w:p>
        </w:tc>
      </w:tr>
      <w:tr>
        <w:trPr>
          <w:trHeight w:val="330"/>
        </w:trPr>
        <w:tc>
          <w:tcPr>
            <w:tcW w:w="5240" w:type="dxa"/>
            <w:vAlign w:val="bottom"/>
          </w:tcPr>
          <w:p>
            <w:pPr>
              <w:ind w:left="20"/>
              <w:spacing w:after="0"/>
              <w:rPr>
                <w:sz w:val="20"/>
                <w:szCs w:val="20"/>
                <w:color w:val="auto"/>
              </w:rPr>
            </w:pPr>
            <w:r>
              <w:rPr>
                <w:rFonts w:ascii="Arial" w:cs="Arial" w:eastAsia="Arial" w:hAnsi="Arial"/>
                <w:sz w:val="19"/>
                <w:szCs w:val="19"/>
                <w:color w:val="4B4B4B"/>
              </w:rPr>
              <w:t>Adjusted EBITDA</w:t>
            </w:r>
          </w:p>
        </w:tc>
        <w:tc>
          <w:tcPr>
            <w:tcW w:w="3320" w:type="dxa"/>
            <w:vAlign w:val="bottom"/>
          </w:tcPr>
          <w:p>
            <w:pPr>
              <w:jc w:val="center"/>
              <w:ind w:left="1906"/>
              <w:spacing w:after="0"/>
              <w:rPr>
                <w:sz w:val="20"/>
                <w:szCs w:val="20"/>
                <w:color w:val="auto"/>
              </w:rPr>
            </w:pPr>
            <w:r>
              <w:rPr>
                <w:rFonts w:ascii="Arial" w:cs="Arial" w:eastAsia="Arial" w:hAnsi="Arial"/>
                <w:sz w:val="19"/>
                <w:szCs w:val="19"/>
                <w:color w:val="4B4B4B"/>
              </w:rPr>
              <w:t>$62.8</w:t>
            </w:r>
          </w:p>
        </w:tc>
        <w:tc>
          <w:tcPr>
            <w:tcW w:w="1360" w:type="dxa"/>
            <w:vAlign w:val="bottom"/>
          </w:tcPr>
          <w:p>
            <w:pPr>
              <w:jc w:val="center"/>
              <w:spacing w:after="0"/>
              <w:rPr>
                <w:sz w:val="20"/>
                <w:szCs w:val="20"/>
                <w:color w:val="auto"/>
              </w:rPr>
            </w:pPr>
            <w:r>
              <w:rPr>
                <w:rFonts w:ascii="Arial" w:cs="Arial" w:eastAsia="Arial" w:hAnsi="Arial"/>
                <w:sz w:val="19"/>
                <w:szCs w:val="19"/>
                <w:color w:val="4B4B4B"/>
              </w:rPr>
              <w:t>$83.4</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33%</w:t>
            </w:r>
          </w:p>
        </w:tc>
      </w:tr>
      <w:tr>
        <w:trPr>
          <w:trHeight w:val="310"/>
        </w:trPr>
        <w:tc>
          <w:tcPr>
            <w:tcW w:w="5240" w:type="dxa"/>
            <w:vAlign w:val="bottom"/>
          </w:tcPr>
          <w:p>
            <w:pPr>
              <w:ind w:left="20"/>
              <w:spacing w:after="0"/>
              <w:rPr>
                <w:sz w:val="20"/>
                <w:szCs w:val="20"/>
                <w:color w:val="auto"/>
              </w:rPr>
            </w:pPr>
            <w:r>
              <w:rPr>
                <w:rFonts w:ascii="Arial" w:cs="Arial" w:eastAsia="Arial" w:hAnsi="Arial"/>
                <w:sz w:val="19"/>
                <w:szCs w:val="19"/>
                <w:color w:val="4B4B4B"/>
              </w:rPr>
              <w:t>Adjusted EBITDA margin</w:t>
            </w:r>
          </w:p>
        </w:tc>
        <w:tc>
          <w:tcPr>
            <w:tcW w:w="3320" w:type="dxa"/>
            <w:vAlign w:val="bottom"/>
          </w:tcPr>
          <w:p>
            <w:pPr>
              <w:jc w:val="center"/>
              <w:ind w:left="1906"/>
              <w:spacing w:after="0"/>
              <w:rPr>
                <w:sz w:val="20"/>
                <w:szCs w:val="20"/>
                <w:color w:val="auto"/>
              </w:rPr>
            </w:pPr>
            <w:r>
              <w:rPr>
                <w:rFonts w:ascii="Arial" w:cs="Arial" w:eastAsia="Arial" w:hAnsi="Arial"/>
                <w:sz w:val="19"/>
                <w:szCs w:val="19"/>
                <w:color w:val="4B4B4B"/>
                <w:w w:val="96"/>
              </w:rPr>
              <w:t>27.2%</w:t>
            </w:r>
          </w:p>
        </w:tc>
        <w:tc>
          <w:tcPr>
            <w:tcW w:w="1360" w:type="dxa"/>
            <w:vAlign w:val="bottom"/>
          </w:tcPr>
          <w:p>
            <w:pPr>
              <w:jc w:val="center"/>
              <w:spacing w:after="0"/>
              <w:rPr>
                <w:sz w:val="20"/>
                <w:szCs w:val="20"/>
                <w:color w:val="auto"/>
              </w:rPr>
            </w:pPr>
            <w:r>
              <w:rPr>
                <w:rFonts w:ascii="Arial" w:cs="Arial" w:eastAsia="Arial" w:hAnsi="Arial"/>
                <w:sz w:val="19"/>
                <w:szCs w:val="19"/>
                <w:color w:val="4B4B4B"/>
              </w:rPr>
              <w:t>28.6%</w:t>
            </w:r>
          </w:p>
        </w:tc>
        <w:tc>
          <w:tcPr>
            <w:tcW w:w="1320" w:type="dxa"/>
            <w:vAlign w:val="bottom"/>
          </w:tcPr>
          <w:p>
            <w:pPr>
              <w:jc w:val="center"/>
              <w:spacing w:after="0"/>
              <w:rPr>
                <w:sz w:val="20"/>
                <w:szCs w:val="20"/>
                <w:color w:val="auto"/>
              </w:rPr>
            </w:pPr>
            <w:r>
              <w:rPr>
                <w:rFonts w:ascii="Arial" w:cs="Arial" w:eastAsia="Arial" w:hAnsi="Arial"/>
                <w:sz w:val="19"/>
                <w:szCs w:val="19"/>
                <w:color w:val="4B4B4B"/>
                <w:w w:val="97"/>
              </w:rPr>
              <w:t>140 bps</w:t>
            </w:r>
          </w:p>
        </w:tc>
      </w:tr>
      <w:tr>
        <w:trPr>
          <w:trHeight w:val="310"/>
        </w:trPr>
        <w:tc>
          <w:tcPr>
            <w:tcW w:w="5240" w:type="dxa"/>
            <w:vAlign w:val="bottom"/>
          </w:tcPr>
          <w:p>
            <w:pPr>
              <w:ind w:left="20"/>
              <w:spacing w:after="0"/>
              <w:rPr>
                <w:sz w:val="20"/>
                <w:szCs w:val="20"/>
                <w:color w:val="auto"/>
              </w:rPr>
            </w:pPr>
            <w:r>
              <w:rPr>
                <w:rFonts w:ascii="Arial" w:cs="Arial" w:eastAsia="Arial" w:hAnsi="Arial"/>
                <w:sz w:val="19"/>
                <w:szCs w:val="19"/>
                <w:color w:val="4B4B4B"/>
              </w:rPr>
              <w:t>Free cash flow</w:t>
            </w:r>
          </w:p>
        </w:tc>
        <w:tc>
          <w:tcPr>
            <w:tcW w:w="3320" w:type="dxa"/>
            <w:vAlign w:val="bottom"/>
          </w:tcPr>
          <w:p>
            <w:pPr>
              <w:jc w:val="center"/>
              <w:ind w:left="1886"/>
              <w:spacing w:after="0"/>
              <w:rPr>
                <w:sz w:val="20"/>
                <w:szCs w:val="20"/>
                <w:color w:val="auto"/>
              </w:rPr>
            </w:pPr>
            <w:r>
              <w:rPr>
                <w:rFonts w:ascii="Arial" w:cs="Arial" w:eastAsia="Arial" w:hAnsi="Arial"/>
                <w:sz w:val="19"/>
                <w:szCs w:val="19"/>
                <w:color w:val="4B4B4B"/>
                <w:w w:val="99"/>
              </w:rPr>
              <w:t>$103.0</w:t>
            </w:r>
          </w:p>
        </w:tc>
        <w:tc>
          <w:tcPr>
            <w:tcW w:w="1360" w:type="dxa"/>
            <w:vAlign w:val="bottom"/>
          </w:tcPr>
          <w:p>
            <w:pPr>
              <w:jc w:val="center"/>
              <w:spacing w:after="0"/>
              <w:rPr>
                <w:sz w:val="20"/>
                <w:szCs w:val="20"/>
                <w:color w:val="auto"/>
              </w:rPr>
            </w:pPr>
            <w:r>
              <w:rPr>
                <w:rFonts w:ascii="Arial" w:cs="Arial" w:eastAsia="Arial" w:hAnsi="Arial"/>
                <w:sz w:val="19"/>
                <w:szCs w:val="19"/>
                <w:color w:val="4B4B4B"/>
                <w:w w:val="99"/>
              </w:rPr>
              <w:t>$147.8</w:t>
            </w:r>
          </w:p>
        </w:tc>
        <w:tc>
          <w:tcPr>
            <w:tcW w:w="1320" w:type="dxa"/>
            <w:vAlign w:val="bottom"/>
          </w:tcPr>
          <w:p>
            <w:pPr>
              <w:jc w:val="center"/>
              <w:spacing w:after="0"/>
              <w:rPr>
                <w:sz w:val="20"/>
                <w:szCs w:val="20"/>
                <w:color w:val="auto"/>
              </w:rPr>
            </w:pPr>
            <w:r>
              <w:rPr>
                <w:rFonts w:ascii="Arial" w:cs="Arial" w:eastAsia="Arial" w:hAnsi="Arial"/>
                <w:sz w:val="19"/>
                <w:szCs w:val="19"/>
                <w:color w:val="4B4B4B"/>
                <w:w w:val="99"/>
              </w:rPr>
              <w:t>43%</w:t>
            </w:r>
          </w:p>
        </w:tc>
      </w:tr>
      <w:tr>
        <w:trPr>
          <w:trHeight w:val="310"/>
        </w:trPr>
        <w:tc>
          <w:tcPr>
            <w:tcW w:w="5240" w:type="dxa"/>
            <w:vAlign w:val="bottom"/>
          </w:tcPr>
          <w:p>
            <w:pPr>
              <w:ind w:left="20"/>
              <w:spacing w:after="0"/>
              <w:rPr>
                <w:sz w:val="20"/>
                <w:szCs w:val="20"/>
                <w:color w:val="auto"/>
              </w:rPr>
            </w:pPr>
            <w:r>
              <w:rPr>
                <w:rFonts w:ascii="Arial" w:cs="Arial" w:eastAsia="Arial" w:hAnsi="Arial"/>
                <w:sz w:val="19"/>
                <w:szCs w:val="19"/>
                <w:color w:val="4B4B4B"/>
              </w:rPr>
              <w:t>Free cash flow margin</w:t>
            </w:r>
          </w:p>
        </w:tc>
        <w:tc>
          <w:tcPr>
            <w:tcW w:w="3320" w:type="dxa"/>
            <w:vAlign w:val="bottom"/>
          </w:tcPr>
          <w:p>
            <w:pPr>
              <w:jc w:val="center"/>
              <w:ind w:left="1906"/>
              <w:spacing w:after="0"/>
              <w:rPr>
                <w:sz w:val="20"/>
                <w:szCs w:val="20"/>
                <w:color w:val="auto"/>
              </w:rPr>
            </w:pPr>
            <w:r>
              <w:rPr>
                <w:rFonts w:ascii="Arial" w:cs="Arial" w:eastAsia="Arial" w:hAnsi="Arial"/>
                <w:sz w:val="19"/>
                <w:szCs w:val="19"/>
                <w:color w:val="4B4B4B"/>
                <w:w w:val="96"/>
              </w:rPr>
              <w:t>44.6%</w:t>
            </w:r>
          </w:p>
        </w:tc>
        <w:tc>
          <w:tcPr>
            <w:tcW w:w="1360" w:type="dxa"/>
            <w:vAlign w:val="bottom"/>
          </w:tcPr>
          <w:p>
            <w:pPr>
              <w:jc w:val="center"/>
              <w:spacing w:after="0"/>
              <w:rPr>
                <w:sz w:val="20"/>
                <w:szCs w:val="20"/>
                <w:color w:val="auto"/>
              </w:rPr>
            </w:pPr>
            <w:r>
              <w:rPr>
                <w:rFonts w:ascii="Arial" w:cs="Arial" w:eastAsia="Arial" w:hAnsi="Arial"/>
                <w:sz w:val="19"/>
                <w:szCs w:val="19"/>
                <w:color w:val="4B4B4B"/>
              </w:rPr>
              <w:t>50.6%</w:t>
            </w:r>
          </w:p>
        </w:tc>
        <w:tc>
          <w:tcPr>
            <w:tcW w:w="1320" w:type="dxa"/>
            <w:vAlign w:val="bottom"/>
          </w:tcPr>
          <w:p>
            <w:pPr>
              <w:jc w:val="center"/>
              <w:spacing w:after="0"/>
              <w:rPr>
                <w:sz w:val="20"/>
                <w:szCs w:val="20"/>
                <w:color w:val="auto"/>
              </w:rPr>
            </w:pPr>
            <w:r>
              <w:rPr>
                <w:rFonts w:ascii="Arial" w:cs="Arial" w:eastAsia="Arial" w:hAnsi="Arial"/>
                <w:sz w:val="19"/>
                <w:szCs w:val="19"/>
                <w:color w:val="4B4B4B"/>
                <w:w w:val="97"/>
              </w:rPr>
              <w:t>600 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firstLine="8"/>
        <w:spacing w:after="0" w:line="300" w:lineRule="auto"/>
        <w:tabs>
          <w:tab w:leader="none" w:pos="229" w:val="left"/>
        </w:tabs>
        <w:numPr>
          <w:ilvl w:val="0"/>
          <w:numId w:val="3"/>
        </w:numPr>
        <w:rPr>
          <w:rFonts w:ascii="Arial" w:cs="Arial" w:eastAsia="Arial" w:hAnsi="Arial"/>
          <w:sz w:val="15"/>
          <w:szCs w:val="15"/>
          <w:color w:val="AFAFAF"/>
        </w:rPr>
      </w:pPr>
      <w:r>
        <w:rPr>
          <w:rFonts w:ascii="Arial" w:cs="Arial" w:eastAsia="Arial" w:hAnsi="Arial"/>
          <w:sz w:val="15"/>
          <w:szCs w:val="15"/>
          <w:color w:val="AFAFAF"/>
        </w:rPr>
        <w:t>We primarily evaluate user engagement using DAUs, with MAUs as a supplementary metric. MAUs were 130.2 million and 137.8 million as of March 31, 2025 and 2026, respectively.</w:t>
      </w:r>
    </w:p>
    <w:p>
      <w:pPr>
        <w:ind w:left="240" w:hanging="232"/>
        <w:spacing w:after="0"/>
        <w:tabs>
          <w:tab w:leader="none" w:pos="240" w:val="left"/>
        </w:tabs>
        <w:numPr>
          <w:ilvl w:val="0"/>
          <w:numId w:val="3"/>
        </w:numPr>
        <w:rPr>
          <w:rFonts w:ascii="Arial" w:cs="Arial" w:eastAsia="Arial" w:hAnsi="Arial"/>
          <w:sz w:val="15"/>
          <w:szCs w:val="15"/>
          <w:color w:val="AFAFAF"/>
        </w:rPr>
      </w:pPr>
      <w:r>
        <w:rPr>
          <w:rFonts w:ascii="Arial" w:cs="Arial" w:eastAsia="Arial" w:hAnsi="Arial"/>
          <w:sz w:val="15"/>
          <w:szCs w:val="15"/>
          <w:color w:val="AFAFAF"/>
        </w:rPr>
        <w:t>Please refer to the Appendix at the end of this letter for a reconciliation of non-GAAP financial measures to the most directly comparable GAAP financial measure.</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FAFAF"/>
        </w:rPr>
        <w:t>All amounts in millions are rounded from thousands; totals and percentages may not sum due to rounding.</w:t>
      </w:r>
    </w:p>
    <w:p>
      <w:pPr>
        <w:sectPr>
          <w:pgSz w:w="11900" w:h="16838" w:orient="portrait"/>
          <w:cols w:equalWidth="0" w:num="1">
            <w:col w:w="11240"/>
          </w:cols>
          <w:pgMar w:left="320" w:top="1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3320" w:val="left"/>
        </w:tabs>
        <w:rPr>
          <w:sz w:val="20"/>
          <w:szCs w:val="20"/>
          <w:color w:val="auto"/>
        </w:rPr>
      </w:pPr>
      <w:r>
        <w:rPr>
          <w:rFonts w:ascii="Arial" w:cs="Arial" w:eastAsia="Arial" w:hAnsi="Arial"/>
          <w:sz w:val="15"/>
          <w:szCs w:val="15"/>
          <w:color w:val="AFAFAF"/>
        </w:rPr>
        <w:t>DUOLINGO Q1 / FY 2026</w:t>
      </w:r>
      <w:r>
        <w:rPr>
          <w:sz w:val="20"/>
          <w:szCs w:val="20"/>
          <w:color w:val="auto"/>
        </w:rPr>
        <w:tab/>
      </w:r>
      <w:r>
        <w:rPr>
          <w:rFonts w:ascii="Arial" w:cs="Arial" w:eastAsia="Arial" w:hAnsi="Arial"/>
          <w:sz w:val="15"/>
          <w:szCs w:val="15"/>
          <w:color w:val="AFAFAF"/>
        </w:rPr>
        <w:t>8</w:t>
      </w:r>
    </w:p>
    <w:p>
      <w:pPr>
        <w:sectPr>
          <w:pgSz w:w="11900" w:h="16838" w:orient="portrait"/>
          <w:cols w:equalWidth="0" w:num="1">
            <w:col w:w="11240"/>
          </w:cols>
          <w:pgMar w:left="320" w:top="1335"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565785" cy="779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6578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4B4B4B"/>
        </w:rPr>
        <w:t>Gillian Munson</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First Quarter 2026 Highlights</w:t>
      </w:r>
    </w:p>
    <w:p>
      <w:pPr>
        <w:spacing w:after="0" w:line="295" w:lineRule="exact"/>
        <w:rPr>
          <w:sz w:val="20"/>
          <w:szCs w:val="20"/>
          <w:color w:val="auto"/>
        </w:rPr>
      </w:pPr>
    </w:p>
    <w:p>
      <w:pPr>
        <w:spacing w:after="0" w:line="322" w:lineRule="auto"/>
        <w:rPr>
          <w:sz w:val="20"/>
          <w:szCs w:val="20"/>
          <w:color w:val="auto"/>
        </w:rPr>
      </w:pPr>
      <w:r>
        <w:rPr>
          <w:rFonts w:ascii="Arial" w:cs="Arial" w:eastAsia="Arial" w:hAnsi="Arial"/>
          <w:sz w:val="19"/>
          <w:szCs w:val="19"/>
          <w:color w:val="4B4B4B"/>
        </w:rPr>
        <w:t>Q1 was a solid start to the year. DAUs grew 21% year over year to 56.5 million, lapping 49% growth in Q1 2025 when we benefitted from our 'Dead Duo' campaign. Total bookings grew 14% year over year, or 9% on a constant currency basis, to $308.5 million, driven by continued growth in subscribers and favorable advertising trends. Revenue grew 27% year over year, or 22% on a constant currency basis, to $292.0 million.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4B4B4B"/>
        </w:rPr>
        <w:t>Gross margin expanded 190 basis points year over year to 73.0%, driven primarily by continued reductions in per-unit AI costs.</w:t>
      </w:r>
    </w:p>
    <w:p>
      <w:pPr>
        <w:spacing w:after="0" w:line="308" w:lineRule="exact"/>
        <w:rPr>
          <w:sz w:val="20"/>
          <w:szCs w:val="20"/>
          <w:color w:val="auto"/>
        </w:rPr>
      </w:pPr>
    </w:p>
    <w:p>
      <w:pPr>
        <w:spacing w:after="0" w:line="344" w:lineRule="auto"/>
        <w:rPr>
          <w:sz w:val="20"/>
          <w:szCs w:val="20"/>
          <w:color w:val="auto"/>
        </w:rPr>
      </w:pPr>
      <w:r>
        <w:rPr>
          <w:rFonts w:ascii="Arial" w:cs="Arial" w:eastAsia="Arial" w:hAnsi="Arial"/>
          <w:sz w:val="19"/>
          <w:szCs w:val="19"/>
          <w:color w:val="4B4B4B"/>
        </w:rPr>
        <w:t>We generated $43.5 million in net income and $83.4 million in Adjusted EBITDA. Adjusted EBITDA margin increased 140 basis points year over year to 28.6%.</w:t>
      </w:r>
    </w:p>
    <w:p>
      <w:pPr>
        <w:spacing w:after="0" w:line="184" w:lineRule="exact"/>
        <w:rPr>
          <w:sz w:val="20"/>
          <w:szCs w:val="20"/>
          <w:color w:val="auto"/>
        </w:rPr>
      </w:pPr>
    </w:p>
    <w:p>
      <w:pPr>
        <w:ind w:right="360"/>
        <w:spacing w:after="0" w:line="344" w:lineRule="auto"/>
        <w:rPr>
          <w:sz w:val="20"/>
          <w:szCs w:val="20"/>
          <w:color w:val="auto"/>
        </w:rPr>
      </w:pPr>
      <w:r>
        <w:rPr>
          <w:rFonts w:ascii="Arial" w:cs="Arial" w:eastAsia="Arial" w:hAnsi="Arial"/>
          <w:sz w:val="19"/>
          <w:szCs w:val="19"/>
          <w:color w:val="4B4B4B"/>
        </w:rPr>
        <w:t>We ended the quarter with $1.1 billion in cash and cash equivalents. Net cash from operating activities for the quarter was $150.8 million, and free cash flow (FCF) for the quarter was $147.8 million, representing a 50.6% FCF margin.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4B4B4B"/>
        </w:rPr>
        <w:t>Fully diluted shares outstanding ended the quarter at approximately 49.7 million.</w:t>
      </w:r>
    </w:p>
    <w:p>
      <w:pPr>
        <w:spacing w:after="0" w:line="308" w:lineRule="exact"/>
        <w:rPr>
          <w:sz w:val="20"/>
          <w:szCs w:val="20"/>
          <w:color w:val="auto"/>
        </w:rPr>
      </w:pPr>
    </w:p>
    <w:p>
      <w:pPr>
        <w:jc w:val="both"/>
        <w:ind w:right="400"/>
        <w:spacing w:after="0" w:line="328" w:lineRule="auto"/>
        <w:rPr>
          <w:sz w:val="20"/>
          <w:szCs w:val="20"/>
          <w:color w:val="auto"/>
        </w:rPr>
      </w:pPr>
      <w:r>
        <w:rPr>
          <w:rFonts w:ascii="Arial" w:cs="Arial" w:eastAsia="Arial" w:hAnsi="Arial"/>
          <w:sz w:val="19"/>
          <w:szCs w:val="19"/>
          <w:color w:val="4B4B4B"/>
        </w:rPr>
        <w:t>We remain committed to managing dilution while retaining the financial flexibility to invest in our long-term growth priorities. Since initiating our $400 million repurchase program in February, we have repurchased approximately $50.6 million, or roughly 514,000 shares, through May 1, 2026. This represents more than 100% of our 2025 net dilution from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880" w:type="dxa"/>
            <w:vAlign w:val="bottom"/>
          </w:tcPr>
          <w:p>
            <w:pPr>
              <w:jc w:val="right"/>
              <w:spacing w:after="0"/>
              <w:rPr>
                <w:sz w:val="20"/>
                <w:szCs w:val="20"/>
                <w:color w:val="auto"/>
              </w:rPr>
            </w:pPr>
            <w:r>
              <w:rPr>
                <w:rFonts w:ascii="Arial" w:cs="Arial" w:eastAsia="Arial" w:hAnsi="Arial"/>
                <w:sz w:val="15"/>
                <w:szCs w:val="15"/>
                <w:color w:val="AFAFAF"/>
              </w:rPr>
              <w:t>9</w:t>
            </w:r>
          </w:p>
        </w:tc>
      </w:tr>
    </w:tbl>
    <w:p>
      <w:pPr>
        <w:sectPr>
          <w:pgSz w:w="11900" w:h="16838" w:orient="portrait"/>
          <w:cols w:equalWidth="0" w:num="1">
            <w:col w:w="11180"/>
          </w:cols>
          <w:pgMar w:left="320" w:top="1440" w:right="399" w:bottom="1440" w:gutter="0" w:footer="0" w:header="0"/>
        </w:sectPr>
      </w:pPr>
    </w:p>
    <w:bookmarkStart w:id="14" w:name="page15"/>
    <w:bookmarkEnd w:id="14"/>
    <w:p>
      <w:pPr>
        <w:spacing w:after="0"/>
        <w:rPr>
          <w:sz w:val="20"/>
          <w:szCs w:val="20"/>
          <w:color w:val="auto"/>
        </w:rPr>
      </w:pPr>
      <w:r>
        <w:rPr>
          <w:rFonts w:ascii="Arial" w:cs="Arial" w:eastAsia="Arial" w:hAnsi="Arial"/>
          <w:sz w:val="23"/>
          <w:szCs w:val="23"/>
          <w:b w:val="1"/>
          <w:bCs w:val="1"/>
          <w:color w:val="4B4B4B"/>
        </w:rPr>
        <w:t>Q2 and FY 2026 Guidance</w:t>
      </w:r>
    </w:p>
    <w:p>
      <w:pPr>
        <w:spacing w:after="0" w:line="295" w:lineRule="exact"/>
        <w:rPr>
          <w:sz w:val="20"/>
          <w:szCs w:val="20"/>
          <w:color w:val="auto"/>
        </w:rPr>
      </w:pPr>
    </w:p>
    <w:p>
      <w:pPr>
        <w:spacing w:after="0" w:line="322" w:lineRule="auto"/>
        <w:rPr>
          <w:sz w:val="20"/>
          <w:szCs w:val="20"/>
          <w:color w:val="auto"/>
        </w:rPr>
      </w:pPr>
      <w:r>
        <w:rPr>
          <w:rFonts w:ascii="Arial" w:cs="Arial" w:eastAsia="Arial" w:hAnsi="Arial"/>
          <w:sz w:val="19"/>
          <w:szCs w:val="19"/>
          <w:color w:val="4B4B4B"/>
        </w:rPr>
        <w:t>Our strategic plan for 2026 remains unchanged, and we continue to manage the business to the full-year targets we laid out on our Q4 call. These targets include 10-12% bookings growth, 15-18% revenues growth and an adjusted EBITDA margin of 25%. Our updated guidance reflects Q1 actuals and our current outlook for the second quarter ending June 30, 2026, and the full year ending December 31, 2026</w:t>
      </w:r>
      <w:r>
        <w:rPr>
          <w:rFonts w:ascii="Arial" w:cs="Arial" w:eastAsia="Arial" w:hAnsi="Arial"/>
          <w:sz w:val="24"/>
          <w:szCs w:val="24"/>
          <w:color w:val="4B4B4B"/>
          <w:vertAlign w:val="superscript"/>
        </w:rPr>
        <w:t>(1)</w:t>
      </w:r>
      <w:r>
        <w:rPr>
          <w:rFonts w:ascii="Arial" w:cs="Arial" w:eastAsia="Arial" w:hAnsi="Arial"/>
          <w:sz w:val="19"/>
          <w:szCs w:val="19"/>
          <w:color w:val="4B4B4B"/>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58CC02"/>
              </w:rPr>
              <w:t>(in millions)</w:t>
            </w:r>
          </w:p>
        </w:tc>
        <w:tc>
          <w:tcPr>
            <w:tcW w:w="4240" w:type="dxa"/>
            <w:vAlign w:val="bottom"/>
            <w:tcBorders>
              <w:bottom w:val="single" w:sz="8" w:color="auto"/>
            </w:tcBorders>
          </w:tcPr>
          <w:p>
            <w:pPr>
              <w:jc w:val="right"/>
              <w:ind w:right="1126"/>
              <w:spacing w:after="0"/>
              <w:rPr>
                <w:sz w:val="20"/>
                <w:szCs w:val="20"/>
                <w:color w:val="auto"/>
              </w:rPr>
            </w:pPr>
            <w:r>
              <w:rPr>
                <w:rFonts w:ascii="Arial" w:cs="Arial" w:eastAsia="Arial" w:hAnsi="Arial"/>
                <w:sz w:val="19"/>
                <w:szCs w:val="19"/>
                <w:b w:val="1"/>
                <w:bCs w:val="1"/>
                <w:color w:val="58CC02"/>
              </w:rPr>
              <w:t>Q2 2026</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FY 2026</w:t>
            </w:r>
          </w:p>
        </w:tc>
      </w:tr>
      <w:tr>
        <w:trPr>
          <w:trHeight w:val="279"/>
        </w:trPr>
        <w:tc>
          <w:tcPr>
            <w:tcW w:w="4840" w:type="dxa"/>
            <w:vAlign w:val="bottom"/>
          </w:tcPr>
          <w:p>
            <w:pPr>
              <w:ind w:left="20"/>
              <w:spacing w:after="0"/>
              <w:rPr>
                <w:sz w:val="20"/>
                <w:szCs w:val="20"/>
                <w:color w:val="auto"/>
              </w:rPr>
            </w:pPr>
            <w:r>
              <w:rPr>
                <w:rFonts w:ascii="Arial" w:cs="Arial" w:eastAsia="Arial" w:hAnsi="Arial"/>
                <w:sz w:val="19"/>
                <w:szCs w:val="19"/>
                <w:b w:val="1"/>
                <w:bCs w:val="1"/>
                <w:color w:val="4B4B4B"/>
              </w:rPr>
              <w:t>Bookings</w:t>
            </w:r>
          </w:p>
        </w:tc>
        <w:tc>
          <w:tcPr>
            <w:tcW w:w="4240" w:type="dxa"/>
            <w:vAlign w:val="bottom"/>
          </w:tcPr>
          <w:p>
            <w:pPr>
              <w:jc w:val="right"/>
              <w:ind w:right="1126"/>
              <w:spacing w:after="0"/>
              <w:rPr>
                <w:sz w:val="20"/>
                <w:szCs w:val="20"/>
                <w:color w:val="auto"/>
              </w:rPr>
            </w:pPr>
            <w:r>
              <w:rPr>
                <w:rFonts w:ascii="Arial" w:cs="Arial" w:eastAsia="Arial" w:hAnsi="Arial"/>
                <w:sz w:val="19"/>
                <w:szCs w:val="19"/>
                <w:b w:val="1"/>
                <w:bCs w:val="1"/>
                <w:color w:val="4B4B4B"/>
              </w:rPr>
              <w:t>$283.5</w:t>
            </w:r>
          </w:p>
        </w:tc>
        <w:tc>
          <w:tcPr>
            <w:tcW w:w="1980" w:type="dxa"/>
            <w:vAlign w:val="bottom"/>
          </w:tcPr>
          <w:p>
            <w:pPr>
              <w:jc w:val="right"/>
              <w:spacing w:after="0"/>
              <w:rPr>
                <w:sz w:val="20"/>
                <w:szCs w:val="20"/>
                <w:color w:val="auto"/>
              </w:rPr>
            </w:pPr>
            <w:r>
              <w:rPr>
                <w:rFonts w:ascii="Arial" w:cs="Arial" w:eastAsia="Arial" w:hAnsi="Arial"/>
                <w:sz w:val="19"/>
                <w:szCs w:val="19"/>
                <w:b w:val="1"/>
                <w:bCs w:val="1"/>
                <w:color w:val="4B4B4B"/>
              </w:rPr>
              <w:t>$1,280</w:t>
            </w:r>
          </w:p>
        </w:tc>
      </w:tr>
      <w:tr>
        <w:trPr>
          <w:trHeight w:val="314"/>
        </w:trPr>
        <w:tc>
          <w:tcPr>
            <w:tcW w:w="4840" w:type="dxa"/>
            <w:vAlign w:val="bottom"/>
          </w:tcPr>
          <w:p>
            <w:pPr>
              <w:ind w:left="20"/>
              <w:spacing w:after="0"/>
              <w:rPr>
                <w:sz w:val="20"/>
                <w:szCs w:val="20"/>
                <w:color w:val="auto"/>
              </w:rPr>
            </w:pPr>
            <w:r>
              <w:rPr>
                <w:rFonts w:ascii="Arial" w:cs="Arial" w:eastAsia="Arial" w:hAnsi="Arial"/>
                <w:sz w:val="19"/>
                <w:szCs w:val="19"/>
                <w:color w:val="4B4B4B"/>
              </w:rPr>
              <w:t>YoY Bookings Growth</w:t>
            </w:r>
          </w:p>
        </w:tc>
        <w:tc>
          <w:tcPr>
            <w:tcW w:w="4240" w:type="dxa"/>
            <w:vAlign w:val="bottom"/>
          </w:tcPr>
          <w:p>
            <w:pPr>
              <w:jc w:val="right"/>
              <w:ind w:right="1126"/>
              <w:spacing w:after="0"/>
              <w:rPr>
                <w:sz w:val="20"/>
                <w:szCs w:val="20"/>
                <w:color w:val="auto"/>
              </w:rPr>
            </w:pPr>
            <w:r>
              <w:rPr>
                <w:rFonts w:ascii="Arial" w:cs="Arial" w:eastAsia="Arial" w:hAnsi="Arial"/>
                <w:sz w:val="19"/>
                <w:szCs w:val="19"/>
                <w:color w:val="4B4B4B"/>
              </w:rPr>
              <w:t>5.8%</w:t>
            </w:r>
          </w:p>
        </w:tc>
        <w:tc>
          <w:tcPr>
            <w:tcW w:w="1980" w:type="dxa"/>
            <w:vAlign w:val="bottom"/>
          </w:tcPr>
          <w:p>
            <w:pPr>
              <w:jc w:val="right"/>
              <w:spacing w:after="0"/>
              <w:rPr>
                <w:sz w:val="20"/>
                <w:szCs w:val="20"/>
                <w:color w:val="auto"/>
              </w:rPr>
            </w:pPr>
            <w:r>
              <w:rPr>
                <w:rFonts w:ascii="Arial" w:cs="Arial" w:eastAsia="Arial" w:hAnsi="Arial"/>
                <w:sz w:val="19"/>
                <w:szCs w:val="19"/>
                <w:color w:val="4B4B4B"/>
              </w:rPr>
              <w:t>10.5%</w:t>
            </w:r>
          </w:p>
        </w:tc>
      </w:tr>
      <w:tr>
        <w:trPr>
          <w:trHeight w:val="334"/>
        </w:trPr>
        <w:tc>
          <w:tcPr>
            <w:tcW w:w="4840" w:type="dxa"/>
            <w:vAlign w:val="bottom"/>
          </w:tcPr>
          <w:p>
            <w:pPr>
              <w:ind w:left="20"/>
              <w:spacing w:after="0"/>
              <w:rPr>
                <w:sz w:val="20"/>
                <w:szCs w:val="20"/>
                <w:color w:val="auto"/>
              </w:rPr>
            </w:pPr>
            <w:r>
              <w:rPr>
                <w:rFonts w:ascii="Arial" w:cs="Arial" w:eastAsia="Arial" w:hAnsi="Arial"/>
                <w:sz w:val="19"/>
                <w:szCs w:val="19"/>
                <w:b w:val="1"/>
                <w:bCs w:val="1"/>
                <w:color w:val="4B4B4B"/>
              </w:rPr>
              <w:t>Revenue</w:t>
            </w:r>
          </w:p>
        </w:tc>
        <w:tc>
          <w:tcPr>
            <w:tcW w:w="4240" w:type="dxa"/>
            <w:vAlign w:val="bottom"/>
          </w:tcPr>
          <w:p>
            <w:pPr>
              <w:jc w:val="right"/>
              <w:ind w:right="1126"/>
              <w:spacing w:after="0"/>
              <w:rPr>
                <w:sz w:val="20"/>
                <w:szCs w:val="20"/>
                <w:color w:val="auto"/>
              </w:rPr>
            </w:pPr>
            <w:r>
              <w:rPr>
                <w:rFonts w:ascii="Arial" w:cs="Arial" w:eastAsia="Arial" w:hAnsi="Arial"/>
                <w:sz w:val="19"/>
                <w:szCs w:val="19"/>
                <w:b w:val="1"/>
                <w:bCs w:val="1"/>
                <w:color w:val="4B4B4B"/>
              </w:rPr>
              <w:t>$295.5</w:t>
            </w:r>
          </w:p>
        </w:tc>
        <w:tc>
          <w:tcPr>
            <w:tcW w:w="1980" w:type="dxa"/>
            <w:vAlign w:val="bottom"/>
          </w:tcPr>
          <w:p>
            <w:pPr>
              <w:jc w:val="right"/>
              <w:spacing w:after="0"/>
              <w:rPr>
                <w:sz w:val="20"/>
                <w:szCs w:val="20"/>
                <w:color w:val="auto"/>
              </w:rPr>
            </w:pPr>
            <w:r>
              <w:rPr>
                <w:rFonts w:ascii="Arial" w:cs="Arial" w:eastAsia="Arial" w:hAnsi="Arial"/>
                <w:sz w:val="19"/>
                <w:szCs w:val="19"/>
                <w:b w:val="1"/>
                <w:bCs w:val="1"/>
                <w:color w:val="4B4B4B"/>
              </w:rPr>
              <w:t>$1,205</w:t>
            </w:r>
          </w:p>
        </w:tc>
      </w:tr>
      <w:tr>
        <w:trPr>
          <w:trHeight w:val="314"/>
        </w:trPr>
        <w:tc>
          <w:tcPr>
            <w:tcW w:w="4840" w:type="dxa"/>
            <w:vAlign w:val="bottom"/>
          </w:tcPr>
          <w:p>
            <w:pPr>
              <w:ind w:left="20"/>
              <w:spacing w:after="0"/>
              <w:rPr>
                <w:sz w:val="20"/>
                <w:szCs w:val="20"/>
                <w:color w:val="auto"/>
              </w:rPr>
            </w:pPr>
            <w:r>
              <w:rPr>
                <w:rFonts w:ascii="Arial" w:cs="Arial" w:eastAsia="Arial" w:hAnsi="Arial"/>
                <w:sz w:val="19"/>
                <w:szCs w:val="19"/>
                <w:color w:val="4B4B4B"/>
              </w:rPr>
              <w:t>YoY Revenue Growth</w:t>
            </w:r>
          </w:p>
        </w:tc>
        <w:tc>
          <w:tcPr>
            <w:tcW w:w="4240" w:type="dxa"/>
            <w:vAlign w:val="bottom"/>
          </w:tcPr>
          <w:p>
            <w:pPr>
              <w:jc w:val="right"/>
              <w:ind w:right="1126"/>
              <w:spacing w:after="0"/>
              <w:rPr>
                <w:sz w:val="20"/>
                <w:szCs w:val="20"/>
                <w:color w:val="auto"/>
              </w:rPr>
            </w:pPr>
            <w:r>
              <w:rPr>
                <w:rFonts w:ascii="Arial" w:cs="Arial" w:eastAsia="Arial" w:hAnsi="Arial"/>
                <w:sz w:val="19"/>
                <w:szCs w:val="19"/>
                <w:color w:val="4B4B4B"/>
              </w:rPr>
              <w:t>17.1%</w:t>
            </w:r>
          </w:p>
        </w:tc>
        <w:tc>
          <w:tcPr>
            <w:tcW w:w="1980" w:type="dxa"/>
            <w:vAlign w:val="bottom"/>
          </w:tcPr>
          <w:p>
            <w:pPr>
              <w:jc w:val="right"/>
              <w:spacing w:after="0"/>
              <w:rPr>
                <w:sz w:val="20"/>
                <w:szCs w:val="20"/>
                <w:color w:val="auto"/>
              </w:rPr>
            </w:pPr>
            <w:r>
              <w:rPr>
                <w:rFonts w:ascii="Arial" w:cs="Arial" w:eastAsia="Arial" w:hAnsi="Arial"/>
                <w:sz w:val="19"/>
                <w:szCs w:val="19"/>
                <w:color w:val="4B4B4B"/>
              </w:rPr>
              <w:t>16.1%</w:t>
            </w:r>
          </w:p>
        </w:tc>
      </w:tr>
      <w:tr>
        <w:trPr>
          <w:trHeight w:val="334"/>
        </w:trPr>
        <w:tc>
          <w:tcPr>
            <w:tcW w:w="4840" w:type="dxa"/>
            <w:vAlign w:val="bottom"/>
          </w:tcPr>
          <w:p>
            <w:pPr>
              <w:ind w:left="20"/>
              <w:spacing w:after="0"/>
              <w:rPr>
                <w:sz w:val="20"/>
                <w:szCs w:val="20"/>
                <w:color w:val="auto"/>
              </w:rPr>
            </w:pPr>
            <w:r>
              <w:rPr>
                <w:rFonts w:ascii="Arial" w:cs="Arial" w:eastAsia="Arial" w:hAnsi="Arial"/>
                <w:sz w:val="19"/>
                <w:szCs w:val="19"/>
                <w:b w:val="1"/>
                <w:bCs w:val="1"/>
                <w:color w:val="4B4B4B"/>
              </w:rPr>
              <w:t>Adjusted EBITDA (2)</w:t>
            </w:r>
          </w:p>
        </w:tc>
        <w:tc>
          <w:tcPr>
            <w:tcW w:w="4240" w:type="dxa"/>
            <w:vAlign w:val="bottom"/>
          </w:tcPr>
          <w:p>
            <w:pPr>
              <w:jc w:val="right"/>
              <w:ind w:right="1126"/>
              <w:spacing w:after="0"/>
              <w:rPr>
                <w:sz w:val="20"/>
                <w:szCs w:val="20"/>
                <w:color w:val="auto"/>
              </w:rPr>
            </w:pPr>
            <w:r>
              <w:rPr>
                <w:rFonts w:ascii="Arial" w:cs="Arial" w:eastAsia="Arial" w:hAnsi="Arial"/>
                <w:sz w:val="19"/>
                <w:szCs w:val="19"/>
                <w:b w:val="1"/>
                <w:bCs w:val="1"/>
                <w:color w:val="4B4B4B"/>
              </w:rPr>
              <w:t>$71.0</w:t>
            </w:r>
          </w:p>
        </w:tc>
        <w:tc>
          <w:tcPr>
            <w:tcW w:w="1980" w:type="dxa"/>
            <w:vAlign w:val="bottom"/>
          </w:tcPr>
          <w:p>
            <w:pPr>
              <w:jc w:val="right"/>
              <w:spacing w:after="0"/>
              <w:rPr>
                <w:sz w:val="20"/>
                <w:szCs w:val="20"/>
                <w:color w:val="auto"/>
              </w:rPr>
            </w:pPr>
            <w:r>
              <w:rPr>
                <w:rFonts w:ascii="Arial" w:cs="Arial" w:eastAsia="Arial" w:hAnsi="Arial"/>
                <w:sz w:val="19"/>
                <w:szCs w:val="19"/>
                <w:b w:val="1"/>
                <w:bCs w:val="1"/>
                <w:color w:val="4B4B4B"/>
              </w:rPr>
              <w:t>$310</w:t>
            </w:r>
          </w:p>
        </w:tc>
      </w:tr>
      <w:tr>
        <w:trPr>
          <w:trHeight w:val="324"/>
        </w:trPr>
        <w:tc>
          <w:tcPr>
            <w:tcW w:w="4840" w:type="dxa"/>
            <w:vAlign w:val="bottom"/>
          </w:tcPr>
          <w:p>
            <w:pPr>
              <w:ind w:left="20"/>
              <w:spacing w:after="0"/>
              <w:rPr>
                <w:sz w:val="20"/>
                <w:szCs w:val="20"/>
                <w:color w:val="auto"/>
              </w:rPr>
            </w:pPr>
            <w:r>
              <w:rPr>
                <w:rFonts w:ascii="Arial" w:cs="Arial" w:eastAsia="Arial" w:hAnsi="Arial"/>
                <w:sz w:val="19"/>
                <w:szCs w:val="19"/>
                <w:b w:val="1"/>
                <w:bCs w:val="1"/>
                <w:color w:val="4B4B4B"/>
              </w:rPr>
              <w:t>Adjusted EBITDA margin (2)</w:t>
            </w:r>
          </w:p>
        </w:tc>
        <w:tc>
          <w:tcPr>
            <w:tcW w:w="4240" w:type="dxa"/>
            <w:vAlign w:val="bottom"/>
          </w:tcPr>
          <w:p>
            <w:pPr>
              <w:jc w:val="right"/>
              <w:ind w:right="1126"/>
              <w:spacing w:after="0"/>
              <w:rPr>
                <w:sz w:val="20"/>
                <w:szCs w:val="20"/>
                <w:color w:val="auto"/>
              </w:rPr>
            </w:pPr>
            <w:r>
              <w:rPr>
                <w:rFonts w:ascii="Arial" w:cs="Arial" w:eastAsia="Arial" w:hAnsi="Arial"/>
                <w:sz w:val="19"/>
                <w:szCs w:val="19"/>
                <w:b w:val="1"/>
                <w:bCs w:val="1"/>
                <w:color w:val="4B4B4B"/>
              </w:rPr>
              <w:t>24.0%</w:t>
            </w:r>
          </w:p>
        </w:tc>
        <w:tc>
          <w:tcPr>
            <w:tcW w:w="1980" w:type="dxa"/>
            <w:vAlign w:val="bottom"/>
          </w:tcPr>
          <w:p>
            <w:pPr>
              <w:jc w:val="right"/>
              <w:spacing w:after="0"/>
              <w:rPr>
                <w:sz w:val="20"/>
                <w:szCs w:val="20"/>
                <w:color w:val="auto"/>
              </w:rPr>
            </w:pPr>
            <w:r>
              <w:rPr>
                <w:rFonts w:ascii="Arial" w:cs="Arial" w:eastAsia="Arial" w:hAnsi="Arial"/>
                <w:sz w:val="19"/>
                <w:szCs w:val="19"/>
                <w:b w:val="1"/>
                <w:bCs w:val="1"/>
                <w:color w:val="4B4B4B"/>
              </w:rPr>
              <w:t>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326580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6580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-201930</wp:posOffset>
            </wp:positionV>
            <wp:extent cx="326580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65805"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-407670</wp:posOffset>
            </wp:positionV>
            <wp:extent cx="326580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65805"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-614045</wp:posOffset>
            </wp:positionV>
            <wp:extent cx="326580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65805"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-819785</wp:posOffset>
            </wp:positionV>
            <wp:extent cx="326580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580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-1024890</wp:posOffset>
            </wp:positionV>
            <wp:extent cx="326580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65805" cy="33655"/>
                    </a:xfrm>
                    <a:prstGeom prst="rect">
                      <a:avLst/>
                    </a:prstGeom>
                    <a:noFill/>
                  </pic:spPr>
                </pic:pic>
              </a:graphicData>
            </a:graphic>
          </wp:anchor>
        </w:drawing>
      </w:r>
    </w:p>
    <w:p>
      <w:pPr>
        <w:spacing w:after="0" w:line="284" w:lineRule="exact"/>
        <w:rPr>
          <w:sz w:val="20"/>
          <w:szCs w:val="20"/>
          <w:color w:val="auto"/>
        </w:rPr>
      </w:pPr>
    </w:p>
    <w:p>
      <w:pPr>
        <w:jc w:val="both"/>
        <w:ind w:left="340" w:right="160" w:hanging="332"/>
        <w:spacing w:after="0" w:line="288" w:lineRule="auto"/>
        <w:tabs>
          <w:tab w:leader="none" w:pos="415" w:val="left"/>
        </w:tabs>
        <w:numPr>
          <w:ilvl w:val="0"/>
          <w:numId w:val="4"/>
        </w:numPr>
        <w:rPr>
          <w:rFonts w:ascii="Arial" w:cs="Arial" w:eastAsia="Arial" w:hAnsi="Arial"/>
          <w:sz w:val="15"/>
          <w:szCs w:val="15"/>
          <w:color w:val="AFAFAF"/>
        </w:rPr>
      </w:pPr>
      <w:r>
        <w:rPr>
          <w:rFonts w:ascii="Arial" w:cs="Arial" w:eastAsia="Arial" w:hAnsi="Arial"/>
          <w:sz w:val="15"/>
          <w:szCs w:val="15"/>
          <w:color w:val="AFAFAF"/>
        </w:rPr>
        <w:t>Our guidance in the table above assumes foreign exchange rates as of April 30, 2026. On a constant currency basis, assuming the average foreign exchange rates for Q2 2025 remained constant for Q2 2026, we estimate our Q2 2026 year-over-year growth for bookings and revenue at 4.1% and 15.8%, respectively. On a constant currency basis, assuming the average foreign exchange rates for full-year 2025 remained constant for full-year 2026, we estimate our full-year 2026 year-over-year growth for bookings and revenue at 8.6% and 14.5%, respectively.</w:t>
      </w:r>
    </w:p>
    <w:p>
      <w:pPr>
        <w:spacing w:after="0" w:line="211" w:lineRule="exact"/>
        <w:rPr>
          <w:rFonts w:ascii="Arial" w:cs="Arial" w:eastAsia="Arial" w:hAnsi="Arial"/>
          <w:sz w:val="15"/>
          <w:szCs w:val="15"/>
          <w:color w:val="AFAFAF"/>
        </w:rPr>
      </w:pPr>
    </w:p>
    <w:p>
      <w:pPr>
        <w:ind w:left="340" w:hanging="332"/>
        <w:spacing w:after="0" w:line="288" w:lineRule="auto"/>
        <w:tabs>
          <w:tab w:leader="none" w:pos="407" w:val="left"/>
        </w:tabs>
        <w:numPr>
          <w:ilvl w:val="0"/>
          <w:numId w:val="4"/>
        </w:numPr>
        <w:rPr>
          <w:rFonts w:ascii="Arial" w:cs="Arial" w:eastAsia="Arial" w:hAnsi="Arial"/>
          <w:sz w:val="15"/>
          <w:szCs w:val="15"/>
          <w:color w:val="AFAFAF"/>
        </w:rPr>
      </w:pPr>
      <w:r>
        <w:rPr>
          <w:rFonts w:ascii="Arial" w:cs="Arial" w:eastAsia="Arial" w:hAnsi="Arial"/>
          <w:sz w:val="15"/>
          <w:szCs w:val="15"/>
          <w:color w:val="AFAFAF"/>
        </w:rPr>
        <w:t>A reconciliation of forward-looking Adjusted EBITDA and Adjusted EBITDA margin to GAAP net income has not been provided, as certain components cannot be calculated or predicted at this time without unreasonable effort. These include stock-based compensation expenses, which depend on future share grants and market prices, and legal, tax, and regulatory reserves, which depend on uncertain timing and magnitude. Accordingly, we are unable to assess the probable significance of these items on future GAAP results.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4B4B4B"/>
        </w:rPr>
        <w:t xml:space="preserve">For </w:t>
      </w:r>
      <w:r>
        <w:rPr>
          <w:rFonts w:ascii="Arial" w:cs="Arial" w:eastAsia="Arial" w:hAnsi="Arial"/>
          <w:sz w:val="19"/>
          <w:szCs w:val="19"/>
          <w:b w:val="1"/>
          <w:bCs w:val="1"/>
          <w:color w:val="4B4B4B"/>
        </w:rPr>
        <w:t>bookings</w:t>
      </w:r>
      <w:r>
        <w:rPr>
          <w:rFonts w:ascii="Arial" w:cs="Arial" w:eastAsia="Arial" w:hAnsi="Arial"/>
          <w:sz w:val="19"/>
          <w:szCs w:val="19"/>
          <w:color w:val="4B4B4B"/>
        </w:rPr>
        <w:t>, we expect FY 2026 to grow approximately 10.5% year over year and Q2 to grow approximately 5.8%, or 8.6% and</w:t>
      </w:r>
    </w:p>
    <w:p>
      <w:pPr>
        <w:spacing w:after="0" w:line="65" w:lineRule="exact"/>
        <w:rPr>
          <w:sz w:val="20"/>
          <w:szCs w:val="20"/>
          <w:color w:val="auto"/>
        </w:rPr>
      </w:pPr>
    </w:p>
    <w:p>
      <w:pPr>
        <w:spacing w:after="0" w:line="344" w:lineRule="auto"/>
        <w:rPr>
          <w:sz w:val="20"/>
          <w:szCs w:val="20"/>
          <w:color w:val="auto"/>
        </w:rPr>
      </w:pPr>
      <w:r>
        <w:rPr>
          <w:rFonts w:ascii="Arial" w:cs="Arial" w:eastAsia="Arial" w:hAnsi="Arial"/>
          <w:sz w:val="19"/>
          <w:szCs w:val="19"/>
          <w:color w:val="4B4B4B"/>
        </w:rPr>
        <w:t>4.1% on a constant currency basis, respectively. Q2 faces a challenging bookings growth comparable, after which we expect bookings growth to accelerate through the remainder of the year.</w:t>
      </w:r>
    </w:p>
    <w:p>
      <w:pPr>
        <w:spacing w:after="0" w:line="184" w:lineRule="exact"/>
        <w:rPr>
          <w:sz w:val="20"/>
          <w:szCs w:val="20"/>
          <w:color w:val="auto"/>
        </w:rPr>
      </w:pPr>
    </w:p>
    <w:p>
      <w:pPr>
        <w:ind w:right="40"/>
        <w:spacing w:after="0" w:line="344" w:lineRule="auto"/>
        <w:rPr>
          <w:sz w:val="20"/>
          <w:szCs w:val="20"/>
          <w:color w:val="auto"/>
        </w:rPr>
      </w:pPr>
      <w:r>
        <w:rPr>
          <w:rFonts w:ascii="Arial" w:cs="Arial" w:eastAsia="Arial" w:hAnsi="Arial"/>
          <w:sz w:val="19"/>
          <w:szCs w:val="19"/>
          <w:color w:val="4B4B4B"/>
        </w:rPr>
        <w:t xml:space="preserve">We expect FY 2026 </w:t>
      </w:r>
      <w:r>
        <w:rPr>
          <w:rFonts w:ascii="Arial" w:cs="Arial" w:eastAsia="Arial" w:hAnsi="Arial"/>
          <w:sz w:val="19"/>
          <w:szCs w:val="19"/>
          <w:b w:val="1"/>
          <w:bCs w:val="1"/>
          <w:color w:val="4B4B4B"/>
        </w:rPr>
        <w:t>revenue</w:t>
      </w:r>
      <w:r>
        <w:rPr>
          <w:rFonts w:ascii="Arial" w:cs="Arial" w:eastAsia="Arial" w:hAnsi="Arial"/>
          <w:sz w:val="19"/>
          <w:szCs w:val="19"/>
          <w:color w:val="4B4B4B"/>
        </w:rPr>
        <w:t xml:space="preserve"> to grow approximately 16.1% year over year and Q2 to grow approximately 17.1%, or 14.5% and 15.8% on a constant currency basis, respectively, with growth moderating through the back half of the year.</w:t>
      </w:r>
    </w:p>
    <w:p>
      <w:pPr>
        <w:spacing w:after="0" w:line="184" w:lineRule="exact"/>
        <w:rPr>
          <w:sz w:val="20"/>
          <w:szCs w:val="20"/>
          <w:color w:val="auto"/>
        </w:rPr>
      </w:pPr>
    </w:p>
    <w:p>
      <w:pPr>
        <w:ind w:right="160"/>
        <w:spacing w:after="0" w:line="344" w:lineRule="auto"/>
        <w:rPr>
          <w:sz w:val="20"/>
          <w:szCs w:val="20"/>
          <w:color w:val="auto"/>
        </w:rPr>
      </w:pPr>
      <w:r>
        <w:rPr>
          <w:rFonts w:ascii="Arial" w:cs="Arial" w:eastAsia="Arial" w:hAnsi="Arial"/>
          <w:sz w:val="19"/>
          <w:szCs w:val="19"/>
          <w:color w:val="4B4B4B"/>
        </w:rPr>
        <w:t xml:space="preserve">We expect </w:t>
      </w:r>
      <w:r>
        <w:rPr>
          <w:rFonts w:ascii="Arial" w:cs="Arial" w:eastAsia="Arial" w:hAnsi="Arial"/>
          <w:sz w:val="19"/>
          <w:szCs w:val="19"/>
          <w:b w:val="1"/>
          <w:bCs w:val="1"/>
          <w:color w:val="4B4B4B"/>
        </w:rPr>
        <w:t>gross margin</w:t>
      </w:r>
      <w:r>
        <w:rPr>
          <w:rFonts w:ascii="Arial" w:cs="Arial" w:eastAsia="Arial" w:hAnsi="Arial"/>
          <w:sz w:val="19"/>
          <w:szCs w:val="19"/>
          <w:color w:val="4B4B4B"/>
        </w:rPr>
        <w:t xml:space="preserve"> of approximately 71.0% in Q2. We believe gross margin will trend down to approximately 69.0% by Q4, as AI feature use expands in our products.</w:t>
      </w:r>
    </w:p>
    <w:p>
      <w:pPr>
        <w:spacing w:after="0" w:line="184" w:lineRule="exact"/>
        <w:rPr>
          <w:sz w:val="20"/>
          <w:szCs w:val="20"/>
          <w:color w:val="auto"/>
        </w:rPr>
      </w:pPr>
    </w:p>
    <w:p>
      <w:pPr>
        <w:ind w:right="320"/>
        <w:spacing w:after="0" w:line="377" w:lineRule="auto"/>
        <w:rPr>
          <w:sz w:val="20"/>
          <w:szCs w:val="20"/>
          <w:color w:val="auto"/>
        </w:rPr>
      </w:pPr>
      <w:r>
        <w:rPr>
          <w:rFonts w:ascii="Arial" w:cs="Arial" w:eastAsia="Arial" w:hAnsi="Arial"/>
          <w:sz w:val="18"/>
          <w:szCs w:val="18"/>
          <w:color w:val="4B4B4B"/>
        </w:rPr>
        <w:t xml:space="preserve">For the full year, we expect </w:t>
      </w:r>
      <w:r>
        <w:rPr>
          <w:rFonts w:ascii="Arial" w:cs="Arial" w:eastAsia="Arial" w:hAnsi="Arial"/>
          <w:sz w:val="18"/>
          <w:szCs w:val="18"/>
          <w:b w:val="1"/>
          <w:bCs w:val="1"/>
          <w:color w:val="4B4B4B"/>
        </w:rPr>
        <w:t>adjusted EBITDA</w:t>
      </w:r>
      <w:r>
        <w:rPr>
          <w:rFonts w:ascii="Arial" w:cs="Arial" w:eastAsia="Arial" w:hAnsi="Arial"/>
          <w:sz w:val="18"/>
          <w:szCs w:val="18"/>
          <w:color w:val="4B4B4B"/>
        </w:rPr>
        <w:t xml:space="preserve"> of $310.0 million, or approximately 25.7% margin. For Q2, we expect an adjusted EBITDA margin of approximately 24.0%. We believe adjusted EBITDA margin will be flat to slightly down in Q3 before rising in Q4.</w:t>
      </w:r>
    </w:p>
    <w:p>
      <w:pPr>
        <w:spacing w:after="0" w:line="160" w:lineRule="exact"/>
        <w:rPr>
          <w:sz w:val="20"/>
          <w:szCs w:val="20"/>
          <w:color w:val="auto"/>
        </w:rPr>
      </w:pPr>
    </w:p>
    <w:p>
      <w:pPr>
        <w:ind w:right="40"/>
        <w:spacing w:after="0" w:line="344" w:lineRule="auto"/>
        <w:rPr>
          <w:sz w:val="20"/>
          <w:szCs w:val="20"/>
          <w:color w:val="auto"/>
        </w:rPr>
      </w:pPr>
      <w:r>
        <w:rPr>
          <w:rFonts w:ascii="Arial" w:cs="Arial" w:eastAsia="Arial" w:hAnsi="Arial"/>
          <w:sz w:val="19"/>
          <w:szCs w:val="19"/>
          <w:color w:val="4B4B4B"/>
        </w:rPr>
        <w:t>2026 stock based compensation is expected to be nearly 15% of revenue, with absolute expense levels growing through the year. We currently expect fully-diluted share count, driven by equity grants to attract and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960" w:type="dxa"/>
            <w:vAlign w:val="bottom"/>
          </w:tcPr>
          <w:p>
            <w:pPr>
              <w:jc w:val="right"/>
              <w:spacing w:after="0"/>
              <w:rPr>
                <w:sz w:val="20"/>
                <w:szCs w:val="20"/>
                <w:color w:val="auto"/>
              </w:rPr>
            </w:pPr>
            <w:r>
              <w:rPr>
                <w:rFonts w:ascii="Arial" w:cs="Arial" w:eastAsia="Arial" w:hAnsi="Arial"/>
                <w:sz w:val="15"/>
                <w:szCs w:val="15"/>
                <w:color w:val="AFAFAF"/>
              </w:rPr>
              <w:t>10</w:t>
            </w:r>
          </w:p>
        </w:tc>
      </w:tr>
    </w:tbl>
    <w:p>
      <w:pPr>
        <w:sectPr>
          <w:pgSz w:w="11900" w:h="16838" w:orient="portrait"/>
          <w:cols w:equalWidth="0" w:num="1">
            <w:col w:w="11220"/>
          </w:cols>
          <w:pgMar w:left="320" w:top="1281" w:right="359" w:bottom="1440" w:gutter="0" w:footer="0" w:header="0"/>
        </w:sectPr>
      </w:pPr>
    </w:p>
    <w:bookmarkStart w:id="15" w:name="page16"/>
    <w:bookmarkEnd w:id="15"/>
    <w:p>
      <w:pPr>
        <w:spacing w:after="0" w:line="344" w:lineRule="auto"/>
        <w:rPr>
          <w:sz w:val="20"/>
          <w:szCs w:val="20"/>
          <w:color w:val="auto"/>
        </w:rPr>
      </w:pPr>
      <w:r>
        <w:rPr>
          <w:rFonts w:ascii="Arial" w:cs="Arial" w:eastAsia="Arial" w:hAnsi="Arial"/>
          <w:sz w:val="19"/>
          <w:szCs w:val="19"/>
          <w:color w:val="4B4B4B"/>
        </w:rPr>
        <w:t>talent, to increase approximately 3.5-4% in 2026. This does not include the impact of any buyback activity. Buyback activity through May 1st represents approximately 1% of fully-diluted shares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4B4B4B"/>
        </w:rPr>
        <w:t>We currently believe you should assume an effective tax provision of approximately 18-20%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940" w:type="dxa"/>
            <w:vAlign w:val="bottom"/>
          </w:tcPr>
          <w:p>
            <w:pPr>
              <w:jc w:val="right"/>
              <w:spacing w:after="0"/>
              <w:rPr>
                <w:sz w:val="20"/>
                <w:szCs w:val="20"/>
                <w:color w:val="auto"/>
              </w:rPr>
            </w:pPr>
            <w:r>
              <w:rPr>
                <w:rFonts w:ascii="Arial" w:cs="Arial" w:eastAsia="Arial" w:hAnsi="Arial"/>
                <w:sz w:val="15"/>
                <w:szCs w:val="15"/>
                <w:color w:val="AFAFAF"/>
              </w:rPr>
              <w:t>11</w:t>
            </w:r>
          </w:p>
        </w:tc>
      </w:tr>
    </w:tbl>
    <w:p>
      <w:pPr>
        <w:sectPr>
          <w:pgSz w:w="11900" w:h="16838" w:orient="portrait"/>
          <w:cols w:equalWidth="0" w:num="1">
            <w:col w:w="10960"/>
          </w:cols>
          <w:pgMar w:left="320" w:top="1314" w:right="619" w:bottom="1440" w:gutter="0" w:footer="0" w:header="0"/>
        </w:sectPr>
      </w:pPr>
    </w:p>
    <w:bookmarkStart w:id="16" w:name="page17"/>
    <w:bookmarkEnd w:id="16"/>
    <w:p>
      <w:pPr>
        <w:spacing w:after="0"/>
        <w:rPr>
          <w:sz w:val="20"/>
          <w:szCs w:val="20"/>
          <w:color w:val="auto"/>
        </w:rPr>
      </w:pPr>
      <w:r>
        <w:rPr>
          <w:rFonts w:ascii="Arial" w:cs="Arial" w:eastAsia="Arial" w:hAnsi="Arial"/>
          <w:sz w:val="23"/>
          <w:szCs w:val="23"/>
          <w:b w:val="1"/>
          <w:bCs w:val="1"/>
          <w:color w:val="4B4B4B"/>
        </w:rPr>
        <w:t>Dilutive Securities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820" w:type="dxa"/>
            <w:vAlign w:val="bottom"/>
            <w:gridSpan w:val="3"/>
          </w:tcPr>
          <w:p>
            <w:pPr>
              <w:spacing w:after="0"/>
              <w:rPr>
                <w:sz w:val="20"/>
                <w:szCs w:val="20"/>
                <w:color w:val="auto"/>
              </w:rPr>
            </w:pPr>
            <w:r>
              <w:rPr>
                <w:rFonts w:ascii="Arial" w:cs="Arial" w:eastAsia="Arial" w:hAnsi="Arial"/>
                <w:sz w:val="19"/>
                <w:szCs w:val="19"/>
                <w:color w:val="4B4B4B"/>
              </w:rPr>
              <w:t>Duolingo has various dilutive securities outstanding. The table below details these securities:</w:t>
            </w: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4"/>
        </w:trPr>
        <w:tc>
          <w:tcPr>
            <w:tcW w:w="4980" w:type="dxa"/>
            <w:vAlign w:val="bottom"/>
          </w:tcPr>
          <w:p>
            <w:pPr>
              <w:spacing w:after="0"/>
              <w:rPr>
                <w:sz w:val="22"/>
                <w:szCs w:val="22"/>
                <w:color w:val="auto"/>
              </w:rPr>
            </w:pPr>
          </w:p>
        </w:tc>
        <w:tc>
          <w:tcPr>
            <w:tcW w:w="2840" w:type="dxa"/>
            <w:vAlign w:val="bottom"/>
            <w:gridSpan w:val="2"/>
          </w:tcPr>
          <w:p>
            <w:pPr>
              <w:ind w:left="860"/>
              <w:spacing w:after="0"/>
              <w:rPr>
                <w:sz w:val="20"/>
                <w:szCs w:val="20"/>
                <w:color w:val="auto"/>
              </w:rPr>
            </w:pPr>
            <w:r>
              <w:rPr>
                <w:rFonts w:ascii="Arial" w:cs="Arial" w:eastAsia="Arial" w:hAnsi="Arial"/>
                <w:sz w:val="19"/>
                <w:szCs w:val="19"/>
                <w:b w:val="1"/>
                <w:bCs w:val="1"/>
                <w:color w:val="58CC02"/>
              </w:rPr>
              <w:t>Price as of March 31,</w:t>
            </w:r>
          </w:p>
        </w:tc>
        <w:tc>
          <w:tcPr>
            <w:tcW w:w="23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58CC02"/>
              </w:rPr>
              <w:t>Weighted-average</w:t>
            </w:r>
          </w:p>
        </w:tc>
        <w:tc>
          <w:tcPr>
            <w:tcW w:w="1100" w:type="dxa"/>
            <w:vAlign w:val="bottom"/>
          </w:tcPr>
          <w:p>
            <w:pPr>
              <w:spacing w:after="0"/>
              <w:rPr>
                <w:sz w:val="22"/>
                <w:szCs w:val="22"/>
                <w:color w:val="auto"/>
              </w:rPr>
            </w:pPr>
          </w:p>
        </w:tc>
      </w:tr>
      <w:tr>
        <w:trPr>
          <w:trHeight w:val="257"/>
        </w:trPr>
        <w:tc>
          <w:tcPr>
            <w:tcW w:w="4980" w:type="dxa"/>
            <w:vAlign w:val="bottom"/>
          </w:tcPr>
          <w:p>
            <w:pPr>
              <w:ind w:left="20"/>
              <w:spacing w:after="0"/>
              <w:rPr>
                <w:sz w:val="20"/>
                <w:szCs w:val="20"/>
                <w:color w:val="auto"/>
              </w:rPr>
            </w:pPr>
            <w:r>
              <w:rPr>
                <w:rFonts w:ascii="Arial" w:cs="Arial" w:eastAsia="Arial" w:hAnsi="Arial"/>
                <w:sz w:val="19"/>
                <w:szCs w:val="19"/>
                <w:b w:val="1"/>
                <w:bCs w:val="1"/>
                <w:color w:val="58CC02"/>
              </w:rPr>
              <w:t>(Amounts in millions, except share price)</w:t>
            </w:r>
          </w:p>
        </w:tc>
        <w:tc>
          <w:tcPr>
            <w:tcW w:w="2740" w:type="dxa"/>
            <w:vAlign w:val="bottom"/>
          </w:tcPr>
          <w:p>
            <w:pPr>
              <w:jc w:val="right"/>
              <w:spacing w:after="0"/>
              <w:rPr>
                <w:sz w:val="20"/>
                <w:szCs w:val="20"/>
                <w:color w:val="auto"/>
              </w:rPr>
            </w:pPr>
            <w:r>
              <w:rPr>
                <w:rFonts w:ascii="Arial" w:cs="Arial" w:eastAsia="Arial" w:hAnsi="Arial"/>
                <w:sz w:val="19"/>
                <w:szCs w:val="19"/>
                <w:b w:val="1"/>
                <w:bCs w:val="1"/>
                <w:color w:val="58CC02"/>
              </w:rPr>
              <w:t>2026</w:t>
            </w:r>
          </w:p>
        </w:tc>
        <w:tc>
          <w:tcPr>
            <w:tcW w:w="100" w:type="dxa"/>
            <w:vAlign w:val="bottom"/>
          </w:tcPr>
          <w:p>
            <w:pPr>
              <w:spacing w:after="0"/>
              <w:rPr>
                <w:sz w:val="22"/>
                <w:szCs w:val="22"/>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58CC02"/>
              </w:rPr>
              <w:t>exercise price</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58CC02"/>
              </w:rPr>
              <w:t>Shares</w:t>
            </w:r>
          </w:p>
        </w:tc>
      </w:tr>
      <w:tr>
        <w:trPr>
          <w:trHeight w:val="26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4B4B4B"/>
              </w:rPr>
              <w:t>Share price</w:t>
            </w:r>
          </w:p>
        </w:tc>
        <w:tc>
          <w:tcPr>
            <w:tcW w:w="27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4B4B4B"/>
              </w:rPr>
              <w:t>$98.57</w:t>
            </w:r>
          </w:p>
        </w:tc>
        <w:tc>
          <w:tcPr>
            <w:tcW w:w="100" w:type="dxa"/>
            <w:vAlign w:val="bottom"/>
          </w:tcPr>
          <w:p>
            <w:pPr>
              <w:spacing w:after="0"/>
              <w:rPr>
                <w:sz w:val="23"/>
                <w:szCs w:val="23"/>
                <w:color w:val="auto"/>
              </w:rPr>
            </w:pPr>
          </w:p>
        </w:tc>
        <w:tc>
          <w:tcPr>
            <w:tcW w:w="2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324"/>
        </w:trPr>
        <w:tc>
          <w:tcPr>
            <w:tcW w:w="4980" w:type="dxa"/>
            <w:vAlign w:val="bottom"/>
          </w:tcPr>
          <w:p>
            <w:pPr>
              <w:ind w:left="20"/>
              <w:spacing w:after="0"/>
              <w:rPr>
                <w:sz w:val="20"/>
                <w:szCs w:val="20"/>
                <w:color w:val="auto"/>
              </w:rPr>
            </w:pPr>
            <w:r>
              <w:rPr>
                <w:rFonts w:ascii="Arial" w:cs="Arial" w:eastAsia="Arial" w:hAnsi="Arial"/>
                <w:sz w:val="19"/>
                <w:szCs w:val="19"/>
                <w:color w:val="4B4B4B"/>
              </w:rPr>
              <w:t>Common stock outstanding as of March 31, 2026</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4B4B4B"/>
              </w:rPr>
              <w:t>46.9</w:t>
            </w:r>
          </w:p>
        </w:tc>
      </w:tr>
      <w:tr>
        <w:trPr>
          <w:trHeight w:val="324"/>
        </w:trPr>
        <w:tc>
          <w:tcPr>
            <w:tcW w:w="4980" w:type="dxa"/>
            <w:vAlign w:val="bottom"/>
          </w:tcPr>
          <w:p>
            <w:pPr>
              <w:ind w:left="20"/>
              <w:spacing w:after="0"/>
              <w:rPr>
                <w:sz w:val="20"/>
                <w:szCs w:val="20"/>
                <w:color w:val="auto"/>
              </w:rPr>
            </w:pPr>
            <w:r>
              <w:rPr>
                <w:rFonts w:ascii="Arial" w:cs="Arial" w:eastAsia="Arial" w:hAnsi="Arial"/>
                <w:sz w:val="19"/>
                <w:szCs w:val="19"/>
                <w:color w:val="4B4B4B"/>
              </w:rPr>
              <w:t>Founder awards (1)</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4B4B4B"/>
              </w:rPr>
              <w:t>0.8</w:t>
            </w:r>
          </w:p>
        </w:tc>
      </w:tr>
      <w:tr>
        <w:trPr>
          <w:trHeight w:val="324"/>
        </w:trPr>
        <w:tc>
          <w:tcPr>
            <w:tcW w:w="4980" w:type="dxa"/>
            <w:vAlign w:val="bottom"/>
          </w:tcPr>
          <w:p>
            <w:pPr>
              <w:ind w:left="20"/>
              <w:spacing w:after="0"/>
              <w:rPr>
                <w:sz w:val="20"/>
                <w:szCs w:val="20"/>
                <w:color w:val="auto"/>
              </w:rPr>
            </w:pPr>
            <w:r>
              <w:rPr>
                <w:rFonts w:ascii="Arial" w:cs="Arial" w:eastAsia="Arial" w:hAnsi="Arial"/>
                <w:sz w:val="19"/>
                <w:szCs w:val="19"/>
                <w:color w:val="4B4B4B"/>
              </w:rPr>
              <w:t>Dilutive effect of stock options outstanding (2)</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9"/>
                <w:szCs w:val="19"/>
                <w:color w:val="4B4B4B"/>
              </w:rPr>
              <w:t>$20.71</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4B4B4B"/>
              </w:rPr>
              <w:t>0.5</w:t>
            </w:r>
          </w:p>
        </w:tc>
      </w:tr>
      <w:tr>
        <w:trPr>
          <w:trHeight w:val="324"/>
        </w:trPr>
        <w:tc>
          <w:tcPr>
            <w:tcW w:w="4980" w:type="dxa"/>
            <w:vAlign w:val="bottom"/>
          </w:tcPr>
          <w:p>
            <w:pPr>
              <w:ind w:left="20"/>
              <w:spacing w:after="0"/>
              <w:rPr>
                <w:sz w:val="20"/>
                <w:szCs w:val="20"/>
                <w:color w:val="auto"/>
              </w:rPr>
            </w:pPr>
            <w:r>
              <w:rPr>
                <w:rFonts w:ascii="Arial" w:cs="Arial" w:eastAsia="Arial" w:hAnsi="Arial"/>
                <w:sz w:val="19"/>
                <w:szCs w:val="19"/>
                <w:color w:val="4B4B4B"/>
              </w:rPr>
              <w:t>RSUs outstanding</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4B4B4B"/>
              </w:rPr>
              <w:t>1.5</w:t>
            </w:r>
          </w:p>
        </w:tc>
      </w:tr>
      <w:tr>
        <w:trPr>
          <w:trHeight w:val="48"/>
        </w:trPr>
        <w:tc>
          <w:tcPr>
            <w:tcW w:w="49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9"/>
        </w:trPr>
        <w:tc>
          <w:tcPr>
            <w:tcW w:w="4980" w:type="dxa"/>
            <w:vAlign w:val="bottom"/>
          </w:tcPr>
          <w:p>
            <w:pPr>
              <w:ind w:left="20"/>
              <w:spacing w:after="0"/>
              <w:rPr>
                <w:sz w:val="20"/>
                <w:szCs w:val="20"/>
                <w:color w:val="auto"/>
              </w:rPr>
            </w:pPr>
            <w:r>
              <w:rPr>
                <w:rFonts w:ascii="Arial" w:cs="Arial" w:eastAsia="Arial" w:hAnsi="Arial"/>
                <w:sz w:val="19"/>
                <w:szCs w:val="19"/>
                <w:b w:val="1"/>
                <w:bCs w:val="1"/>
                <w:color w:val="4B4B4B"/>
              </w:rPr>
              <w:t>Total estimated diluted shares outstanding</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4B4B4B"/>
              </w:rPr>
              <w:t>49.7</w:t>
            </w:r>
          </w:p>
        </w:tc>
      </w:tr>
      <w:tr>
        <w:trPr>
          <w:trHeight w:val="38"/>
        </w:trPr>
        <w:tc>
          <w:tcPr>
            <w:tcW w:w="49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
        </w:trPr>
        <w:tc>
          <w:tcPr>
            <w:tcW w:w="4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Video Webcast</w:t>
      </w:r>
    </w:p>
    <w:p>
      <w:pPr>
        <w:spacing w:after="0" w:line="295"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4B4B4B"/>
        </w:rPr>
        <w:t xml:space="preserve">Duolingo will host a video webcast to discuss its first quarter results today, May 4, 2026, at 5:00 p.m. ET. This live webcast and related materials will be publicly available and can be accessed at </w:t>
      </w:r>
      <w:r>
        <w:rPr>
          <w:rFonts w:ascii="Arial" w:cs="Arial" w:eastAsia="Arial" w:hAnsi="Arial"/>
          <w:sz w:val="17"/>
          <w:szCs w:val="17"/>
          <w:b w:val="1"/>
          <w:bCs w:val="1"/>
          <w:color w:val="1CB0F6"/>
        </w:rPr>
        <w:t>investors.duolingo.com</w:t>
      </w:r>
      <w:r>
        <w:rPr>
          <w:rFonts w:ascii="Arial" w:cs="Arial" w:eastAsia="Arial" w:hAnsi="Arial"/>
          <w:sz w:val="19"/>
          <w:szCs w:val="19"/>
          <w:color w:val="4B4B4B"/>
        </w:rPr>
        <w:t>. A replay will be available on the Investor Relations website two hours following completion of the webcast and will remain available for a period of one year.</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About Duolingo</w:t>
      </w:r>
    </w:p>
    <w:p>
      <w:pPr>
        <w:spacing w:after="0" w:line="282" w:lineRule="exact"/>
        <w:rPr>
          <w:sz w:val="20"/>
          <w:szCs w:val="20"/>
          <w:color w:val="auto"/>
        </w:rPr>
      </w:pPr>
    </w:p>
    <w:p>
      <w:pPr>
        <w:ind w:right="20"/>
        <w:spacing w:after="0" w:line="322" w:lineRule="auto"/>
        <w:rPr>
          <w:sz w:val="20"/>
          <w:szCs w:val="20"/>
          <w:color w:val="auto"/>
        </w:rPr>
      </w:pPr>
      <w:r>
        <w:rPr>
          <w:rFonts w:ascii="Arial" w:cs="Arial" w:eastAsia="Arial" w:hAnsi="Arial"/>
          <w:sz w:val="19"/>
          <w:szCs w:val="19"/>
          <w:color w:val="4B4B4B"/>
        </w:rPr>
        <w:t>Duolingo is the leading mobile learning platform globally. Its flagship app has organically become the world's most popular way to learn languages and the top-grossing app in the Education category on both Google Play and the Apple App Store. With technology at the core of everything it does, Duolingo has consistently invested to provide learners a fun, engaging, and effective learning experience while remaining committed to its mission to develop the best education in the world and make it universally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5"/>
          <w:szCs w:val="15"/>
          <w:color w:val="AFAFAF"/>
        </w:rPr>
      </w:pPr>
      <w:r>
        <w:rPr>
          <w:rFonts w:ascii="Arial" w:cs="Arial" w:eastAsia="Arial" w:hAnsi="Arial"/>
          <w:sz w:val="15"/>
          <w:szCs w:val="15"/>
          <w:color w:val="AFAFAF"/>
        </w:rPr>
        <w:t>Includes 0.6 million underlying performance-based Restricted Stock Units ("RSUs") where performance criteria have not been satisfied.</w:t>
      </w:r>
    </w:p>
    <w:p>
      <w:pPr>
        <w:spacing w:after="0" w:line="43" w:lineRule="exact"/>
        <w:rPr>
          <w:rFonts w:ascii="Arial" w:cs="Arial" w:eastAsia="Arial" w:hAnsi="Arial"/>
          <w:sz w:val="15"/>
          <w:szCs w:val="15"/>
          <w:color w:val="AFAFAF"/>
        </w:rPr>
      </w:pPr>
    </w:p>
    <w:p>
      <w:pPr>
        <w:jc w:val="both"/>
        <w:ind w:left="340" w:right="460" w:hanging="332"/>
        <w:spacing w:after="0" w:line="319" w:lineRule="auto"/>
        <w:tabs>
          <w:tab w:leader="none" w:pos="351" w:val="left"/>
        </w:tabs>
        <w:numPr>
          <w:ilvl w:val="0"/>
          <w:numId w:val="5"/>
        </w:numPr>
        <w:rPr>
          <w:rFonts w:ascii="Arial" w:cs="Arial" w:eastAsia="Arial" w:hAnsi="Arial"/>
          <w:sz w:val="15"/>
          <w:szCs w:val="15"/>
          <w:color w:val="AFAFAF"/>
        </w:rPr>
      </w:pPr>
      <w:r>
        <w:rPr>
          <w:rFonts w:ascii="Arial" w:cs="Arial" w:eastAsia="Arial" w:hAnsi="Arial"/>
          <w:sz w:val="15"/>
          <w:szCs w:val="15"/>
          <w:color w:val="AFAFAF"/>
        </w:rPr>
        <w:t>The Company has 0.7 million options outstanding as of March 31, 2026. The estimated dilutive effect is calculated as the number of shares expected to be issued upon vesting or exercise, adjusted for the strike price proceeds that are received by the Company and assumed to be used to repurchase shares of Duolingo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960" w:type="dxa"/>
            <w:vAlign w:val="bottom"/>
          </w:tcPr>
          <w:p>
            <w:pPr>
              <w:jc w:val="right"/>
              <w:spacing w:after="0"/>
              <w:rPr>
                <w:sz w:val="20"/>
                <w:szCs w:val="20"/>
                <w:color w:val="auto"/>
              </w:rPr>
            </w:pPr>
            <w:r>
              <w:rPr>
                <w:rFonts w:ascii="Arial" w:cs="Arial" w:eastAsia="Arial" w:hAnsi="Arial"/>
                <w:sz w:val="15"/>
                <w:szCs w:val="15"/>
                <w:color w:val="AFAFAF"/>
              </w:rPr>
              <w:t>12</w:t>
            </w:r>
          </w:p>
        </w:tc>
      </w:tr>
    </w:tbl>
    <w:p>
      <w:pPr>
        <w:sectPr>
          <w:pgSz w:w="11900" w:h="16838" w:orient="portrait"/>
          <w:cols w:equalWidth="0" w:num="1">
            <w:col w:w="11240"/>
          </w:cols>
          <w:pgMar w:left="320" w:top="1281" w:right="339" w:bottom="1440" w:gutter="0" w:footer="0" w:header="0"/>
        </w:sectPr>
      </w:pPr>
    </w:p>
    <w:bookmarkStart w:id="17" w:name="page18"/>
    <w:bookmarkEnd w:id="17"/>
    <w:p>
      <w:pPr>
        <w:spacing w:after="0"/>
        <w:rPr>
          <w:sz w:val="20"/>
          <w:szCs w:val="20"/>
          <w:color w:val="auto"/>
        </w:rPr>
      </w:pPr>
      <w:r>
        <w:rPr>
          <w:rFonts w:ascii="Arial" w:cs="Arial" w:eastAsia="Arial" w:hAnsi="Arial"/>
          <w:sz w:val="23"/>
          <w:szCs w:val="23"/>
          <w:b w:val="1"/>
          <w:bCs w:val="1"/>
          <w:color w:val="4B4B4B"/>
        </w:rPr>
        <w:t>Definitions</w:t>
      </w:r>
    </w:p>
    <w:p>
      <w:pPr>
        <w:spacing w:after="0" w:line="290" w:lineRule="exact"/>
        <w:rPr>
          <w:sz w:val="20"/>
          <w:szCs w:val="20"/>
          <w:color w:val="auto"/>
        </w:rPr>
      </w:pPr>
    </w:p>
    <w:p>
      <w:pPr>
        <w:ind w:right="340"/>
        <w:spacing w:after="0" w:line="322" w:lineRule="auto"/>
        <w:rPr>
          <w:sz w:val="20"/>
          <w:szCs w:val="20"/>
          <w:color w:val="auto"/>
        </w:rPr>
      </w:pPr>
      <w:r>
        <w:rPr>
          <w:rFonts w:ascii="Arial" w:cs="Arial" w:eastAsia="Arial" w:hAnsi="Arial"/>
          <w:sz w:val="18"/>
          <w:szCs w:val="18"/>
          <w:b w:val="1"/>
          <w:bCs w:val="1"/>
          <w:color w:val="4B4B4B"/>
        </w:rPr>
        <w:t xml:space="preserve">Daily Active Users (DAUs). </w:t>
      </w:r>
      <w:r>
        <w:rPr>
          <w:rFonts w:ascii="Arial" w:cs="Arial" w:eastAsia="Arial" w:hAnsi="Arial"/>
          <w:sz w:val="18"/>
          <w:szCs w:val="18"/>
          <w:color w:val="4B4B4B"/>
        </w:rPr>
        <w:t>DAUs are defined as unique users who engage with our Duolingo App or the learning section of our website</w:t>
      </w:r>
      <w:r>
        <w:rPr>
          <w:rFonts w:ascii="Arial" w:cs="Arial" w:eastAsia="Arial" w:hAnsi="Arial"/>
          <w:sz w:val="18"/>
          <w:szCs w:val="18"/>
          <w:b w:val="1"/>
          <w:bCs w:val="1"/>
          <w:color w:val="4B4B4B"/>
        </w:rPr>
        <w:t xml:space="preserve"> </w:t>
      </w:r>
      <w:r>
        <w:rPr>
          <w:rFonts w:ascii="Arial" w:cs="Arial" w:eastAsia="Arial" w:hAnsi="Arial"/>
          <w:sz w:val="18"/>
          <w:szCs w:val="18"/>
          <w:color w:val="4B4B4B"/>
        </w:rPr>
        <w:t>each calendar day. DAUs are reported for a measurement period by taking the average of the DAUs for each day in that measurement period. The measurement period for DAUs is the three months ended March 31, 2026 and the same period in the prior year where applicable, and the analysis of results is based on those periods. DAUs are a measure of the consistent engagement of our global user community on Duolingo.</w:t>
      </w:r>
    </w:p>
    <w:p>
      <w:pPr>
        <w:spacing w:after="0" w:line="204" w:lineRule="exact"/>
        <w:rPr>
          <w:sz w:val="20"/>
          <w:szCs w:val="20"/>
          <w:color w:val="auto"/>
        </w:rPr>
      </w:pPr>
    </w:p>
    <w:p>
      <w:pPr>
        <w:ind w:right="40"/>
        <w:spacing w:after="0" w:line="325" w:lineRule="auto"/>
        <w:rPr>
          <w:sz w:val="20"/>
          <w:szCs w:val="20"/>
          <w:color w:val="auto"/>
        </w:rPr>
      </w:pPr>
      <w:r>
        <w:rPr>
          <w:rFonts w:ascii="Arial" w:cs="Arial" w:eastAsia="Arial" w:hAnsi="Arial"/>
          <w:sz w:val="18"/>
          <w:szCs w:val="18"/>
          <w:b w:val="1"/>
          <w:bCs w:val="1"/>
          <w:color w:val="4B4B4B"/>
        </w:rPr>
        <w:t xml:space="preserve">Paid Subscribers. </w:t>
      </w:r>
      <w:r>
        <w:rPr>
          <w:rFonts w:ascii="Arial" w:cs="Arial" w:eastAsia="Arial" w:hAnsi="Arial"/>
          <w:sz w:val="18"/>
          <w:szCs w:val="18"/>
          <w:color w:val="4B4B4B"/>
        </w:rPr>
        <w:t>Paid subscribers are defined as users who pay for access to any Duolingo subscription offering and had an active</w:t>
      </w:r>
      <w:r>
        <w:rPr>
          <w:rFonts w:ascii="Arial" w:cs="Arial" w:eastAsia="Arial" w:hAnsi="Arial"/>
          <w:sz w:val="18"/>
          <w:szCs w:val="18"/>
          <w:b w:val="1"/>
          <w:bCs w:val="1"/>
          <w:color w:val="4B4B4B"/>
        </w:rPr>
        <w:t xml:space="preserve"> </w:t>
      </w:r>
      <w:r>
        <w:rPr>
          <w:rFonts w:ascii="Arial" w:cs="Arial" w:eastAsia="Arial" w:hAnsi="Arial"/>
          <w:sz w:val="18"/>
          <w:szCs w:val="18"/>
          <w:color w:val="4B4B4B"/>
        </w:rPr>
        <w:t>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w:t>
      </w:r>
    </w:p>
    <w:p>
      <w:pPr>
        <w:spacing w:after="0" w:line="202" w:lineRule="exact"/>
        <w:rPr>
          <w:sz w:val="20"/>
          <w:szCs w:val="20"/>
          <w:color w:val="auto"/>
        </w:rPr>
      </w:pPr>
    </w:p>
    <w:p>
      <w:pPr>
        <w:ind w:right="20"/>
        <w:spacing w:after="0" w:line="322" w:lineRule="auto"/>
        <w:rPr>
          <w:sz w:val="20"/>
          <w:szCs w:val="20"/>
          <w:color w:val="auto"/>
        </w:rPr>
      </w:pPr>
      <w:r>
        <w:rPr>
          <w:rFonts w:ascii="Arial" w:cs="Arial" w:eastAsia="Arial" w:hAnsi="Arial"/>
          <w:sz w:val="18"/>
          <w:szCs w:val="18"/>
          <w:b w:val="1"/>
          <w:bCs w:val="1"/>
          <w:color w:val="4B4B4B"/>
        </w:rPr>
        <w:t xml:space="preserve">Subscription Bookings and Total Bookings. </w:t>
      </w:r>
      <w:r>
        <w:rPr>
          <w:rFonts w:ascii="Arial" w:cs="Arial" w:eastAsia="Arial" w:hAnsi="Arial"/>
          <w:sz w:val="18"/>
          <w:szCs w:val="18"/>
          <w:color w:val="4B4B4B"/>
        </w:rPr>
        <w:t>Subscription bookings represent the amounts we receive from a purchase of any Duolingo</w:t>
      </w:r>
      <w:r>
        <w:rPr>
          <w:rFonts w:ascii="Arial" w:cs="Arial" w:eastAsia="Arial" w:hAnsi="Arial"/>
          <w:sz w:val="18"/>
          <w:szCs w:val="18"/>
          <w:b w:val="1"/>
          <w:bCs w:val="1"/>
          <w:color w:val="4B4B4B"/>
        </w:rPr>
        <w:t xml:space="preserve"> </w:t>
      </w:r>
      <w:r>
        <w:rPr>
          <w:rFonts w:ascii="Arial" w:cs="Arial" w:eastAsia="Arial" w:hAnsi="Arial"/>
          <w:sz w:val="18"/>
          <w:szCs w:val="18"/>
          <w:color w:val="4B4B4B"/>
        </w:rPr>
        <w:t>subscription offering. Total bookings include subscription bookings, income from advertising networks for advertisements served to our users, purchases of the Duolingo English Test, and in-app purchases of virtual goods ("IAPs"). We believe bookings provide an indication of trends in our operating results, including cash flows, that are not necessarily reflected in our revenues because we recognize subscription revenues ratably over the lifetime of a subscription, the majority of which are twelve months in duration.</w:t>
      </w:r>
    </w:p>
    <w:p>
      <w:pPr>
        <w:spacing w:after="0" w:line="204" w:lineRule="exact"/>
        <w:rPr>
          <w:sz w:val="20"/>
          <w:szCs w:val="20"/>
          <w:color w:val="auto"/>
        </w:rPr>
      </w:pPr>
    </w:p>
    <w:p>
      <w:pPr>
        <w:ind w:right="40"/>
        <w:spacing w:after="0" w:line="322" w:lineRule="auto"/>
        <w:rPr>
          <w:sz w:val="20"/>
          <w:szCs w:val="20"/>
          <w:color w:val="auto"/>
        </w:rPr>
      </w:pPr>
      <w:r>
        <w:rPr>
          <w:rFonts w:ascii="Arial" w:cs="Arial" w:eastAsia="Arial" w:hAnsi="Arial"/>
          <w:sz w:val="18"/>
          <w:szCs w:val="18"/>
          <w:b w:val="1"/>
          <w:bCs w:val="1"/>
          <w:color w:val="4B4B4B"/>
        </w:rPr>
        <w:t xml:space="preserve">Monthly Active Users (MAUs). </w:t>
      </w:r>
      <w:r>
        <w:rPr>
          <w:rFonts w:ascii="Arial" w:cs="Arial" w:eastAsia="Arial" w:hAnsi="Arial"/>
          <w:sz w:val="18"/>
          <w:szCs w:val="18"/>
          <w:color w:val="4B4B4B"/>
        </w:rPr>
        <w:t>MAUs are defined as unique users who engage with our Duolingo App or the learning section of our website</w:t>
      </w:r>
      <w:r>
        <w:rPr>
          <w:rFonts w:ascii="Arial" w:cs="Arial" w:eastAsia="Arial" w:hAnsi="Arial"/>
          <w:sz w:val="18"/>
          <w:szCs w:val="18"/>
          <w:b w:val="1"/>
          <w:bCs w:val="1"/>
          <w:color w:val="4B4B4B"/>
        </w:rPr>
        <w:t xml:space="preserve"> </w:t>
      </w:r>
      <w:r>
        <w:rPr>
          <w:rFonts w:ascii="Arial" w:cs="Arial" w:eastAsia="Arial" w:hAnsi="Arial"/>
          <w:sz w:val="18"/>
          <w:szCs w:val="18"/>
          <w:color w:val="4B4B4B"/>
        </w:rPr>
        <w:t>each month. MAUs are reported for a measurement period by taking the average of the MAUs for each calendar month in that measurement period. The measurement period for MAUs is the three months ended March 31, 2026 and the same period in the prior year where applicable, and the analysis of results is based on those periods. MAUs are a supplemental measure and help illustrate the size of our global active user community on Duolingo.</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Limitation of Key Operating Metrics and Other Data</w:t>
      </w:r>
    </w:p>
    <w:p>
      <w:pPr>
        <w:spacing w:after="0" w:line="290" w:lineRule="exact"/>
        <w:rPr>
          <w:sz w:val="20"/>
          <w:szCs w:val="20"/>
          <w:color w:val="auto"/>
        </w:rPr>
      </w:pPr>
    </w:p>
    <w:p>
      <w:pPr>
        <w:spacing w:after="0" w:line="317" w:lineRule="auto"/>
        <w:rPr>
          <w:sz w:val="20"/>
          <w:szCs w:val="20"/>
          <w:color w:val="auto"/>
        </w:rPr>
      </w:pPr>
      <w:r>
        <w:rPr>
          <w:rFonts w:ascii="Arial" w:cs="Arial" w:eastAsia="Arial" w:hAnsi="Arial"/>
          <w:sz w:val="18"/>
          <w:szCs w:val="18"/>
          <w:color w:val="4B4B4B"/>
        </w:rPr>
        <w:t>We manage our business by tracking several operating metrics, including DAUs, paid subscribers, and subscription and total bookings. 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 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Other companies, including companies in our industry, may calculate these metrics differently.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960" w:type="dxa"/>
            <w:vAlign w:val="bottom"/>
          </w:tcPr>
          <w:p>
            <w:pPr>
              <w:jc w:val="right"/>
              <w:spacing w:after="0"/>
              <w:rPr>
                <w:sz w:val="20"/>
                <w:szCs w:val="20"/>
                <w:color w:val="auto"/>
              </w:rPr>
            </w:pPr>
            <w:r>
              <w:rPr>
                <w:rFonts w:ascii="Arial" w:cs="Arial" w:eastAsia="Arial" w:hAnsi="Arial"/>
                <w:sz w:val="15"/>
                <w:szCs w:val="15"/>
                <w:color w:val="AFAFAF"/>
              </w:rPr>
              <w:t>13</w:t>
            </w:r>
          </w:p>
        </w:tc>
      </w:tr>
    </w:tbl>
    <w:p>
      <w:pPr>
        <w:sectPr>
          <w:pgSz w:w="11900" w:h="16838" w:orient="portrait"/>
          <w:cols w:equalWidth="0" w:num="1">
            <w:col w:w="11240"/>
          </w:cols>
          <w:pgMar w:left="320" w:top="1281" w:right="339" w:bottom="1440" w:gutter="0" w:footer="0" w:header="0"/>
        </w:sectPr>
      </w:pPr>
    </w:p>
    <w:bookmarkStart w:id="18" w:name="page19"/>
    <w:bookmarkEnd w:id="18"/>
    <w:p>
      <w:pPr>
        <w:spacing w:after="0"/>
        <w:rPr>
          <w:sz w:val="20"/>
          <w:szCs w:val="20"/>
          <w:color w:val="auto"/>
        </w:rPr>
      </w:pPr>
      <w:r>
        <w:rPr>
          <w:rFonts w:ascii="Arial" w:cs="Arial" w:eastAsia="Arial" w:hAnsi="Arial"/>
          <w:sz w:val="23"/>
          <w:szCs w:val="23"/>
          <w:b w:val="1"/>
          <w:bCs w:val="1"/>
          <w:color w:val="4B4B4B"/>
        </w:rPr>
        <w:t>Non-GAAP Financial Measures</w:t>
      </w:r>
    </w:p>
    <w:p>
      <w:pPr>
        <w:spacing w:after="0" w:line="290" w:lineRule="exact"/>
        <w:rPr>
          <w:sz w:val="20"/>
          <w:szCs w:val="20"/>
          <w:color w:val="auto"/>
        </w:rPr>
      </w:pPr>
    </w:p>
    <w:p>
      <w:pPr>
        <w:spacing w:after="0" w:line="316" w:lineRule="auto"/>
        <w:rPr>
          <w:sz w:val="20"/>
          <w:szCs w:val="20"/>
          <w:color w:val="auto"/>
        </w:rPr>
      </w:pPr>
      <w:r>
        <w:rPr>
          <w:rFonts w:ascii="Arial" w:cs="Arial" w:eastAsia="Arial" w:hAnsi="Arial"/>
          <w:sz w:val="18"/>
          <w:szCs w:val="18"/>
          <w:color w:val="4B4B4B"/>
        </w:rPr>
        <w:t>We use certain non-GAAP financial measures to supplement our reported financial results, which are presented in accordance with GAAP. Non-GAAP financial measures include Adjusted EBITDA, Adjusted EBITDA margin, constant currency measures, non-GAAP R&amp;D expense, non-GAAP S&amp;M expense and non-GAAP G&amp;A expense (collectively, the “non-GAAP operating expenses”), free cash flow, and free cash flow margin. Please refer to the definitions and reconciliation at the end of this letter. We use these non-GAAP financial measures for financial and operational decision-making and as a means to evaluate period-to-period comparisons. By excluding certain items that may not be indicative of our recurring core operating results, we believe that these non-GAAP financial measures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210" w:lineRule="exact"/>
        <w:rPr>
          <w:sz w:val="20"/>
          <w:szCs w:val="20"/>
          <w:color w:val="auto"/>
        </w:rPr>
      </w:pPr>
    </w:p>
    <w:p>
      <w:pPr>
        <w:ind w:right="160"/>
        <w:spacing w:after="0" w:line="317" w:lineRule="auto"/>
        <w:rPr>
          <w:sz w:val="20"/>
          <w:szCs w:val="20"/>
          <w:color w:val="auto"/>
        </w:rPr>
      </w:pPr>
      <w:r>
        <w:rPr>
          <w:rFonts w:ascii="Arial" w:cs="Arial" w:eastAsia="Arial" w:hAnsi="Arial"/>
          <w:sz w:val="18"/>
          <w:szCs w:val="18"/>
          <w:color w:val="4B4B4B"/>
        </w:rPr>
        <w:t>The effect of currency exchange rates on our business is an important factor in understanding period to period comparisons. We use non-GAAP percentage change in constant currency 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translating current period foreign currency revenues using prior-year exchange rates applied consistently over the full revenue recognition period. We calculate constant currency bookings by using current period foreign currency bookings and translating them to constant currency using prior year comparable period exchange rates. The constant currency percentage change for revenues and bookings is calculated by dividing the difference between the constant currency amount and the prior year comparable period amount by the prior year comparable period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960" w:type="dxa"/>
            <w:vAlign w:val="bottom"/>
          </w:tcPr>
          <w:p>
            <w:pPr>
              <w:jc w:val="right"/>
              <w:spacing w:after="0"/>
              <w:rPr>
                <w:sz w:val="20"/>
                <w:szCs w:val="20"/>
                <w:color w:val="auto"/>
              </w:rPr>
            </w:pPr>
            <w:r>
              <w:rPr>
                <w:rFonts w:ascii="Arial" w:cs="Arial" w:eastAsia="Arial" w:hAnsi="Arial"/>
                <w:sz w:val="15"/>
                <w:szCs w:val="15"/>
                <w:color w:val="AFAFAF"/>
              </w:rPr>
              <w:t>14</w:t>
            </w:r>
          </w:p>
        </w:tc>
      </w:tr>
    </w:tbl>
    <w:p>
      <w:pPr>
        <w:sectPr>
          <w:pgSz w:w="11900" w:h="16838" w:orient="portrait"/>
          <w:cols w:equalWidth="0" w:num="1">
            <w:col w:w="11180"/>
          </w:cols>
          <w:pgMar w:left="320" w:top="1281" w:right="399" w:bottom="1440" w:gutter="0" w:footer="0" w:header="0"/>
        </w:sectPr>
      </w:pPr>
    </w:p>
    <w:bookmarkStart w:id="19" w:name="page20"/>
    <w:bookmarkEnd w:id="19"/>
    <w:p>
      <w:pPr>
        <w:spacing w:after="0"/>
        <w:rPr>
          <w:sz w:val="20"/>
          <w:szCs w:val="20"/>
          <w:color w:val="auto"/>
        </w:rPr>
      </w:pPr>
      <w:r>
        <w:rPr>
          <w:rFonts w:ascii="Arial" w:cs="Arial" w:eastAsia="Arial" w:hAnsi="Arial"/>
          <w:sz w:val="23"/>
          <w:szCs w:val="23"/>
          <w:b w:val="1"/>
          <w:bCs w:val="1"/>
          <w:color w:val="4B4B4B"/>
        </w:rPr>
        <w:t>Forward-Looking Statements</w:t>
      </w:r>
    </w:p>
    <w:p>
      <w:pPr>
        <w:spacing w:after="0" w:line="276" w:lineRule="exact"/>
        <w:rPr>
          <w:sz w:val="20"/>
          <w:szCs w:val="20"/>
          <w:color w:val="auto"/>
        </w:rPr>
      </w:pPr>
    </w:p>
    <w:p>
      <w:pPr>
        <w:spacing w:after="0" w:line="293" w:lineRule="auto"/>
        <w:rPr>
          <w:sz w:val="20"/>
          <w:szCs w:val="20"/>
          <w:color w:val="auto"/>
        </w:rPr>
      </w:pPr>
      <w:r>
        <w:rPr>
          <w:rFonts w:ascii="Arial" w:cs="Arial" w:eastAsia="Arial" w:hAnsi="Arial"/>
          <w:sz w:val="18"/>
          <w:szCs w:val="18"/>
          <w:color w:val="4B4B4B"/>
        </w:rPr>
        <w:t xml:space="preserve">This Shareholder Letter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letter, including without limitation, statements regarding our business model and strategic priorities for growth, product enhancement, and monetization, including the expected benefits and efficacy of new products and product innovation for user growth and retention, our share repurchase program, our use of AI features, our medium-term user growth targets, our investments in new learning subjects, our expected learning outcomes and proficiency levels, and our financial outlook and guidance, are forward-looking statements. 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 our ability to retain and grow our users and sustain their engagement with our products; competition in the online language learning industry; our limited operating history; our ability to maintain or increase profitability; our ability to manage our growth and operate at such scale; the success of our investments; our reliance on third-party platforms to store and distribute our products and collect revenue; our reliance on third-party hosting and cloud computing providers; our ability to compete for advertisements; acceptance by educational organizations of technology-based education; our ability to access, collect, use, and otherwise process Personal Data about our users and payers, and to comply with applicable data privacy laws; our ability to successfully develop, implement and use of artificial intelligence and machine learning technologies; our ability adequately obtain, protect and maintain our intellectual property rights; and the other important factors more fully detailed under the caption "Risk Factors" in our Annual Report on Form 10-K for the fiscal year ended December 31, 2025, as any such factors may be updated from time to time in our other filings with the Securities and Exchange Commission (“SEC”), accessible on the SEC’s website at www.sec.gov and the Investor Relations section of the Company’s website at </w:t>
      </w:r>
      <w:r>
        <w:rPr>
          <w:rFonts w:ascii="Arial" w:cs="Arial" w:eastAsia="Arial" w:hAnsi="Arial"/>
          <w:sz w:val="18"/>
          <w:szCs w:val="18"/>
          <w:b w:val="1"/>
          <w:bCs w:val="1"/>
          <w:color w:val="1CB0F6"/>
        </w:rPr>
        <w:t>investors.duolingo.com</w:t>
      </w:r>
      <w:r>
        <w:rPr>
          <w:rFonts w:ascii="Arial" w:cs="Arial" w:eastAsia="Arial" w:hAnsi="Arial"/>
          <w:sz w:val="18"/>
          <w:szCs w:val="18"/>
          <w:color w:val="4B4B4B"/>
        </w:rPr>
        <w:t>. All forward-looking statements speak only as of the date of this letter. While we may elect to update such forward-looking statements at some point in the future, unless required by applicable law, we disclaim any obligation to do so, even if subsequent events cause our views to change.</w:t>
      </w: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b w:val="1"/>
          <w:bCs w:val="1"/>
          <w:color w:val="4B4B4B"/>
        </w:rPr>
        <w:t>Website Information</w:t>
      </w:r>
    </w:p>
    <w:p>
      <w:pPr>
        <w:spacing w:after="0" w:line="290"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4B4B4B"/>
        </w:rPr>
        <w:t xml:space="preserve">We routinely post important information for investors on the Investor Relations section of our website, </w:t>
      </w:r>
      <w:r>
        <w:rPr>
          <w:rFonts w:ascii="Arial" w:cs="Arial" w:eastAsia="Arial" w:hAnsi="Arial"/>
          <w:sz w:val="18"/>
          <w:szCs w:val="18"/>
          <w:b w:val="1"/>
          <w:bCs w:val="1"/>
          <w:color w:val="1CB0F6"/>
        </w:rPr>
        <w:t>investors.duolingo.com</w:t>
      </w:r>
      <w:r>
        <w:rPr>
          <w:rFonts w:ascii="Arial" w:cs="Arial" w:eastAsia="Arial" w:hAnsi="Arial"/>
          <w:sz w:val="18"/>
          <w:szCs w:val="18"/>
          <w:color w:val="4B4B4B"/>
        </w:rPr>
        <w:t xml:space="preserve">, and also from time to time may use social media channels, including our X account </w:t>
      </w:r>
      <w:r>
        <w:rPr>
          <w:rFonts w:ascii="Arial" w:cs="Arial" w:eastAsia="Arial" w:hAnsi="Arial"/>
          <w:sz w:val="18"/>
          <w:szCs w:val="18"/>
          <w:b w:val="1"/>
          <w:bCs w:val="1"/>
          <w:color w:val="1CB0F6"/>
        </w:rPr>
        <w:t>x.com/duolingo</w:t>
      </w:r>
      <w:r>
        <w:rPr>
          <w:rFonts w:ascii="Arial" w:cs="Arial" w:eastAsia="Arial" w:hAnsi="Arial"/>
          <w:sz w:val="18"/>
          <w:szCs w:val="18"/>
          <w:color w:val="4B4B4B"/>
        </w:rPr>
        <w:t xml:space="preserve"> and our LinkedIn account </w:t>
      </w:r>
      <w:r>
        <w:rPr>
          <w:rFonts w:ascii="Arial" w:cs="Arial" w:eastAsia="Arial" w:hAnsi="Arial"/>
          <w:sz w:val="18"/>
          <w:szCs w:val="18"/>
          <w:b w:val="1"/>
          <w:bCs w:val="1"/>
          <w:color w:val="1CB0F6"/>
        </w:rPr>
        <w:t>linkedin.com/company/duolingo</w:t>
      </w:r>
      <w:r>
        <w:rPr>
          <w:rFonts w:ascii="Arial" w:cs="Arial" w:eastAsia="Arial" w:hAnsi="Arial"/>
          <w:sz w:val="18"/>
          <w:szCs w:val="18"/>
          <w:color w:val="4B4B4B"/>
        </w:rPr>
        <w:t>, as an additional means of disclosing public information to investors, the media, and others interested in</w:t>
      </w:r>
      <w:r>
        <w:rPr>
          <w:rFonts w:ascii="Arial" w:cs="Arial" w:eastAsia="Arial" w:hAnsi="Arial"/>
          <w:sz w:val="18"/>
          <w:szCs w:val="18"/>
          <w:b w:val="1"/>
          <w:bCs w:val="1"/>
          <w:color w:val="1CB0F6"/>
        </w:rPr>
        <w:t xml:space="preserve"> </w:t>
      </w:r>
      <w:r>
        <w:rPr>
          <w:rFonts w:ascii="Arial" w:cs="Arial" w:eastAsia="Arial" w:hAnsi="Arial"/>
          <w:sz w:val="18"/>
          <w:szCs w:val="18"/>
          <w:color w:val="4B4B4B"/>
        </w:rPr>
        <w:t>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in addition to following our press releases, SEC filings, public conference calls, presentations, and webcasts. The information contained on, or that may be accessed through, our website and our social media channels is not incorporated by reference into, and is not a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960" w:type="dxa"/>
            <w:vAlign w:val="bottom"/>
          </w:tcPr>
          <w:p>
            <w:pPr>
              <w:jc w:val="right"/>
              <w:spacing w:after="0"/>
              <w:rPr>
                <w:sz w:val="20"/>
                <w:szCs w:val="20"/>
                <w:color w:val="auto"/>
              </w:rPr>
            </w:pPr>
            <w:r>
              <w:rPr>
                <w:rFonts w:ascii="Arial" w:cs="Arial" w:eastAsia="Arial" w:hAnsi="Arial"/>
                <w:sz w:val="15"/>
                <w:szCs w:val="15"/>
                <w:color w:val="AFAFAF"/>
              </w:rPr>
              <w:t>15</w:t>
            </w:r>
          </w:p>
        </w:tc>
      </w:tr>
    </w:tbl>
    <w:p>
      <w:pPr>
        <w:sectPr>
          <w:pgSz w:w="11900" w:h="16838" w:orient="portrait"/>
          <w:cols w:equalWidth="0" w:num="1">
            <w:col w:w="11220"/>
          </w:cols>
          <w:pgMar w:left="320" w:top="1281" w:right="35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22"/>
          <w:szCs w:val="22"/>
          <w:b w:val="1"/>
          <w:bCs w:val="1"/>
          <w:color w:val="4B4B4B"/>
        </w:rPr>
        <w:t>DUOLINGO, INC. AND SUBSIDIARIES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4B4B4B"/>
        </w:rPr>
        <w:t>UNAUDITED CONDENSED CONSOLIDATED BALANCE SHEETS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60" w:type="dxa"/>
            <w:vAlign w:val="bottom"/>
            <w:vMerge w:val="restart"/>
          </w:tcPr>
          <w:p>
            <w:pPr>
              <w:spacing w:after="0"/>
              <w:rPr>
                <w:sz w:val="20"/>
                <w:szCs w:val="20"/>
                <w:color w:val="auto"/>
              </w:rPr>
            </w:pPr>
            <w:r>
              <w:rPr>
                <w:rFonts w:ascii="Arial" w:cs="Arial" w:eastAsia="Arial" w:hAnsi="Arial"/>
                <w:sz w:val="19"/>
                <w:szCs w:val="19"/>
                <w:b w:val="1"/>
                <w:bCs w:val="1"/>
                <w:color w:val="58CC02"/>
              </w:rPr>
              <w:t>(in thousands)</w:t>
            </w:r>
          </w:p>
        </w:tc>
        <w:tc>
          <w:tcPr>
            <w:tcW w:w="212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58CC02"/>
              </w:rPr>
              <w:t>December 31,</w:t>
            </w:r>
          </w:p>
        </w:tc>
        <w:tc>
          <w:tcPr>
            <w:tcW w:w="2000" w:type="dxa"/>
            <w:vAlign w:val="bottom"/>
          </w:tcPr>
          <w:p>
            <w:pPr>
              <w:jc w:val="right"/>
              <w:spacing w:after="0"/>
              <w:rPr>
                <w:sz w:val="20"/>
                <w:szCs w:val="20"/>
                <w:color w:val="auto"/>
              </w:rPr>
            </w:pPr>
            <w:r>
              <w:rPr>
                <w:rFonts w:ascii="Arial" w:cs="Arial" w:eastAsia="Arial" w:hAnsi="Arial"/>
                <w:sz w:val="19"/>
                <w:szCs w:val="19"/>
                <w:b w:val="1"/>
                <w:bCs w:val="1"/>
                <w:color w:val="58CC02"/>
              </w:rPr>
              <w:t>March 31,</w:t>
            </w:r>
          </w:p>
        </w:tc>
        <w:tc>
          <w:tcPr>
            <w:tcW w:w="0" w:type="dxa"/>
            <w:vAlign w:val="bottom"/>
          </w:tcPr>
          <w:p>
            <w:pPr>
              <w:spacing w:after="0"/>
              <w:rPr>
                <w:sz w:val="1"/>
                <w:szCs w:val="1"/>
                <w:color w:val="auto"/>
              </w:rPr>
            </w:pPr>
          </w:p>
        </w:tc>
      </w:tr>
      <w:tr>
        <w:trPr>
          <w:trHeight w:val="151"/>
        </w:trPr>
        <w:tc>
          <w:tcPr>
            <w:tcW w:w="7060" w:type="dxa"/>
            <w:vAlign w:val="bottom"/>
            <w:vMerge w:val="continue"/>
          </w:tcPr>
          <w:p>
            <w:pPr>
              <w:spacing w:after="0"/>
              <w:rPr>
                <w:sz w:val="13"/>
                <w:szCs w:val="13"/>
                <w:color w:val="auto"/>
              </w:rPr>
            </w:pPr>
          </w:p>
        </w:tc>
        <w:tc>
          <w:tcPr>
            <w:tcW w:w="2020" w:type="dxa"/>
            <w:vAlign w:val="bottom"/>
            <w:vMerge w:val="restart"/>
          </w:tcPr>
          <w:p>
            <w:pPr>
              <w:jc w:val="right"/>
              <w:spacing w:after="0"/>
              <w:rPr>
                <w:sz w:val="20"/>
                <w:szCs w:val="20"/>
                <w:color w:val="auto"/>
              </w:rPr>
            </w:pPr>
            <w:r>
              <w:rPr>
                <w:rFonts w:ascii="Arial" w:cs="Arial" w:eastAsia="Arial" w:hAnsi="Arial"/>
                <w:sz w:val="19"/>
                <w:szCs w:val="19"/>
                <w:b w:val="1"/>
                <w:bCs w:val="1"/>
                <w:color w:val="58CC02"/>
              </w:rPr>
              <w:t>2025</w:t>
            </w:r>
          </w:p>
        </w:tc>
        <w:tc>
          <w:tcPr>
            <w:tcW w:w="100" w:type="dxa"/>
            <w:vAlign w:val="bottom"/>
          </w:tcPr>
          <w:p>
            <w:pPr>
              <w:spacing w:after="0"/>
              <w:rPr>
                <w:sz w:val="13"/>
                <w:szCs w:val="13"/>
                <w:color w:val="auto"/>
              </w:rPr>
            </w:pPr>
          </w:p>
        </w:tc>
        <w:tc>
          <w:tcPr>
            <w:tcW w:w="2000" w:type="dxa"/>
            <w:vAlign w:val="bottom"/>
            <w:vMerge w:val="restart"/>
          </w:tcPr>
          <w:p>
            <w:pPr>
              <w:jc w:val="right"/>
              <w:spacing w:after="0"/>
              <w:rPr>
                <w:sz w:val="20"/>
                <w:szCs w:val="20"/>
                <w:color w:val="auto"/>
              </w:rPr>
            </w:pPr>
            <w:r>
              <w:rPr>
                <w:rFonts w:ascii="Arial" w:cs="Arial" w:eastAsia="Arial" w:hAnsi="Arial"/>
                <w:sz w:val="19"/>
                <w:szCs w:val="19"/>
                <w:b w:val="1"/>
                <w:bCs w:val="1"/>
                <w:color w:val="58CC02"/>
              </w:rPr>
              <w:t>2026</w:t>
            </w:r>
          </w:p>
        </w:tc>
        <w:tc>
          <w:tcPr>
            <w:tcW w:w="0" w:type="dxa"/>
            <w:vAlign w:val="bottom"/>
          </w:tcPr>
          <w:p>
            <w:pPr>
              <w:spacing w:after="0"/>
              <w:rPr>
                <w:sz w:val="1"/>
                <w:szCs w:val="1"/>
                <w:color w:val="auto"/>
              </w:rPr>
            </w:pPr>
          </w:p>
        </w:tc>
      </w:tr>
      <w:tr>
        <w:trPr>
          <w:trHeight w:val="106"/>
        </w:trPr>
        <w:tc>
          <w:tcPr>
            <w:tcW w:w="70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060" w:type="dxa"/>
            <w:vAlign w:val="bottom"/>
          </w:tcPr>
          <w:p>
            <w:pPr>
              <w:spacing w:after="0"/>
              <w:rPr>
                <w:sz w:val="20"/>
                <w:szCs w:val="20"/>
                <w:color w:val="auto"/>
              </w:rPr>
            </w:pPr>
            <w:r>
              <w:rPr>
                <w:rFonts w:ascii="Arial" w:cs="Arial" w:eastAsia="Arial" w:hAnsi="Arial"/>
                <w:sz w:val="18"/>
                <w:szCs w:val="18"/>
                <w:b w:val="1"/>
                <w:bCs w:val="1"/>
                <w:color w:val="4B4B4B"/>
              </w:rPr>
              <w:t>ASSETS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060" w:type="dxa"/>
            <w:vAlign w:val="bottom"/>
          </w:tcPr>
          <w:p>
            <w:pPr>
              <w:spacing w:after="0"/>
              <w:rPr>
                <w:sz w:val="20"/>
                <w:szCs w:val="20"/>
                <w:color w:val="auto"/>
              </w:rPr>
            </w:pPr>
            <w:r>
              <w:rPr>
                <w:rFonts w:ascii="Arial" w:cs="Arial" w:eastAsia="Arial" w:hAnsi="Arial"/>
                <w:sz w:val="18"/>
                <w:szCs w:val="18"/>
                <w:color w:val="4B4B4B"/>
              </w:rPr>
              <w:t>Current assets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Arial" w:cs="Arial" w:eastAsia="Arial" w:hAnsi="Arial"/>
                <w:sz w:val="18"/>
                <w:szCs w:val="18"/>
                <w:color w:val="4B4B4B"/>
              </w:rPr>
              <w:t>Cash and cash equivalents</w:t>
            </w:r>
          </w:p>
        </w:tc>
        <w:tc>
          <w:tcPr>
            <w:tcW w:w="2020" w:type="dxa"/>
            <w:vAlign w:val="bottom"/>
          </w:tcPr>
          <w:p>
            <w:pPr>
              <w:jc w:val="right"/>
              <w:spacing w:after="0"/>
              <w:rPr>
                <w:sz w:val="20"/>
                <w:szCs w:val="20"/>
                <w:color w:val="auto"/>
              </w:rPr>
            </w:pPr>
            <w:r>
              <w:rPr>
                <w:rFonts w:ascii="Arial" w:cs="Arial" w:eastAsia="Arial" w:hAnsi="Arial"/>
                <w:sz w:val="18"/>
                <w:szCs w:val="18"/>
                <w:color w:val="4B4B4B"/>
              </w:rPr>
              <w:t>$1,036,389</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$1,138,561</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Short-term investments</w:t>
            </w:r>
          </w:p>
        </w:tc>
        <w:tc>
          <w:tcPr>
            <w:tcW w:w="2020" w:type="dxa"/>
            <w:vAlign w:val="bottom"/>
          </w:tcPr>
          <w:p>
            <w:pPr>
              <w:jc w:val="right"/>
              <w:spacing w:after="0"/>
              <w:rPr>
                <w:sz w:val="20"/>
                <w:szCs w:val="20"/>
                <w:color w:val="auto"/>
              </w:rPr>
            </w:pPr>
            <w:r>
              <w:rPr>
                <w:rFonts w:ascii="Arial" w:cs="Arial" w:eastAsia="Arial" w:hAnsi="Arial"/>
                <w:sz w:val="18"/>
                <w:szCs w:val="18"/>
                <w:color w:val="4B4B4B"/>
              </w:rPr>
              <w:t>104,078</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113,049</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Arial" w:cs="Arial" w:eastAsia="Arial" w:hAnsi="Arial"/>
                <w:sz w:val="18"/>
                <w:szCs w:val="18"/>
                <w:color w:val="4B4B4B"/>
              </w:rPr>
              <w:t>Accounts receivable</w:t>
            </w:r>
          </w:p>
        </w:tc>
        <w:tc>
          <w:tcPr>
            <w:tcW w:w="2020" w:type="dxa"/>
            <w:vAlign w:val="bottom"/>
          </w:tcPr>
          <w:p>
            <w:pPr>
              <w:jc w:val="right"/>
              <w:spacing w:after="0"/>
              <w:rPr>
                <w:sz w:val="20"/>
                <w:szCs w:val="20"/>
                <w:color w:val="auto"/>
              </w:rPr>
            </w:pPr>
            <w:r>
              <w:rPr>
                <w:rFonts w:ascii="Arial" w:cs="Arial" w:eastAsia="Arial" w:hAnsi="Arial"/>
                <w:sz w:val="18"/>
                <w:szCs w:val="18"/>
                <w:color w:val="4B4B4B"/>
              </w:rPr>
              <w:t>162,827</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125,086</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Deferred cost of revenues</w:t>
            </w:r>
          </w:p>
        </w:tc>
        <w:tc>
          <w:tcPr>
            <w:tcW w:w="2020" w:type="dxa"/>
            <w:vAlign w:val="bottom"/>
          </w:tcPr>
          <w:p>
            <w:pPr>
              <w:jc w:val="right"/>
              <w:spacing w:after="0"/>
              <w:rPr>
                <w:sz w:val="20"/>
                <w:szCs w:val="20"/>
                <w:color w:val="auto"/>
              </w:rPr>
            </w:pPr>
            <w:r>
              <w:rPr>
                <w:rFonts w:ascii="Arial" w:cs="Arial" w:eastAsia="Arial" w:hAnsi="Arial"/>
                <w:sz w:val="18"/>
                <w:szCs w:val="18"/>
                <w:color w:val="4B4B4B"/>
              </w:rPr>
              <w:t>102,663</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104,513</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Arial" w:cs="Arial" w:eastAsia="Arial" w:hAnsi="Arial"/>
                <w:sz w:val="18"/>
                <w:szCs w:val="18"/>
                <w:color w:val="4B4B4B"/>
              </w:rPr>
              <w:t>Income tax receivable</w:t>
            </w:r>
          </w:p>
        </w:tc>
        <w:tc>
          <w:tcPr>
            <w:tcW w:w="2020" w:type="dxa"/>
            <w:vAlign w:val="bottom"/>
          </w:tcPr>
          <w:p>
            <w:pPr>
              <w:jc w:val="right"/>
              <w:spacing w:after="0"/>
              <w:rPr>
                <w:sz w:val="20"/>
                <w:szCs w:val="20"/>
                <w:color w:val="auto"/>
              </w:rPr>
            </w:pPr>
            <w:r>
              <w:rPr>
                <w:rFonts w:ascii="Arial" w:cs="Arial" w:eastAsia="Arial" w:hAnsi="Arial"/>
                <w:sz w:val="18"/>
                <w:szCs w:val="18"/>
                <w:color w:val="4B4B4B"/>
              </w:rPr>
              <w:t>14,067</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5,092</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Arial" w:cs="Arial" w:eastAsia="Arial" w:hAnsi="Arial"/>
                <w:sz w:val="18"/>
                <w:szCs w:val="18"/>
                <w:color w:val="4B4B4B"/>
              </w:rPr>
              <w:t>Prepaid expenses and other current assets</w:t>
            </w:r>
          </w:p>
        </w:tc>
        <w:tc>
          <w:tcPr>
            <w:tcW w:w="2020" w:type="dxa"/>
            <w:vAlign w:val="bottom"/>
          </w:tcPr>
          <w:p>
            <w:pPr>
              <w:jc w:val="right"/>
              <w:spacing w:after="0"/>
              <w:rPr>
                <w:sz w:val="20"/>
                <w:szCs w:val="20"/>
                <w:color w:val="auto"/>
              </w:rPr>
            </w:pPr>
            <w:r>
              <w:rPr>
                <w:rFonts w:ascii="Arial" w:cs="Arial" w:eastAsia="Arial" w:hAnsi="Arial"/>
                <w:sz w:val="18"/>
                <w:szCs w:val="18"/>
                <w:color w:val="4B4B4B"/>
              </w:rPr>
              <w:t>16,582</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19,658</w:t>
            </w:r>
          </w:p>
        </w:tc>
        <w:tc>
          <w:tcPr>
            <w:tcW w:w="0" w:type="dxa"/>
            <w:vAlign w:val="bottom"/>
          </w:tcPr>
          <w:p>
            <w:pPr>
              <w:spacing w:after="0"/>
              <w:rPr>
                <w:sz w:val="1"/>
                <w:szCs w:val="1"/>
                <w:color w:val="auto"/>
              </w:rPr>
            </w:pPr>
          </w:p>
        </w:tc>
      </w:tr>
      <w:tr>
        <w:trPr>
          <w:trHeight w:val="5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4B4B4B"/>
              </w:rPr>
              <w:t>Total current assets</w:t>
            </w: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060" w:type="dxa"/>
            <w:vAlign w:val="bottom"/>
            <w:vMerge w:val="continue"/>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4B4B4B"/>
              </w:rPr>
              <w:t>1,436,606</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4B4B4B"/>
              </w:rPr>
              <w:t>1,505,959</w:t>
            </w:r>
          </w:p>
        </w:tc>
        <w:tc>
          <w:tcPr>
            <w:tcW w:w="0" w:type="dxa"/>
            <w:vAlign w:val="bottom"/>
          </w:tcPr>
          <w:p>
            <w:pPr>
              <w:spacing w:after="0"/>
              <w:rPr>
                <w:sz w:val="1"/>
                <w:szCs w:val="1"/>
                <w:color w:val="auto"/>
              </w:rPr>
            </w:pPr>
          </w:p>
        </w:tc>
      </w:tr>
      <w:tr>
        <w:trPr>
          <w:trHeight w:val="303"/>
        </w:trPr>
        <w:tc>
          <w:tcPr>
            <w:tcW w:w="7060" w:type="dxa"/>
            <w:vAlign w:val="bottom"/>
          </w:tcPr>
          <w:p>
            <w:pPr>
              <w:spacing w:after="0"/>
              <w:rPr>
                <w:sz w:val="20"/>
                <w:szCs w:val="20"/>
                <w:color w:val="auto"/>
              </w:rPr>
            </w:pPr>
            <w:r>
              <w:rPr>
                <w:rFonts w:ascii="Arial" w:cs="Arial" w:eastAsia="Arial" w:hAnsi="Arial"/>
                <w:sz w:val="18"/>
                <w:szCs w:val="18"/>
                <w:color w:val="4B4B4B"/>
              </w:rPr>
              <w:t>Operating lease right-of-use assets</w:t>
            </w:r>
          </w:p>
        </w:tc>
        <w:tc>
          <w:tcPr>
            <w:tcW w:w="2020" w:type="dxa"/>
            <w:vAlign w:val="bottom"/>
          </w:tcPr>
          <w:p>
            <w:pPr>
              <w:jc w:val="right"/>
              <w:spacing w:after="0"/>
              <w:rPr>
                <w:sz w:val="20"/>
                <w:szCs w:val="20"/>
                <w:color w:val="auto"/>
              </w:rPr>
            </w:pPr>
            <w:r>
              <w:rPr>
                <w:rFonts w:ascii="Arial" w:cs="Arial" w:eastAsia="Arial" w:hAnsi="Arial"/>
                <w:sz w:val="18"/>
                <w:szCs w:val="18"/>
                <w:color w:val="4B4B4B"/>
              </w:rPr>
              <w:t>80,380</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79,944</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Arial" w:cs="Arial" w:eastAsia="Arial" w:hAnsi="Arial"/>
                <w:sz w:val="18"/>
                <w:szCs w:val="18"/>
                <w:color w:val="4B4B4B"/>
              </w:rPr>
              <w:t>Long-term investments</w:t>
            </w:r>
          </w:p>
        </w:tc>
        <w:tc>
          <w:tcPr>
            <w:tcW w:w="2020" w:type="dxa"/>
            <w:vAlign w:val="bottom"/>
          </w:tcPr>
          <w:p>
            <w:pPr>
              <w:jc w:val="right"/>
              <w:spacing w:after="0"/>
              <w:rPr>
                <w:sz w:val="20"/>
                <w:szCs w:val="20"/>
                <w:color w:val="auto"/>
              </w:rPr>
            </w:pPr>
            <w:r>
              <w:rPr>
                <w:rFonts w:ascii="Arial" w:cs="Arial" w:eastAsia="Arial" w:hAnsi="Arial"/>
                <w:sz w:val="18"/>
                <w:szCs w:val="18"/>
                <w:color w:val="4B4B4B"/>
              </w:rPr>
              <w:t>135,098</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140,211</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Intangible assets, net</w:t>
            </w:r>
          </w:p>
        </w:tc>
        <w:tc>
          <w:tcPr>
            <w:tcW w:w="2020" w:type="dxa"/>
            <w:vAlign w:val="bottom"/>
          </w:tcPr>
          <w:p>
            <w:pPr>
              <w:jc w:val="right"/>
              <w:spacing w:after="0"/>
              <w:rPr>
                <w:sz w:val="20"/>
                <w:szCs w:val="20"/>
                <w:color w:val="auto"/>
              </w:rPr>
            </w:pPr>
            <w:r>
              <w:rPr>
                <w:rFonts w:ascii="Arial" w:cs="Arial" w:eastAsia="Arial" w:hAnsi="Arial"/>
                <w:sz w:val="18"/>
                <w:szCs w:val="18"/>
                <w:color w:val="4B4B4B"/>
              </w:rPr>
              <w:t>28,309</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28,327</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Property and equipment, net</w:t>
            </w:r>
          </w:p>
        </w:tc>
        <w:tc>
          <w:tcPr>
            <w:tcW w:w="2020" w:type="dxa"/>
            <w:vAlign w:val="bottom"/>
          </w:tcPr>
          <w:p>
            <w:pPr>
              <w:jc w:val="right"/>
              <w:spacing w:after="0"/>
              <w:rPr>
                <w:sz w:val="20"/>
                <w:szCs w:val="20"/>
                <w:color w:val="auto"/>
              </w:rPr>
            </w:pPr>
            <w:r>
              <w:rPr>
                <w:rFonts w:ascii="Arial" w:cs="Arial" w:eastAsia="Arial" w:hAnsi="Arial"/>
                <w:sz w:val="18"/>
                <w:szCs w:val="18"/>
                <w:color w:val="4B4B4B"/>
              </w:rPr>
              <w:t>36,297</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36,966</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Arial" w:cs="Arial" w:eastAsia="Arial" w:hAnsi="Arial"/>
                <w:sz w:val="18"/>
                <w:szCs w:val="18"/>
                <w:color w:val="4B4B4B"/>
              </w:rPr>
              <w:t>Goodwill</w:t>
            </w:r>
          </w:p>
        </w:tc>
        <w:tc>
          <w:tcPr>
            <w:tcW w:w="2020" w:type="dxa"/>
            <w:vAlign w:val="bottom"/>
          </w:tcPr>
          <w:p>
            <w:pPr>
              <w:jc w:val="right"/>
              <w:spacing w:after="0"/>
              <w:rPr>
                <w:sz w:val="20"/>
                <w:szCs w:val="20"/>
                <w:color w:val="auto"/>
              </w:rPr>
            </w:pPr>
            <w:r>
              <w:rPr>
                <w:rFonts w:ascii="Arial" w:cs="Arial" w:eastAsia="Arial" w:hAnsi="Arial"/>
                <w:sz w:val="18"/>
                <w:szCs w:val="18"/>
                <w:color w:val="4B4B4B"/>
              </w:rPr>
              <w:t>35,335</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35,335</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Restricted cash</w:t>
            </w:r>
          </w:p>
        </w:tc>
        <w:tc>
          <w:tcPr>
            <w:tcW w:w="2020" w:type="dxa"/>
            <w:vAlign w:val="bottom"/>
          </w:tcPr>
          <w:p>
            <w:pPr>
              <w:jc w:val="right"/>
              <w:spacing w:after="0"/>
              <w:rPr>
                <w:sz w:val="20"/>
                <w:szCs w:val="20"/>
                <w:color w:val="auto"/>
              </w:rPr>
            </w:pPr>
            <w:r>
              <w:rPr>
                <w:rFonts w:ascii="Arial" w:cs="Arial" w:eastAsia="Arial" w:hAnsi="Arial"/>
                <w:sz w:val="18"/>
                <w:szCs w:val="18"/>
                <w:color w:val="4B4B4B"/>
              </w:rPr>
              <w:t>2,735</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2,735</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Deferred tax assets, net</w:t>
            </w:r>
          </w:p>
        </w:tc>
        <w:tc>
          <w:tcPr>
            <w:tcW w:w="2020" w:type="dxa"/>
            <w:vAlign w:val="bottom"/>
          </w:tcPr>
          <w:p>
            <w:pPr>
              <w:jc w:val="right"/>
              <w:spacing w:after="0"/>
              <w:rPr>
                <w:sz w:val="20"/>
                <w:szCs w:val="20"/>
                <w:color w:val="auto"/>
              </w:rPr>
            </w:pPr>
            <w:r>
              <w:rPr>
                <w:rFonts w:ascii="Arial" w:cs="Arial" w:eastAsia="Arial" w:hAnsi="Arial"/>
                <w:sz w:val="18"/>
                <w:szCs w:val="18"/>
                <w:color w:val="4B4B4B"/>
              </w:rPr>
              <w:t>227,339</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217,837</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Other assets</w:t>
            </w:r>
          </w:p>
        </w:tc>
        <w:tc>
          <w:tcPr>
            <w:tcW w:w="2020" w:type="dxa"/>
            <w:vAlign w:val="bottom"/>
          </w:tcPr>
          <w:p>
            <w:pPr>
              <w:jc w:val="right"/>
              <w:spacing w:after="0"/>
              <w:rPr>
                <w:sz w:val="20"/>
                <w:szCs w:val="20"/>
                <w:color w:val="auto"/>
              </w:rPr>
            </w:pPr>
            <w:r>
              <w:rPr>
                <w:rFonts w:ascii="Arial" w:cs="Arial" w:eastAsia="Arial" w:hAnsi="Arial"/>
                <w:sz w:val="18"/>
                <w:szCs w:val="18"/>
                <w:color w:val="4B4B4B"/>
              </w:rPr>
              <w:t>10,083</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10,680</w:t>
            </w:r>
          </w:p>
        </w:tc>
        <w:tc>
          <w:tcPr>
            <w:tcW w:w="0" w:type="dxa"/>
            <w:vAlign w:val="bottom"/>
          </w:tcPr>
          <w:p>
            <w:pPr>
              <w:spacing w:after="0"/>
              <w:rPr>
                <w:sz w:val="1"/>
                <w:szCs w:val="1"/>
                <w:color w:val="auto"/>
              </w:rPr>
            </w:pPr>
          </w:p>
        </w:tc>
      </w:tr>
      <w:tr>
        <w:trPr>
          <w:trHeight w:val="5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4B4B4B"/>
              </w:rPr>
              <w:t>Total assets</w:t>
            </w: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60" w:type="dxa"/>
            <w:vAlign w:val="bottom"/>
            <w:vMerge w:val="continue"/>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B4B4B"/>
              </w:rPr>
              <w:t>$1,992,182</w:t>
            </w:r>
          </w:p>
        </w:tc>
        <w:tc>
          <w:tcPr>
            <w:tcW w:w="100" w:type="dxa"/>
            <w:vAlign w:val="bottom"/>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4B4B4B"/>
              </w:rPr>
              <w:t>$2,057,994</w:t>
            </w:r>
          </w:p>
        </w:tc>
        <w:tc>
          <w:tcPr>
            <w:tcW w:w="0" w:type="dxa"/>
            <w:vAlign w:val="bottom"/>
          </w:tcPr>
          <w:p>
            <w:pPr>
              <w:spacing w:after="0"/>
              <w:rPr>
                <w:sz w:val="1"/>
                <w:szCs w:val="1"/>
                <w:color w:val="auto"/>
              </w:rPr>
            </w:pPr>
          </w:p>
        </w:tc>
      </w:tr>
      <w:tr>
        <w:trPr>
          <w:trHeight w:val="27"/>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4B4B4B"/>
              </w:rPr>
              <w:t>LIABILITIES AND STOCKHOLDERS’ EQUITY</w:t>
            </w: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06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060" w:type="dxa"/>
            <w:vAlign w:val="bottom"/>
          </w:tcPr>
          <w:p>
            <w:pPr>
              <w:spacing w:after="0"/>
              <w:rPr>
                <w:sz w:val="20"/>
                <w:szCs w:val="20"/>
                <w:color w:val="auto"/>
              </w:rPr>
            </w:pPr>
            <w:r>
              <w:rPr>
                <w:rFonts w:ascii="Arial" w:cs="Arial" w:eastAsia="Arial" w:hAnsi="Arial"/>
                <w:sz w:val="18"/>
                <w:szCs w:val="18"/>
                <w:color w:val="4B4B4B"/>
              </w:rPr>
              <w:t>Current liabilities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Deferred revenues</w:t>
            </w:r>
          </w:p>
        </w:tc>
        <w:tc>
          <w:tcPr>
            <w:tcW w:w="2020" w:type="dxa"/>
            <w:vAlign w:val="bottom"/>
          </w:tcPr>
          <w:p>
            <w:pPr>
              <w:jc w:val="right"/>
              <w:spacing w:after="0"/>
              <w:rPr>
                <w:sz w:val="20"/>
                <w:szCs w:val="20"/>
                <w:color w:val="auto"/>
              </w:rPr>
            </w:pPr>
            <w:r>
              <w:rPr>
                <w:rFonts w:ascii="Arial" w:cs="Arial" w:eastAsia="Arial" w:hAnsi="Arial"/>
                <w:sz w:val="18"/>
                <w:szCs w:val="18"/>
                <w:color w:val="4B4B4B"/>
              </w:rPr>
              <w:t>$496,205</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$513,256</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Accounts payable</w:t>
            </w:r>
          </w:p>
        </w:tc>
        <w:tc>
          <w:tcPr>
            <w:tcW w:w="2020" w:type="dxa"/>
            <w:vAlign w:val="bottom"/>
          </w:tcPr>
          <w:p>
            <w:pPr>
              <w:jc w:val="right"/>
              <w:spacing w:after="0"/>
              <w:rPr>
                <w:sz w:val="20"/>
                <w:szCs w:val="20"/>
                <w:color w:val="auto"/>
              </w:rPr>
            </w:pPr>
            <w:r>
              <w:rPr>
                <w:rFonts w:ascii="Arial" w:cs="Arial" w:eastAsia="Arial" w:hAnsi="Arial"/>
                <w:sz w:val="18"/>
                <w:szCs w:val="18"/>
                <w:color w:val="4B4B4B"/>
              </w:rPr>
              <w:t>7,998</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7,486</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Income tax payable</w:t>
            </w:r>
          </w:p>
        </w:tc>
        <w:tc>
          <w:tcPr>
            <w:tcW w:w="2020" w:type="dxa"/>
            <w:vAlign w:val="bottom"/>
          </w:tcPr>
          <w:p>
            <w:pPr>
              <w:jc w:val="right"/>
              <w:spacing w:after="0"/>
              <w:rPr>
                <w:sz w:val="20"/>
                <w:szCs w:val="20"/>
                <w:color w:val="auto"/>
              </w:rPr>
            </w:pPr>
            <w:r>
              <w:rPr>
                <w:rFonts w:ascii="Arial" w:cs="Arial" w:eastAsia="Arial" w:hAnsi="Arial"/>
                <w:sz w:val="18"/>
                <w:szCs w:val="18"/>
                <w:color w:val="4B4B4B"/>
              </w:rPr>
              <w:t>1,257</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3,814</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Accrued expenses and other current liabilities</w:t>
            </w:r>
          </w:p>
        </w:tc>
        <w:tc>
          <w:tcPr>
            <w:tcW w:w="2020" w:type="dxa"/>
            <w:vAlign w:val="bottom"/>
          </w:tcPr>
          <w:p>
            <w:pPr>
              <w:jc w:val="right"/>
              <w:spacing w:after="0"/>
              <w:rPr>
                <w:sz w:val="20"/>
                <w:szCs w:val="20"/>
                <w:color w:val="auto"/>
              </w:rPr>
            </w:pPr>
            <w:r>
              <w:rPr>
                <w:rFonts w:ascii="Arial" w:cs="Arial" w:eastAsia="Arial" w:hAnsi="Arial"/>
                <w:sz w:val="18"/>
                <w:szCs w:val="18"/>
                <w:color w:val="4B4B4B"/>
              </w:rPr>
              <w:t>45,688</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49,558</w:t>
            </w:r>
          </w:p>
        </w:tc>
        <w:tc>
          <w:tcPr>
            <w:tcW w:w="0" w:type="dxa"/>
            <w:vAlign w:val="bottom"/>
          </w:tcPr>
          <w:p>
            <w:pPr>
              <w:spacing w:after="0"/>
              <w:rPr>
                <w:sz w:val="1"/>
                <w:szCs w:val="1"/>
                <w:color w:val="auto"/>
              </w:rPr>
            </w:pPr>
          </w:p>
        </w:tc>
      </w:tr>
      <w:tr>
        <w:trPr>
          <w:trHeight w:val="50"/>
        </w:trPr>
        <w:tc>
          <w:tcPr>
            <w:tcW w:w="7060" w:type="dxa"/>
            <w:vAlign w:val="bottom"/>
            <w:vMerge w:val="restart"/>
          </w:tcPr>
          <w:p>
            <w:pPr>
              <w:spacing w:after="0"/>
              <w:rPr>
                <w:sz w:val="20"/>
                <w:szCs w:val="20"/>
                <w:color w:val="auto"/>
              </w:rPr>
            </w:pPr>
            <w:r>
              <w:rPr>
                <w:rFonts w:ascii="Arial" w:cs="Arial" w:eastAsia="Arial" w:hAnsi="Arial"/>
                <w:sz w:val="18"/>
                <w:szCs w:val="18"/>
                <w:color w:val="4B4B4B"/>
              </w:rPr>
              <w:t>Total current liabilities</w:t>
            </w: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7060" w:type="dxa"/>
            <w:vAlign w:val="bottom"/>
            <w:vMerge w:val="continue"/>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4B4B4B"/>
              </w:rPr>
              <w:t>551,148</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574,114</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Long-term obligation under operating leases</w:t>
            </w:r>
          </w:p>
        </w:tc>
        <w:tc>
          <w:tcPr>
            <w:tcW w:w="2020" w:type="dxa"/>
            <w:vAlign w:val="bottom"/>
          </w:tcPr>
          <w:p>
            <w:pPr>
              <w:jc w:val="right"/>
              <w:spacing w:after="0"/>
              <w:rPr>
                <w:sz w:val="20"/>
                <w:szCs w:val="20"/>
                <w:color w:val="auto"/>
              </w:rPr>
            </w:pPr>
            <w:r>
              <w:rPr>
                <w:rFonts w:ascii="Arial" w:cs="Arial" w:eastAsia="Arial" w:hAnsi="Arial"/>
                <w:sz w:val="18"/>
                <w:szCs w:val="18"/>
                <w:color w:val="4B4B4B"/>
              </w:rPr>
              <w:t>93,779</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91,873</w:t>
            </w: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Deferred tax liabilities, net</w:t>
            </w:r>
          </w:p>
        </w:tc>
        <w:tc>
          <w:tcPr>
            <w:tcW w:w="2020" w:type="dxa"/>
            <w:vAlign w:val="bottom"/>
          </w:tcPr>
          <w:p>
            <w:pPr>
              <w:jc w:val="right"/>
              <w:spacing w:after="0"/>
              <w:rPr>
                <w:sz w:val="20"/>
                <w:szCs w:val="20"/>
                <w:color w:val="auto"/>
              </w:rPr>
            </w:pPr>
            <w:r>
              <w:rPr>
                <w:rFonts w:ascii="Arial" w:cs="Arial" w:eastAsia="Arial" w:hAnsi="Arial"/>
                <w:sz w:val="18"/>
                <w:szCs w:val="18"/>
                <w:color w:val="4B4B4B"/>
              </w:rPr>
              <w:t>249</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243</w:t>
            </w:r>
          </w:p>
        </w:tc>
        <w:tc>
          <w:tcPr>
            <w:tcW w:w="0" w:type="dxa"/>
            <w:vAlign w:val="bottom"/>
          </w:tcPr>
          <w:p>
            <w:pPr>
              <w:spacing w:after="0"/>
              <w:rPr>
                <w:sz w:val="1"/>
                <w:szCs w:val="1"/>
                <w:color w:val="auto"/>
              </w:rPr>
            </w:pPr>
          </w:p>
        </w:tc>
      </w:tr>
      <w:tr>
        <w:trPr>
          <w:trHeight w:val="50"/>
        </w:trPr>
        <w:tc>
          <w:tcPr>
            <w:tcW w:w="706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060" w:type="dxa"/>
            <w:vAlign w:val="bottom"/>
          </w:tcPr>
          <w:p>
            <w:pPr>
              <w:spacing w:after="0"/>
              <w:rPr>
                <w:sz w:val="20"/>
                <w:szCs w:val="20"/>
                <w:color w:val="auto"/>
              </w:rPr>
            </w:pPr>
            <w:r>
              <w:rPr>
                <w:rFonts w:ascii="Arial" w:cs="Arial" w:eastAsia="Arial" w:hAnsi="Arial"/>
                <w:sz w:val="18"/>
                <w:szCs w:val="18"/>
                <w:b w:val="1"/>
                <w:bCs w:val="1"/>
                <w:color w:val="4B4B4B"/>
              </w:rPr>
              <w:t>Total liabilities</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4B4B4B"/>
              </w:rPr>
              <w:t>645,176</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4B4B4B"/>
              </w:rPr>
              <w:t>666,230</w:t>
            </w:r>
          </w:p>
        </w:tc>
        <w:tc>
          <w:tcPr>
            <w:tcW w:w="0" w:type="dxa"/>
            <w:vAlign w:val="bottom"/>
          </w:tcPr>
          <w:p>
            <w:pPr>
              <w:spacing w:after="0"/>
              <w:rPr>
                <w:sz w:val="1"/>
                <w:szCs w:val="1"/>
                <w:color w:val="auto"/>
              </w:rPr>
            </w:pPr>
          </w:p>
        </w:tc>
      </w:tr>
      <w:tr>
        <w:trPr>
          <w:trHeight w:val="42"/>
        </w:trPr>
        <w:tc>
          <w:tcPr>
            <w:tcW w:w="7060" w:type="dxa"/>
            <w:vAlign w:val="bottom"/>
            <w:vMerge w:val="restart"/>
          </w:tcPr>
          <w:p>
            <w:pPr>
              <w:spacing w:after="0"/>
              <w:rPr>
                <w:sz w:val="20"/>
                <w:szCs w:val="20"/>
                <w:color w:val="auto"/>
              </w:rPr>
            </w:pPr>
            <w:r>
              <w:rPr>
                <w:rFonts w:ascii="Arial" w:cs="Arial" w:eastAsia="Arial" w:hAnsi="Arial"/>
                <w:sz w:val="18"/>
                <w:szCs w:val="18"/>
                <w:color w:val="4B4B4B"/>
              </w:rPr>
              <w:t>Commitments and contingencies</w:t>
            </w:r>
          </w:p>
        </w:tc>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706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Stockholders’ equity</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60" w:type="dxa"/>
            <w:vAlign w:val="bottom"/>
          </w:tcPr>
          <w:p>
            <w:pPr>
              <w:spacing w:after="0"/>
              <w:rPr>
                <w:sz w:val="20"/>
                <w:szCs w:val="20"/>
                <w:color w:val="auto"/>
              </w:rPr>
            </w:pPr>
            <w:r>
              <w:rPr>
                <w:rFonts w:ascii="Arial" w:cs="Arial" w:eastAsia="Arial" w:hAnsi="Arial"/>
                <w:sz w:val="18"/>
                <w:szCs w:val="18"/>
                <w:color w:val="4B4B4B"/>
              </w:rPr>
              <w:t>Class A common stock, $0.0001 par value; 2,000,000 shares authorized as of</w:t>
            </w:r>
          </w:p>
        </w:tc>
        <w:tc>
          <w:tcPr>
            <w:tcW w:w="2020" w:type="dxa"/>
            <w:vAlign w:val="bottom"/>
          </w:tcPr>
          <w:p>
            <w:pPr>
              <w:jc w:val="right"/>
              <w:spacing w:after="0"/>
              <w:rPr>
                <w:sz w:val="20"/>
                <w:szCs w:val="20"/>
                <w:color w:val="auto"/>
              </w:rPr>
            </w:pPr>
            <w:r>
              <w:rPr>
                <w:rFonts w:ascii="Arial" w:cs="Arial" w:eastAsia="Arial" w:hAnsi="Arial"/>
                <w:sz w:val="18"/>
                <w:szCs w:val="18"/>
                <w:color w:val="4B4B4B"/>
              </w:rPr>
              <w:t>5</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5</w:t>
            </w: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Arial" w:cs="Arial" w:eastAsia="Arial" w:hAnsi="Arial"/>
                <w:sz w:val="18"/>
                <w:szCs w:val="18"/>
                <w:color w:val="4B4B4B"/>
              </w:rPr>
              <w:t>December 31, 2025 and March 31, 2026; 40,368 issued and outstanding as of</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4B4B4B"/>
              </w:rPr>
              <w:t>December 31, 2025, and 40,534 issued and 40,487 outstanding at March 31, 2026,</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r>
              <w:rPr>
                <w:rFonts w:ascii="Arial" w:cs="Arial" w:eastAsia="Arial" w:hAnsi="Arial"/>
                <w:sz w:val="18"/>
                <w:szCs w:val="18"/>
                <w:color w:val="4B4B4B"/>
              </w:rPr>
              <w:t>respectively</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Arial" w:cs="Arial" w:eastAsia="Arial" w:hAnsi="Arial"/>
                <w:sz w:val="18"/>
                <w:szCs w:val="18"/>
                <w:color w:val="4B4B4B"/>
              </w:rPr>
              <w:t>Class B common stock, $0.0001 par value; 30,000 shares authorized as of</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4B4B4B"/>
              </w:rPr>
              <w:t>December 31, 2025 and March 31, 2026; 6,260 and 6,356 issued and outstanding at</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r>
              <w:rPr>
                <w:rFonts w:ascii="Arial" w:cs="Arial" w:eastAsia="Arial" w:hAnsi="Arial"/>
                <w:sz w:val="18"/>
                <w:szCs w:val="18"/>
                <w:color w:val="4B4B4B"/>
              </w:rPr>
              <w:t>December 31, 2025 and March 31, 2026, respectively</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060" w:type="dxa"/>
            <w:vAlign w:val="bottom"/>
          </w:tcPr>
          <w:p>
            <w:pPr>
              <w:spacing w:after="0"/>
              <w:rPr>
                <w:sz w:val="20"/>
                <w:szCs w:val="20"/>
                <w:color w:val="auto"/>
              </w:rPr>
            </w:pPr>
            <w:r>
              <w:rPr>
                <w:rFonts w:ascii="Arial" w:cs="Arial" w:eastAsia="Arial" w:hAnsi="Arial"/>
                <w:sz w:val="18"/>
                <w:szCs w:val="18"/>
                <w:color w:val="4B4B4B"/>
              </w:rPr>
              <w:t>Treasury stock, at cost, 0 and 46 shares as of December 31, 2025 and March 31, 2026,</w:t>
            </w: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4B4B4B"/>
              </w:rPr>
              <w:t>—</w:t>
            </w:r>
          </w:p>
        </w:tc>
        <w:tc>
          <w:tcPr>
            <w:tcW w:w="2000" w:type="dxa"/>
            <w:vAlign w:val="bottom"/>
          </w:tcPr>
          <w:p>
            <w:pPr>
              <w:jc w:val="right"/>
              <w:spacing w:after="0"/>
              <w:rPr>
                <w:sz w:val="20"/>
                <w:szCs w:val="20"/>
                <w:color w:val="auto"/>
              </w:rPr>
            </w:pPr>
            <w:r>
              <w:rPr>
                <w:rFonts w:ascii="Arial" w:cs="Arial" w:eastAsia="Arial" w:hAnsi="Arial"/>
                <w:sz w:val="18"/>
                <w:szCs w:val="18"/>
                <w:color w:val="4B4B4B"/>
              </w:rPr>
              <w:t>(4,499)</w:t>
            </w:r>
          </w:p>
        </w:tc>
        <w:tc>
          <w:tcPr>
            <w:tcW w:w="0" w:type="dxa"/>
            <w:vAlign w:val="bottom"/>
          </w:tcPr>
          <w:p>
            <w:pPr>
              <w:spacing w:after="0"/>
              <w:rPr>
                <w:sz w:val="1"/>
                <w:szCs w:val="1"/>
                <w:color w:val="auto"/>
              </w:rPr>
            </w:pP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4B4B4B"/>
              </w:rPr>
              <w:t>respectively.</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060" w:type="dxa"/>
            <w:vAlign w:val="bottom"/>
          </w:tcPr>
          <w:p>
            <w:pPr>
              <w:spacing w:after="0"/>
              <w:rPr>
                <w:sz w:val="20"/>
                <w:szCs w:val="20"/>
                <w:color w:val="auto"/>
              </w:rPr>
            </w:pPr>
            <w:r>
              <w:rPr>
                <w:rFonts w:ascii="Arial" w:cs="Arial" w:eastAsia="Arial" w:hAnsi="Arial"/>
                <w:sz w:val="18"/>
                <w:szCs w:val="18"/>
                <w:color w:val="4B4B4B"/>
              </w:rPr>
              <w:t>Additional paid-in capital</w:t>
            </w:r>
          </w:p>
        </w:tc>
        <w:tc>
          <w:tcPr>
            <w:tcW w:w="2020" w:type="dxa"/>
            <w:vAlign w:val="bottom"/>
          </w:tcPr>
          <w:p>
            <w:pPr>
              <w:jc w:val="right"/>
              <w:spacing w:after="0"/>
              <w:rPr>
                <w:sz w:val="20"/>
                <w:szCs w:val="20"/>
                <w:color w:val="auto"/>
              </w:rPr>
            </w:pPr>
            <w:r>
              <w:rPr>
                <w:rFonts w:ascii="Arial" w:cs="Arial" w:eastAsia="Arial" w:hAnsi="Arial"/>
                <w:sz w:val="18"/>
                <w:szCs w:val="18"/>
                <w:color w:val="4B4B4B"/>
              </w:rPr>
              <w:t>1,058,783</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1,064,580</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Arial" w:cs="Arial" w:eastAsia="Arial" w:hAnsi="Arial"/>
                <w:sz w:val="18"/>
                <w:szCs w:val="18"/>
                <w:color w:val="4B4B4B"/>
              </w:rPr>
              <w:t>Retained earnings</w:t>
            </w:r>
          </w:p>
        </w:tc>
        <w:tc>
          <w:tcPr>
            <w:tcW w:w="2020" w:type="dxa"/>
            <w:vAlign w:val="bottom"/>
          </w:tcPr>
          <w:p>
            <w:pPr>
              <w:jc w:val="right"/>
              <w:spacing w:after="0"/>
              <w:rPr>
                <w:sz w:val="20"/>
                <w:szCs w:val="20"/>
                <w:color w:val="auto"/>
              </w:rPr>
            </w:pPr>
            <w:r>
              <w:rPr>
                <w:rFonts w:ascii="Arial" w:cs="Arial" w:eastAsia="Arial" w:hAnsi="Arial"/>
                <w:sz w:val="18"/>
                <w:szCs w:val="18"/>
                <w:color w:val="4B4B4B"/>
              </w:rPr>
              <w:t>288,218</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4B4B4B"/>
              </w:rPr>
              <w:t>331,678</w:t>
            </w:r>
          </w:p>
        </w:tc>
        <w:tc>
          <w:tcPr>
            <w:tcW w:w="0" w:type="dxa"/>
            <w:vAlign w:val="bottom"/>
          </w:tcPr>
          <w:p>
            <w:pPr>
              <w:spacing w:after="0"/>
              <w:rPr>
                <w:sz w:val="1"/>
                <w:szCs w:val="1"/>
                <w:color w:val="auto"/>
              </w:rPr>
            </w:pPr>
          </w:p>
        </w:tc>
      </w:tr>
      <w:tr>
        <w:trPr>
          <w:trHeight w:val="318"/>
        </w:trPr>
        <w:tc>
          <w:tcPr>
            <w:tcW w:w="7060" w:type="dxa"/>
            <w:vAlign w:val="bottom"/>
          </w:tcPr>
          <w:p>
            <w:pPr>
              <w:spacing w:after="0"/>
              <w:rPr>
                <w:sz w:val="20"/>
                <w:szCs w:val="20"/>
                <w:color w:val="auto"/>
              </w:rPr>
            </w:pPr>
            <w:r>
              <w:rPr>
                <w:rFonts w:ascii="Arial" w:cs="Arial" w:eastAsia="Arial" w:hAnsi="Arial"/>
                <w:sz w:val="18"/>
                <w:szCs w:val="18"/>
                <w:b w:val="1"/>
                <w:bCs w:val="1"/>
                <w:color w:val="4B4B4B"/>
              </w:rPr>
              <w:t>Total stockholders’ equity</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4B4B4B"/>
              </w:rPr>
              <w:t>1,347,006</w:t>
            </w:r>
          </w:p>
        </w:tc>
        <w:tc>
          <w:tcPr>
            <w:tcW w:w="1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4B4B4B"/>
              </w:rPr>
              <w:t>1,391,764</w:t>
            </w:r>
          </w:p>
        </w:tc>
        <w:tc>
          <w:tcPr>
            <w:tcW w:w="0" w:type="dxa"/>
            <w:vAlign w:val="bottom"/>
          </w:tcPr>
          <w:p>
            <w:pPr>
              <w:spacing w:after="0"/>
              <w:rPr>
                <w:sz w:val="1"/>
                <w:szCs w:val="1"/>
                <w:color w:val="auto"/>
              </w:rPr>
            </w:pPr>
          </w:p>
        </w:tc>
      </w:tr>
      <w:tr>
        <w:trPr>
          <w:trHeight w:val="42"/>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4B4B4B"/>
              </w:rPr>
              <w:t>Total liabilities and stockholders' equity</w:t>
            </w:r>
          </w:p>
        </w:tc>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7060" w:type="dxa"/>
            <w:vAlign w:val="bottom"/>
            <w:vMerge w:val="continue"/>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4B4B4B"/>
              </w:rPr>
              <w:t>$1,992,182</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4B4B4B"/>
              </w:rPr>
              <w:t>$2,057,994</w:t>
            </w:r>
          </w:p>
        </w:tc>
        <w:tc>
          <w:tcPr>
            <w:tcW w:w="0" w:type="dxa"/>
            <w:vAlign w:val="bottom"/>
          </w:tcPr>
          <w:p>
            <w:pPr>
              <w:spacing w:after="0"/>
              <w:rPr>
                <w:sz w:val="1"/>
                <w:szCs w:val="1"/>
                <w:color w:val="auto"/>
              </w:rPr>
            </w:pPr>
          </w:p>
        </w:tc>
      </w:tr>
      <w:tr>
        <w:trPr>
          <w:trHeight w:val="42"/>
        </w:trPr>
        <w:tc>
          <w:tcPr>
            <w:tcW w:w="70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353" w:right="359" w:bottom="528"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960" w:type="dxa"/>
            <w:vAlign w:val="bottom"/>
          </w:tcPr>
          <w:p>
            <w:pPr>
              <w:jc w:val="right"/>
              <w:spacing w:after="0"/>
              <w:rPr>
                <w:sz w:val="20"/>
                <w:szCs w:val="20"/>
                <w:color w:val="auto"/>
              </w:rPr>
            </w:pPr>
            <w:r>
              <w:rPr>
                <w:rFonts w:ascii="Arial" w:cs="Arial" w:eastAsia="Arial" w:hAnsi="Arial"/>
                <w:sz w:val="15"/>
                <w:szCs w:val="15"/>
                <w:color w:val="AFAFAF"/>
              </w:rPr>
              <w:t>16</w:t>
            </w:r>
          </w:p>
        </w:tc>
      </w:tr>
    </w:tbl>
    <w:p>
      <w:pPr>
        <w:sectPr>
          <w:pgSz w:w="11900" w:h="16838" w:orient="portrait"/>
          <w:cols w:equalWidth="0" w:num="1">
            <w:col w:w="10139"/>
          </w:cols>
          <w:pgMar w:left="320" w:top="149" w:right="1440" w:bottom="1440" w:gutter="0" w:footer="0" w:header="0"/>
        </w:sectPr>
      </w:pPr>
    </w:p>
    <w:bookmarkStart w:id="22" w:name="page23"/>
    <w:bookmarkEnd w:id="22"/>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B4B4B"/>
        </w:rPr>
        <w:t>DUOLINGO, INC.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B4B4B"/>
        </w:rPr>
        <w:t>UNAUDITED CONDENSED CONSOLIDATED STATEMENTS OF OPERATIONS AND</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B4B4B"/>
        </w:rPr>
        <w:t>COMPREHENSIVE INCOME</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880" w:type="dxa"/>
            <w:vAlign w:val="bottom"/>
          </w:tcPr>
          <w:p>
            <w:pPr>
              <w:spacing w:after="0"/>
              <w:rPr>
                <w:sz w:val="22"/>
                <w:szCs w:val="22"/>
                <w:color w:val="auto"/>
              </w:rPr>
            </w:pPr>
          </w:p>
        </w:tc>
        <w:tc>
          <w:tcPr>
            <w:tcW w:w="3320" w:type="dxa"/>
            <w:vAlign w:val="bottom"/>
            <w:gridSpan w:val="2"/>
          </w:tcPr>
          <w:p>
            <w:pPr>
              <w:jc w:val="right"/>
              <w:spacing w:after="0"/>
              <w:rPr>
                <w:sz w:val="20"/>
                <w:szCs w:val="20"/>
                <w:color w:val="auto"/>
              </w:rPr>
            </w:pPr>
            <w:r>
              <w:rPr>
                <w:rFonts w:ascii="Arial" w:cs="Arial" w:eastAsia="Arial" w:hAnsi="Arial"/>
                <w:sz w:val="19"/>
                <w:szCs w:val="19"/>
                <w:b w:val="1"/>
                <w:bCs w:val="1"/>
                <w:color w:val="58CC02"/>
              </w:rPr>
              <w:t>Three Months Ended March 31,</w:t>
            </w:r>
          </w:p>
        </w:tc>
        <w:tc>
          <w:tcPr>
            <w:tcW w:w="0" w:type="dxa"/>
            <w:vAlign w:val="bottom"/>
          </w:tcPr>
          <w:p>
            <w:pPr>
              <w:spacing w:after="0"/>
              <w:rPr>
                <w:sz w:val="1"/>
                <w:szCs w:val="1"/>
                <w:color w:val="auto"/>
              </w:rPr>
            </w:pPr>
          </w:p>
        </w:tc>
      </w:tr>
      <w:tr>
        <w:trPr>
          <w:trHeight w:val="257"/>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58CC02"/>
              </w:rPr>
              <w:t>(in thousands)</w:t>
            </w:r>
          </w:p>
        </w:tc>
        <w:tc>
          <w:tcPr>
            <w:tcW w:w="202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b w:val="1"/>
                <w:bCs w:val="1"/>
                <w:color w:val="58CC02"/>
              </w:rPr>
              <w:t>2025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2026</w:t>
            </w:r>
          </w:p>
        </w:tc>
        <w:tc>
          <w:tcPr>
            <w:tcW w:w="0" w:type="dxa"/>
            <w:vAlign w:val="bottom"/>
          </w:tcPr>
          <w:p>
            <w:pPr>
              <w:spacing w:after="0"/>
              <w:rPr>
                <w:sz w:val="1"/>
                <w:szCs w:val="1"/>
                <w:color w:val="auto"/>
              </w:rPr>
            </w:pPr>
          </w:p>
        </w:tc>
      </w:tr>
      <w:tr>
        <w:trPr>
          <w:trHeight w:val="324"/>
        </w:trPr>
        <w:tc>
          <w:tcPr>
            <w:tcW w:w="7880" w:type="dxa"/>
            <w:vAlign w:val="bottom"/>
          </w:tcPr>
          <w:p>
            <w:pPr>
              <w:ind w:left="20"/>
              <w:spacing w:after="0"/>
              <w:rPr>
                <w:sz w:val="20"/>
                <w:szCs w:val="20"/>
                <w:color w:val="auto"/>
              </w:rPr>
            </w:pPr>
            <w:r>
              <w:rPr>
                <w:rFonts w:ascii="Arial" w:cs="Arial" w:eastAsia="Arial" w:hAnsi="Arial"/>
                <w:sz w:val="19"/>
                <w:szCs w:val="19"/>
                <w:color w:val="4B4B4B"/>
              </w:rPr>
              <w:t>Revenues</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$230,743</w:t>
            </w:r>
          </w:p>
        </w:tc>
        <w:tc>
          <w:tcPr>
            <w:tcW w:w="1300" w:type="dxa"/>
            <w:vAlign w:val="bottom"/>
          </w:tcPr>
          <w:p>
            <w:pPr>
              <w:jc w:val="right"/>
              <w:spacing w:after="0"/>
              <w:rPr>
                <w:sz w:val="20"/>
                <w:szCs w:val="20"/>
                <w:color w:val="auto"/>
              </w:rPr>
            </w:pPr>
            <w:r>
              <w:rPr>
                <w:rFonts w:ascii="Arial" w:cs="Arial" w:eastAsia="Arial" w:hAnsi="Arial"/>
                <w:sz w:val="19"/>
                <w:szCs w:val="19"/>
                <w:color w:val="4B4B4B"/>
              </w:rPr>
              <w:t>$291,967</w:t>
            </w:r>
          </w:p>
        </w:tc>
        <w:tc>
          <w:tcPr>
            <w:tcW w:w="0" w:type="dxa"/>
            <w:vAlign w:val="bottom"/>
          </w:tcPr>
          <w:p>
            <w:pPr>
              <w:spacing w:after="0"/>
              <w:rPr>
                <w:sz w:val="1"/>
                <w:szCs w:val="1"/>
                <w:color w:val="auto"/>
              </w:rPr>
            </w:pPr>
          </w:p>
        </w:tc>
      </w:tr>
      <w:tr>
        <w:trPr>
          <w:trHeight w:val="351"/>
        </w:trPr>
        <w:tc>
          <w:tcPr>
            <w:tcW w:w="7880" w:type="dxa"/>
            <w:vAlign w:val="bottom"/>
          </w:tcPr>
          <w:p>
            <w:pPr>
              <w:ind w:left="20"/>
              <w:spacing w:after="0"/>
              <w:rPr>
                <w:sz w:val="20"/>
                <w:szCs w:val="20"/>
                <w:color w:val="auto"/>
              </w:rPr>
            </w:pPr>
            <w:r>
              <w:rPr>
                <w:rFonts w:ascii="Arial" w:cs="Arial" w:eastAsia="Arial" w:hAnsi="Arial"/>
                <w:sz w:val="19"/>
                <w:szCs w:val="19"/>
                <w:color w:val="4B4B4B"/>
              </w:rPr>
              <w:t>Cost of revenues</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66,647</w:t>
            </w:r>
          </w:p>
        </w:tc>
        <w:tc>
          <w:tcPr>
            <w:tcW w:w="1300" w:type="dxa"/>
            <w:vAlign w:val="bottom"/>
          </w:tcPr>
          <w:p>
            <w:pPr>
              <w:jc w:val="right"/>
              <w:spacing w:after="0"/>
              <w:rPr>
                <w:sz w:val="20"/>
                <w:szCs w:val="20"/>
                <w:color w:val="auto"/>
              </w:rPr>
            </w:pPr>
            <w:r>
              <w:rPr>
                <w:rFonts w:ascii="Arial" w:cs="Arial" w:eastAsia="Arial" w:hAnsi="Arial"/>
                <w:sz w:val="19"/>
                <w:szCs w:val="19"/>
                <w:color w:val="4B4B4B"/>
              </w:rPr>
              <w:t>78,871</w:t>
            </w:r>
          </w:p>
        </w:tc>
        <w:tc>
          <w:tcPr>
            <w:tcW w:w="0" w:type="dxa"/>
            <w:vAlign w:val="bottom"/>
          </w:tcPr>
          <w:p>
            <w:pPr>
              <w:spacing w:after="0"/>
              <w:rPr>
                <w:sz w:val="1"/>
                <w:szCs w:val="1"/>
                <w:color w:val="auto"/>
              </w:rPr>
            </w:pPr>
          </w:p>
        </w:tc>
      </w:tr>
      <w:tr>
        <w:trPr>
          <w:trHeight w:val="48"/>
        </w:trPr>
        <w:tc>
          <w:tcPr>
            <w:tcW w:w="788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7880" w:type="dxa"/>
            <w:vAlign w:val="bottom"/>
          </w:tcPr>
          <w:p>
            <w:pPr>
              <w:ind w:left="20"/>
              <w:spacing w:after="0"/>
              <w:rPr>
                <w:sz w:val="20"/>
                <w:szCs w:val="20"/>
                <w:color w:val="auto"/>
              </w:rPr>
            </w:pPr>
            <w:r>
              <w:rPr>
                <w:rFonts w:ascii="Arial" w:cs="Arial" w:eastAsia="Arial" w:hAnsi="Arial"/>
                <w:sz w:val="19"/>
                <w:szCs w:val="19"/>
                <w:color w:val="4B4B4B"/>
              </w:rPr>
              <w:t>Gross profit</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164,096</w:t>
            </w:r>
          </w:p>
        </w:tc>
        <w:tc>
          <w:tcPr>
            <w:tcW w:w="1300" w:type="dxa"/>
            <w:vAlign w:val="bottom"/>
          </w:tcPr>
          <w:p>
            <w:pPr>
              <w:jc w:val="right"/>
              <w:spacing w:after="0"/>
              <w:rPr>
                <w:sz w:val="20"/>
                <w:szCs w:val="20"/>
                <w:color w:val="auto"/>
              </w:rPr>
            </w:pPr>
            <w:r>
              <w:rPr>
                <w:rFonts w:ascii="Arial" w:cs="Arial" w:eastAsia="Arial" w:hAnsi="Arial"/>
                <w:sz w:val="19"/>
                <w:szCs w:val="19"/>
                <w:color w:val="4B4B4B"/>
              </w:rPr>
              <w:t>213,096</w:t>
            </w:r>
          </w:p>
        </w:tc>
        <w:tc>
          <w:tcPr>
            <w:tcW w:w="0" w:type="dxa"/>
            <w:vAlign w:val="bottom"/>
          </w:tcPr>
          <w:p>
            <w:pPr>
              <w:spacing w:after="0"/>
              <w:rPr>
                <w:sz w:val="1"/>
                <w:szCs w:val="1"/>
                <w:color w:val="auto"/>
              </w:rPr>
            </w:pPr>
          </w:p>
        </w:tc>
      </w:tr>
      <w:tr>
        <w:trPr>
          <w:trHeight w:val="351"/>
        </w:trPr>
        <w:tc>
          <w:tcPr>
            <w:tcW w:w="7880" w:type="dxa"/>
            <w:vAlign w:val="bottom"/>
          </w:tcPr>
          <w:p>
            <w:pPr>
              <w:ind w:left="20"/>
              <w:spacing w:after="0"/>
              <w:rPr>
                <w:sz w:val="20"/>
                <w:szCs w:val="20"/>
                <w:color w:val="auto"/>
              </w:rPr>
            </w:pPr>
            <w:r>
              <w:rPr>
                <w:rFonts w:ascii="Arial" w:cs="Arial" w:eastAsia="Arial" w:hAnsi="Arial"/>
                <w:sz w:val="19"/>
                <w:szCs w:val="19"/>
                <w:color w:val="4B4B4B"/>
              </w:rPr>
              <w:t>Operating expenses:</w:t>
            </w: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880" w:type="dxa"/>
            <w:vAlign w:val="bottom"/>
          </w:tcPr>
          <w:p>
            <w:pPr>
              <w:ind w:left="180"/>
              <w:spacing w:after="0"/>
              <w:rPr>
                <w:sz w:val="20"/>
                <w:szCs w:val="20"/>
                <w:color w:val="auto"/>
              </w:rPr>
            </w:pPr>
            <w:r>
              <w:rPr>
                <w:rFonts w:ascii="Arial" w:cs="Arial" w:eastAsia="Arial" w:hAnsi="Arial"/>
                <w:sz w:val="19"/>
                <w:szCs w:val="19"/>
                <w:color w:val="4B4B4B"/>
              </w:rPr>
              <w:t>Research and development</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70,390</w:t>
            </w:r>
          </w:p>
        </w:tc>
        <w:tc>
          <w:tcPr>
            <w:tcW w:w="1300" w:type="dxa"/>
            <w:vAlign w:val="bottom"/>
          </w:tcPr>
          <w:p>
            <w:pPr>
              <w:jc w:val="right"/>
              <w:spacing w:after="0"/>
              <w:rPr>
                <w:sz w:val="20"/>
                <w:szCs w:val="20"/>
                <w:color w:val="auto"/>
              </w:rPr>
            </w:pPr>
            <w:r>
              <w:rPr>
                <w:rFonts w:ascii="Arial" w:cs="Arial" w:eastAsia="Arial" w:hAnsi="Arial"/>
                <w:sz w:val="19"/>
                <w:szCs w:val="19"/>
                <w:color w:val="4B4B4B"/>
              </w:rPr>
              <w:t>82,974</w:t>
            </w:r>
          </w:p>
        </w:tc>
        <w:tc>
          <w:tcPr>
            <w:tcW w:w="0" w:type="dxa"/>
            <w:vAlign w:val="bottom"/>
          </w:tcPr>
          <w:p>
            <w:pPr>
              <w:spacing w:after="0"/>
              <w:rPr>
                <w:sz w:val="1"/>
                <w:szCs w:val="1"/>
                <w:color w:val="auto"/>
              </w:rPr>
            </w:pPr>
          </w:p>
        </w:tc>
      </w:tr>
      <w:tr>
        <w:trPr>
          <w:trHeight w:val="351"/>
        </w:trPr>
        <w:tc>
          <w:tcPr>
            <w:tcW w:w="7880" w:type="dxa"/>
            <w:vAlign w:val="bottom"/>
          </w:tcPr>
          <w:p>
            <w:pPr>
              <w:ind w:left="180"/>
              <w:spacing w:after="0"/>
              <w:rPr>
                <w:sz w:val="20"/>
                <w:szCs w:val="20"/>
                <w:color w:val="auto"/>
              </w:rPr>
            </w:pPr>
            <w:r>
              <w:rPr>
                <w:rFonts w:ascii="Arial" w:cs="Arial" w:eastAsia="Arial" w:hAnsi="Arial"/>
                <w:sz w:val="19"/>
                <w:szCs w:val="19"/>
                <w:color w:val="4B4B4B"/>
              </w:rPr>
              <w:t>Sales and marketing</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26,662</w:t>
            </w:r>
          </w:p>
        </w:tc>
        <w:tc>
          <w:tcPr>
            <w:tcW w:w="1300" w:type="dxa"/>
            <w:vAlign w:val="bottom"/>
          </w:tcPr>
          <w:p>
            <w:pPr>
              <w:jc w:val="right"/>
              <w:spacing w:after="0"/>
              <w:rPr>
                <w:sz w:val="20"/>
                <w:szCs w:val="20"/>
                <w:color w:val="auto"/>
              </w:rPr>
            </w:pPr>
            <w:r>
              <w:rPr>
                <w:rFonts w:ascii="Arial" w:cs="Arial" w:eastAsia="Arial" w:hAnsi="Arial"/>
                <w:sz w:val="19"/>
                <w:szCs w:val="19"/>
                <w:color w:val="4B4B4B"/>
              </w:rPr>
              <w:t>39,249</w:t>
            </w:r>
          </w:p>
        </w:tc>
        <w:tc>
          <w:tcPr>
            <w:tcW w:w="0" w:type="dxa"/>
            <w:vAlign w:val="bottom"/>
          </w:tcPr>
          <w:p>
            <w:pPr>
              <w:spacing w:after="0"/>
              <w:rPr>
                <w:sz w:val="1"/>
                <w:szCs w:val="1"/>
                <w:color w:val="auto"/>
              </w:rPr>
            </w:pPr>
          </w:p>
        </w:tc>
      </w:tr>
      <w:tr>
        <w:trPr>
          <w:trHeight w:val="351"/>
        </w:trPr>
        <w:tc>
          <w:tcPr>
            <w:tcW w:w="7880" w:type="dxa"/>
            <w:vAlign w:val="bottom"/>
          </w:tcPr>
          <w:p>
            <w:pPr>
              <w:ind w:left="180"/>
              <w:spacing w:after="0"/>
              <w:rPr>
                <w:sz w:val="20"/>
                <w:szCs w:val="20"/>
                <w:color w:val="auto"/>
              </w:rPr>
            </w:pPr>
            <w:r>
              <w:rPr>
                <w:rFonts w:ascii="Arial" w:cs="Arial" w:eastAsia="Arial" w:hAnsi="Arial"/>
                <w:sz w:val="19"/>
                <w:szCs w:val="19"/>
                <w:color w:val="4B4B4B"/>
              </w:rPr>
              <w:t>General and administrative</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43,450</w:t>
            </w:r>
          </w:p>
        </w:tc>
        <w:tc>
          <w:tcPr>
            <w:tcW w:w="1300" w:type="dxa"/>
            <w:vAlign w:val="bottom"/>
          </w:tcPr>
          <w:p>
            <w:pPr>
              <w:jc w:val="right"/>
              <w:spacing w:after="0"/>
              <w:rPr>
                <w:sz w:val="20"/>
                <w:szCs w:val="20"/>
                <w:color w:val="auto"/>
              </w:rPr>
            </w:pPr>
            <w:r>
              <w:rPr>
                <w:rFonts w:ascii="Arial" w:cs="Arial" w:eastAsia="Arial" w:hAnsi="Arial"/>
                <w:sz w:val="19"/>
                <w:szCs w:val="19"/>
                <w:color w:val="4B4B4B"/>
              </w:rPr>
              <w:t>46,346</w:t>
            </w:r>
          </w:p>
        </w:tc>
        <w:tc>
          <w:tcPr>
            <w:tcW w:w="0" w:type="dxa"/>
            <w:vAlign w:val="bottom"/>
          </w:tcPr>
          <w:p>
            <w:pPr>
              <w:spacing w:after="0"/>
              <w:rPr>
                <w:sz w:val="1"/>
                <w:szCs w:val="1"/>
                <w:color w:val="auto"/>
              </w:rPr>
            </w:pPr>
          </w:p>
        </w:tc>
      </w:tr>
      <w:tr>
        <w:trPr>
          <w:trHeight w:val="48"/>
        </w:trPr>
        <w:tc>
          <w:tcPr>
            <w:tcW w:w="788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7880" w:type="dxa"/>
            <w:vAlign w:val="bottom"/>
          </w:tcPr>
          <w:p>
            <w:pPr>
              <w:ind w:left="20"/>
              <w:spacing w:after="0"/>
              <w:rPr>
                <w:sz w:val="20"/>
                <w:szCs w:val="20"/>
                <w:color w:val="auto"/>
              </w:rPr>
            </w:pPr>
            <w:r>
              <w:rPr>
                <w:rFonts w:ascii="Arial" w:cs="Arial" w:eastAsia="Arial" w:hAnsi="Arial"/>
                <w:sz w:val="19"/>
                <w:szCs w:val="19"/>
                <w:color w:val="4B4B4B"/>
              </w:rPr>
              <w:t>Total operating expenses</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140,502</w:t>
            </w:r>
          </w:p>
        </w:tc>
        <w:tc>
          <w:tcPr>
            <w:tcW w:w="1300" w:type="dxa"/>
            <w:vAlign w:val="bottom"/>
          </w:tcPr>
          <w:p>
            <w:pPr>
              <w:jc w:val="right"/>
              <w:spacing w:after="0"/>
              <w:rPr>
                <w:sz w:val="20"/>
                <w:szCs w:val="20"/>
                <w:color w:val="auto"/>
              </w:rPr>
            </w:pPr>
            <w:r>
              <w:rPr>
                <w:rFonts w:ascii="Arial" w:cs="Arial" w:eastAsia="Arial" w:hAnsi="Arial"/>
                <w:sz w:val="19"/>
                <w:szCs w:val="19"/>
                <w:color w:val="4B4B4B"/>
              </w:rPr>
              <w:t>168,569</w:t>
            </w:r>
          </w:p>
        </w:tc>
        <w:tc>
          <w:tcPr>
            <w:tcW w:w="0" w:type="dxa"/>
            <w:vAlign w:val="bottom"/>
          </w:tcPr>
          <w:p>
            <w:pPr>
              <w:spacing w:after="0"/>
              <w:rPr>
                <w:sz w:val="1"/>
                <w:szCs w:val="1"/>
                <w:color w:val="auto"/>
              </w:rPr>
            </w:pPr>
          </w:p>
        </w:tc>
      </w:tr>
      <w:tr>
        <w:trPr>
          <w:trHeight w:val="48"/>
        </w:trPr>
        <w:tc>
          <w:tcPr>
            <w:tcW w:w="788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7880" w:type="dxa"/>
            <w:vAlign w:val="bottom"/>
          </w:tcPr>
          <w:p>
            <w:pPr>
              <w:ind w:left="20"/>
              <w:spacing w:after="0"/>
              <w:rPr>
                <w:sz w:val="20"/>
                <w:szCs w:val="20"/>
                <w:color w:val="auto"/>
              </w:rPr>
            </w:pPr>
            <w:r>
              <w:rPr>
                <w:rFonts w:ascii="Arial" w:cs="Arial" w:eastAsia="Arial" w:hAnsi="Arial"/>
                <w:sz w:val="19"/>
                <w:szCs w:val="19"/>
                <w:color w:val="4B4B4B"/>
              </w:rPr>
              <w:t>Income from operations</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23,594</w:t>
            </w:r>
          </w:p>
        </w:tc>
        <w:tc>
          <w:tcPr>
            <w:tcW w:w="1300" w:type="dxa"/>
            <w:vAlign w:val="bottom"/>
          </w:tcPr>
          <w:p>
            <w:pPr>
              <w:jc w:val="right"/>
              <w:spacing w:after="0"/>
              <w:rPr>
                <w:sz w:val="20"/>
                <w:szCs w:val="20"/>
                <w:color w:val="auto"/>
              </w:rPr>
            </w:pPr>
            <w:r>
              <w:rPr>
                <w:rFonts w:ascii="Arial" w:cs="Arial" w:eastAsia="Arial" w:hAnsi="Arial"/>
                <w:sz w:val="19"/>
                <w:szCs w:val="19"/>
                <w:color w:val="4B4B4B"/>
              </w:rPr>
              <w:t>44,527</w:t>
            </w:r>
          </w:p>
        </w:tc>
        <w:tc>
          <w:tcPr>
            <w:tcW w:w="0" w:type="dxa"/>
            <w:vAlign w:val="bottom"/>
          </w:tcPr>
          <w:p>
            <w:pPr>
              <w:spacing w:after="0"/>
              <w:rPr>
                <w:sz w:val="1"/>
                <w:szCs w:val="1"/>
                <w:color w:val="auto"/>
              </w:rPr>
            </w:pPr>
          </w:p>
        </w:tc>
      </w:tr>
      <w:tr>
        <w:trPr>
          <w:trHeight w:val="351"/>
        </w:trPr>
        <w:tc>
          <w:tcPr>
            <w:tcW w:w="7880" w:type="dxa"/>
            <w:vAlign w:val="bottom"/>
          </w:tcPr>
          <w:p>
            <w:pPr>
              <w:ind w:left="20"/>
              <w:spacing w:after="0"/>
              <w:rPr>
                <w:sz w:val="20"/>
                <w:szCs w:val="20"/>
                <w:color w:val="auto"/>
              </w:rPr>
            </w:pPr>
            <w:r>
              <w:rPr>
                <w:rFonts w:ascii="Arial" w:cs="Arial" w:eastAsia="Arial" w:hAnsi="Arial"/>
                <w:sz w:val="19"/>
                <w:szCs w:val="19"/>
                <w:color w:val="4B4B4B"/>
              </w:rPr>
              <w:t>Other income (expense), net</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1,001</w:t>
            </w:r>
          </w:p>
        </w:tc>
        <w:tc>
          <w:tcPr>
            <w:tcW w:w="1300" w:type="dxa"/>
            <w:vAlign w:val="bottom"/>
          </w:tcPr>
          <w:p>
            <w:pPr>
              <w:jc w:val="right"/>
              <w:spacing w:after="0"/>
              <w:rPr>
                <w:sz w:val="20"/>
                <w:szCs w:val="20"/>
                <w:color w:val="auto"/>
              </w:rPr>
            </w:pPr>
            <w:r>
              <w:rPr>
                <w:rFonts w:ascii="Arial" w:cs="Arial" w:eastAsia="Arial" w:hAnsi="Arial"/>
                <w:sz w:val="19"/>
                <w:szCs w:val="19"/>
                <w:color w:val="4B4B4B"/>
              </w:rPr>
              <w:t>(786)</w:t>
            </w:r>
          </w:p>
        </w:tc>
        <w:tc>
          <w:tcPr>
            <w:tcW w:w="0" w:type="dxa"/>
            <w:vAlign w:val="bottom"/>
          </w:tcPr>
          <w:p>
            <w:pPr>
              <w:spacing w:after="0"/>
              <w:rPr>
                <w:sz w:val="1"/>
                <w:szCs w:val="1"/>
                <w:color w:val="auto"/>
              </w:rPr>
            </w:pPr>
          </w:p>
        </w:tc>
      </w:tr>
      <w:tr>
        <w:trPr>
          <w:trHeight w:val="48"/>
        </w:trPr>
        <w:tc>
          <w:tcPr>
            <w:tcW w:w="788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7880" w:type="dxa"/>
            <w:vAlign w:val="bottom"/>
          </w:tcPr>
          <w:p>
            <w:pPr>
              <w:ind w:left="20"/>
              <w:spacing w:after="0"/>
              <w:rPr>
                <w:sz w:val="20"/>
                <w:szCs w:val="20"/>
                <w:color w:val="auto"/>
              </w:rPr>
            </w:pPr>
            <w:r>
              <w:rPr>
                <w:rFonts w:ascii="Arial" w:cs="Arial" w:eastAsia="Arial" w:hAnsi="Arial"/>
                <w:sz w:val="19"/>
                <w:szCs w:val="19"/>
                <w:color w:val="4B4B4B"/>
              </w:rPr>
              <w:t>Income before interest income and income taxes</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24,595</w:t>
            </w:r>
          </w:p>
        </w:tc>
        <w:tc>
          <w:tcPr>
            <w:tcW w:w="1300" w:type="dxa"/>
            <w:vAlign w:val="bottom"/>
          </w:tcPr>
          <w:p>
            <w:pPr>
              <w:jc w:val="right"/>
              <w:spacing w:after="0"/>
              <w:rPr>
                <w:sz w:val="20"/>
                <w:szCs w:val="20"/>
                <w:color w:val="auto"/>
              </w:rPr>
            </w:pPr>
            <w:r>
              <w:rPr>
                <w:rFonts w:ascii="Arial" w:cs="Arial" w:eastAsia="Arial" w:hAnsi="Arial"/>
                <w:sz w:val="19"/>
                <w:szCs w:val="19"/>
                <w:color w:val="4B4B4B"/>
              </w:rPr>
              <w:t>43,741</w:t>
            </w:r>
          </w:p>
        </w:tc>
        <w:tc>
          <w:tcPr>
            <w:tcW w:w="0" w:type="dxa"/>
            <w:vAlign w:val="bottom"/>
          </w:tcPr>
          <w:p>
            <w:pPr>
              <w:spacing w:after="0"/>
              <w:rPr>
                <w:sz w:val="1"/>
                <w:szCs w:val="1"/>
                <w:color w:val="auto"/>
              </w:rPr>
            </w:pPr>
          </w:p>
        </w:tc>
      </w:tr>
      <w:tr>
        <w:trPr>
          <w:trHeight w:val="351"/>
        </w:trPr>
        <w:tc>
          <w:tcPr>
            <w:tcW w:w="7880" w:type="dxa"/>
            <w:vAlign w:val="bottom"/>
          </w:tcPr>
          <w:p>
            <w:pPr>
              <w:ind w:left="20"/>
              <w:spacing w:after="0"/>
              <w:rPr>
                <w:sz w:val="20"/>
                <w:szCs w:val="20"/>
                <w:color w:val="auto"/>
              </w:rPr>
            </w:pPr>
            <w:r>
              <w:rPr>
                <w:rFonts w:ascii="Arial" w:cs="Arial" w:eastAsia="Arial" w:hAnsi="Arial"/>
                <w:sz w:val="19"/>
                <w:szCs w:val="19"/>
                <w:color w:val="4B4B4B"/>
              </w:rPr>
              <w:t>Interest income</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10,415</w:t>
            </w:r>
          </w:p>
        </w:tc>
        <w:tc>
          <w:tcPr>
            <w:tcW w:w="1300" w:type="dxa"/>
            <w:vAlign w:val="bottom"/>
          </w:tcPr>
          <w:p>
            <w:pPr>
              <w:jc w:val="right"/>
              <w:spacing w:after="0"/>
              <w:rPr>
                <w:sz w:val="20"/>
                <w:szCs w:val="20"/>
                <w:color w:val="auto"/>
              </w:rPr>
            </w:pPr>
            <w:r>
              <w:rPr>
                <w:rFonts w:ascii="Arial" w:cs="Arial" w:eastAsia="Arial" w:hAnsi="Arial"/>
                <w:sz w:val="19"/>
                <w:szCs w:val="19"/>
                <w:color w:val="4B4B4B"/>
              </w:rPr>
              <w:t>11,811</w:t>
            </w:r>
          </w:p>
        </w:tc>
        <w:tc>
          <w:tcPr>
            <w:tcW w:w="0" w:type="dxa"/>
            <w:vAlign w:val="bottom"/>
          </w:tcPr>
          <w:p>
            <w:pPr>
              <w:spacing w:after="0"/>
              <w:rPr>
                <w:sz w:val="1"/>
                <w:szCs w:val="1"/>
                <w:color w:val="auto"/>
              </w:rPr>
            </w:pPr>
          </w:p>
        </w:tc>
      </w:tr>
      <w:tr>
        <w:trPr>
          <w:trHeight w:val="48"/>
        </w:trPr>
        <w:tc>
          <w:tcPr>
            <w:tcW w:w="788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7880" w:type="dxa"/>
            <w:vAlign w:val="bottom"/>
          </w:tcPr>
          <w:p>
            <w:pPr>
              <w:ind w:left="20"/>
              <w:spacing w:after="0"/>
              <w:rPr>
                <w:sz w:val="20"/>
                <w:szCs w:val="20"/>
                <w:color w:val="auto"/>
              </w:rPr>
            </w:pPr>
            <w:r>
              <w:rPr>
                <w:rFonts w:ascii="Arial" w:cs="Arial" w:eastAsia="Arial" w:hAnsi="Arial"/>
                <w:sz w:val="19"/>
                <w:szCs w:val="19"/>
                <w:color w:val="4B4B4B"/>
              </w:rPr>
              <w:t>Income before income taxes</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35,010</w:t>
            </w:r>
          </w:p>
        </w:tc>
        <w:tc>
          <w:tcPr>
            <w:tcW w:w="1300" w:type="dxa"/>
            <w:vAlign w:val="bottom"/>
          </w:tcPr>
          <w:p>
            <w:pPr>
              <w:jc w:val="right"/>
              <w:spacing w:after="0"/>
              <w:rPr>
                <w:sz w:val="20"/>
                <w:szCs w:val="20"/>
                <w:color w:val="auto"/>
              </w:rPr>
            </w:pPr>
            <w:r>
              <w:rPr>
                <w:rFonts w:ascii="Arial" w:cs="Arial" w:eastAsia="Arial" w:hAnsi="Arial"/>
                <w:sz w:val="19"/>
                <w:szCs w:val="19"/>
                <w:color w:val="4B4B4B"/>
              </w:rPr>
              <w:t>55,552</w:t>
            </w:r>
          </w:p>
        </w:tc>
        <w:tc>
          <w:tcPr>
            <w:tcW w:w="0" w:type="dxa"/>
            <w:vAlign w:val="bottom"/>
          </w:tcPr>
          <w:p>
            <w:pPr>
              <w:spacing w:after="0"/>
              <w:rPr>
                <w:sz w:val="1"/>
                <w:szCs w:val="1"/>
                <w:color w:val="auto"/>
              </w:rPr>
            </w:pPr>
          </w:p>
        </w:tc>
      </w:tr>
      <w:tr>
        <w:trPr>
          <w:trHeight w:val="351"/>
        </w:trPr>
        <w:tc>
          <w:tcPr>
            <w:tcW w:w="7880" w:type="dxa"/>
            <w:vAlign w:val="bottom"/>
          </w:tcPr>
          <w:p>
            <w:pPr>
              <w:ind w:left="20"/>
              <w:spacing w:after="0"/>
              <w:rPr>
                <w:sz w:val="20"/>
                <w:szCs w:val="20"/>
                <w:color w:val="auto"/>
              </w:rPr>
            </w:pPr>
            <w:r>
              <w:rPr>
                <w:rFonts w:ascii="Arial" w:cs="Arial" w:eastAsia="Arial" w:hAnsi="Arial"/>
                <w:sz w:val="19"/>
                <w:szCs w:val="19"/>
                <w:color w:val="4B4B4B"/>
              </w:rPr>
              <w:t>(Benefit from) provision for income taxes</w:t>
            </w:r>
          </w:p>
        </w:tc>
        <w:tc>
          <w:tcPr>
            <w:tcW w:w="2020" w:type="dxa"/>
            <w:vAlign w:val="bottom"/>
          </w:tcPr>
          <w:p>
            <w:pPr>
              <w:jc w:val="right"/>
              <w:ind w:right="346"/>
              <w:spacing w:after="0"/>
              <w:rPr>
                <w:sz w:val="20"/>
                <w:szCs w:val="20"/>
                <w:color w:val="auto"/>
              </w:rPr>
            </w:pPr>
            <w:r>
              <w:rPr>
                <w:rFonts w:ascii="Arial" w:cs="Arial" w:eastAsia="Arial" w:hAnsi="Arial"/>
                <w:sz w:val="19"/>
                <w:szCs w:val="19"/>
                <w:color w:val="4B4B4B"/>
              </w:rPr>
              <w:t>(125)</w:t>
            </w:r>
          </w:p>
        </w:tc>
        <w:tc>
          <w:tcPr>
            <w:tcW w:w="1300" w:type="dxa"/>
            <w:vAlign w:val="bottom"/>
          </w:tcPr>
          <w:p>
            <w:pPr>
              <w:jc w:val="right"/>
              <w:spacing w:after="0"/>
              <w:rPr>
                <w:sz w:val="20"/>
                <w:szCs w:val="20"/>
                <w:color w:val="auto"/>
              </w:rPr>
            </w:pPr>
            <w:r>
              <w:rPr>
                <w:rFonts w:ascii="Arial" w:cs="Arial" w:eastAsia="Arial" w:hAnsi="Arial"/>
                <w:sz w:val="19"/>
                <w:szCs w:val="19"/>
                <w:color w:val="4B4B4B"/>
              </w:rPr>
              <w:t>12,092</w:t>
            </w:r>
          </w:p>
        </w:tc>
        <w:tc>
          <w:tcPr>
            <w:tcW w:w="0" w:type="dxa"/>
            <w:vAlign w:val="bottom"/>
          </w:tcPr>
          <w:p>
            <w:pPr>
              <w:spacing w:after="0"/>
              <w:rPr>
                <w:sz w:val="1"/>
                <w:szCs w:val="1"/>
                <w:color w:val="auto"/>
              </w:rPr>
            </w:pPr>
          </w:p>
        </w:tc>
      </w:tr>
      <w:tr>
        <w:trPr>
          <w:trHeight w:val="48"/>
        </w:trPr>
        <w:tc>
          <w:tcPr>
            <w:tcW w:w="788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7880" w:type="dxa"/>
            <w:vAlign w:val="bottom"/>
          </w:tcPr>
          <w:p>
            <w:pPr>
              <w:ind w:left="20"/>
              <w:spacing w:after="0"/>
              <w:rPr>
                <w:sz w:val="20"/>
                <w:szCs w:val="20"/>
                <w:color w:val="auto"/>
              </w:rPr>
            </w:pPr>
            <w:r>
              <w:rPr>
                <w:rFonts w:ascii="Arial" w:cs="Arial" w:eastAsia="Arial" w:hAnsi="Arial"/>
                <w:sz w:val="19"/>
                <w:szCs w:val="19"/>
                <w:color w:val="4B4B4B"/>
              </w:rPr>
              <w:t>Net income and comprehensive income</w:t>
            </w: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$35,135</w:t>
            </w:r>
          </w:p>
        </w:tc>
        <w:tc>
          <w:tcPr>
            <w:tcW w:w="1300" w:type="dxa"/>
            <w:vAlign w:val="bottom"/>
          </w:tcPr>
          <w:p>
            <w:pPr>
              <w:jc w:val="right"/>
              <w:spacing w:after="0"/>
              <w:rPr>
                <w:sz w:val="20"/>
                <w:szCs w:val="20"/>
                <w:color w:val="auto"/>
              </w:rPr>
            </w:pPr>
            <w:r>
              <w:rPr>
                <w:rFonts w:ascii="Arial" w:cs="Arial" w:eastAsia="Arial" w:hAnsi="Arial"/>
                <w:sz w:val="19"/>
                <w:szCs w:val="19"/>
                <w:color w:val="4B4B4B"/>
              </w:rPr>
              <w:t>$43,460</w:t>
            </w:r>
          </w:p>
        </w:tc>
        <w:tc>
          <w:tcPr>
            <w:tcW w:w="0" w:type="dxa"/>
            <w:vAlign w:val="bottom"/>
          </w:tcPr>
          <w:p>
            <w:pPr>
              <w:spacing w:after="0"/>
              <w:rPr>
                <w:sz w:val="1"/>
                <w:szCs w:val="1"/>
                <w:color w:val="auto"/>
              </w:rPr>
            </w:pPr>
          </w:p>
        </w:tc>
      </w:tr>
      <w:tr>
        <w:trPr>
          <w:trHeight w:val="21"/>
        </w:trPr>
        <w:tc>
          <w:tcPr>
            <w:tcW w:w="7880" w:type="dxa"/>
            <w:vAlign w:val="bottom"/>
            <w:vMerge w:val="restart"/>
          </w:tcPr>
          <w:p>
            <w:pPr>
              <w:ind w:left="20"/>
              <w:spacing w:after="0"/>
              <w:rPr>
                <w:sz w:val="20"/>
                <w:szCs w:val="20"/>
                <w:color w:val="auto"/>
              </w:rPr>
            </w:pPr>
            <w:r>
              <w:rPr>
                <w:rFonts w:ascii="Arial" w:cs="Arial" w:eastAsia="Arial" w:hAnsi="Arial"/>
                <w:sz w:val="19"/>
                <w:szCs w:val="19"/>
                <w:color w:val="4B4B4B"/>
              </w:rPr>
              <w:t>Net income per share attributable to Class A and Class B common stockholders, basic</w:t>
            </w:r>
          </w:p>
        </w:tc>
        <w:tc>
          <w:tcPr>
            <w:tcW w:w="2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880" w:type="dxa"/>
            <w:vAlign w:val="bottom"/>
            <w:vMerge w:val="continue"/>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7880" w:type="dxa"/>
            <w:vAlign w:val="bottom"/>
            <w:vMerge w:val="continue"/>
          </w:tcPr>
          <w:p>
            <w:pPr>
              <w:spacing w:after="0"/>
              <w:rPr>
                <w:sz w:val="24"/>
                <w:szCs w:val="24"/>
                <w:color w:val="auto"/>
              </w:rPr>
            </w:pP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$0.78</w:t>
            </w:r>
          </w:p>
        </w:tc>
        <w:tc>
          <w:tcPr>
            <w:tcW w:w="1300" w:type="dxa"/>
            <w:vAlign w:val="bottom"/>
          </w:tcPr>
          <w:p>
            <w:pPr>
              <w:jc w:val="right"/>
              <w:spacing w:after="0"/>
              <w:rPr>
                <w:sz w:val="20"/>
                <w:szCs w:val="20"/>
                <w:color w:val="auto"/>
              </w:rPr>
            </w:pPr>
            <w:r>
              <w:rPr>
                <w:rFonts w:ascii="Arial" w:cs="Arial" w:eastAsia="Arial" w:hAnsi="Arial"/>
                <w:sz w:val="19"/>
                <w:szCs w:val="19"/>
                <w:color w:val="4B4B4B"/>
              </w:rPr>
              <w:t>$0.93</w:t>
            </w:r>
          </w:p>
        </w:tc>
        <w:tc>
          <w:tcPr>
            <w:tcW w:w="0" w:type="dxa"/>
            <w:vAlign w:val="bottom"/>
          </w:tcPr>
          <w:p>
            <w:pPr>
              <w:spacing w:after="0"/>
              <w:rPr>
                <w:sz w:val="1"/>
                <w:szCs w:val="1"/>
                <w:color w:val="auto"/>
              </w:rPr>
            </w:pPr>
          </w:p>
        </w:tc>
      </w:tr>
      <w:tr>
        <w:trPr>
          <w:trHeight w:val="35"/>
        </w:trPr>
        <w:tc>
          <w:tcPr>
            <w:tcW w:w="7880" w:type="dxa"/>
            <w:vAlign w:val="bottom"/>
            <w:vMerge w:val="restart"/>
          </w:tcPr>
          <w:p>
            <w:pPr>
              <w:ind w:left="20"/>
              <w:spacing w:after="0"/>
              <w:rPr>
                <w:sz w:val="20"/>
                <w:szCs w:val="20"/>
                <w:color w:val="auto"/>
              </w:rPr>
            </w:pPr>
            <w:r>
              <w:rPr>
                <w:rFonts w:ascii="Arial" w:cs="Arial" w:eastAsia="Arial" w:hAnsi="Arial"/>
                <w:sz w:val="19"/>
                <w:szCs w:val="19"/>
                <w:color w:val="4B4B4B"/>
              </w:rPr>
              <w:t>Net income per share attributable to Class A and Class B common stockholders, diluted</w:t>
            </w:r>
          </w:p>
        </w:tc>
        <w:tc>
          <w:tcPr>
            <w:tcW w:w="20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7880" w:type="dxa"/>
            <w:vAlign w:val="bottom"/>
            <w:vMerge w:val="continue"/>
          </w:tcPr>
          <w:p>
            <w:pPr>
              <w:spacing w:after="0"/>
              <w:rPr>
                <w:sz w:val="24"/>
                <w:szCs w:val="24"/>
                <w:color w:val="auto"/>
              </w:rPr>
            </w:pPr>
          </w:p>
        </w:tc>
        <w:tc>
          <w:tcPr>
            <w:tcW w:w="2020" w:type="dxa"/>
            <w:vAlign w:val="bottom"/>
          </w:tcPr>
          <w:p>
            <w:pPr>
              <w:jc w:val="right"/>
              <w:ind w:right="386"/>
              <w:spacing w:after="0"/>
              <w:rPr>
                <w:sz w:val="20"/>
                <w:szCs w:val="20"/>
                <w:color w:val="auto"/>
              </w:rPr>
            </w:pPr>
            <w:r>
              <w:rPr>
                <w:rFonts w:ascii="Arial" w:cs="Arial" w:eastAsia="Arial" w:hAnsi="Arial"/>
                <w:sz w:val="19"/>
                <w:szCs w:val="19"/>
                <w:color w:val="4B4B4B"/>
              </w:rPr>
              <w:t>$0.72</w:t>
            </w:r>
          </w:p>
        </w:tc>
        <w:tc>
          <w:tcPr>
            <w:tcW w:w="1300" w:type="dxa"/>
            <w:vAlign w:val="bottom"/>
          </w:tcPr>
          <w:p>
            <w:pPr>
              <w:jc w:val="right"/>
              <w:spacing w:after="0"/>
              <w:rPr>
                <w:sz w:val="20"/>
                <w:szCs w:val="20"/>
                <w:color w:val="auto"/>
              </w:rPr>
            </w:pPr>
            <w:r>
              <w:rPr>
                <w:rFonts w:ascii="Arial" w:cs="Arial" w:eastAsia="Arial" w:hAnsi="Arial"/>
                <w:sz w:val="19"/>
                <w:szCs w:val="19"/>
                <w:color w:val="4B4B4B"/>
              </w:rPr>
              <w:t>$0.89</w:t>
            </w:r>
          </w:p>
        </w:tc>
        <w:tc>
          <w:tcPr>
            <w:tcW w:w="0" w:type="dxa"/>
            <w:vAlign w:val="bottom"/>
          </w:tcPr>
          <w:p>
            <w:pPr>
              <w:spacing w:after="0"/>
              <w:rPr>
                <w:sz w:val="1"/>
                <w:szCs w:val="1"/>
                <w:color w:val="auto"/>
              </w:rPr>
            </w:pPr>
          </w:p>
        </w:tc>
      </w:tr>
      <w:tr>
        <w:trPr>
          <w:trHeight w:val="35"/>
        </w:trPr>
        <w:tc>
          <w:tcPr>
            <w:tcW w:w="788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022850"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-243205</wp:posOffset>
            </wp:positionV>
            <wp:extent cx="5022850"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-466090</wp:posOffset>
            </wp:positionV>
            <wp:extent cx="502285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2285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-688975</wp:posOffset>
            </wp:positionV>
            <wp:extent cx="5022850"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-911860</wp:posOffset>
            </wp:positionV>
            <wp:extent cx="5022850"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-1134745</wp:posOffset>
            </wp:positionV>
            <wp:extent cx="502285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2285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-1357630</wp:posOffset>
            </wp:positionV>
            <wp:extent cx="5022850"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-1580515</wp:posOffset>
            </wp:positionV>
            <wp:extent cx="502285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-1803400</wp:posOffset>
            </wp:positionV>
            <wp:extent cx="5022850"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-2026920</wp:posOffset>
            </wp:positionV>
            <wp:extent cx="502285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2285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-2249170</wp:posOffset>
            </wp:positionV>
            <wp:extent cx="502285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-2472055</wp:posOffset>
            </wp:positionV>
            <wp:extent cx="5022850"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-2694940</wp:posOffset>
            </wp:positionV>
            <wp:extent cx="5022850"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-2917825</wp:posOffset>
            </wp:positionV>
            <wp:extent cx="5022850"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-3140710</wp:posOffset>
            </wp:positionV>
            <wp:extent cx="502285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22850" cy="33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-3363595</wp:posOffset>
            </wp:positionV>
            <wp:extent cx="50228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2285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-3586480</wp:posOffset>
            </wp:positionV>
            <wp:extent cx="5022850"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22850" cy="33655"/>
                    </a:xfrm>
                    <a:prstGeom prst="rect">
                      <a:avLst/>
                    </a:prstGeom>
                    <a:noFill/>
                  </pic:spPr>
                </pic:pic>
              </a:graphicData>
            </a:graphic>
          </wp:anchor>
        </w:drawing>
      </w:r>
    </w:p>
    <w:p>
      <w:pPr>
        <w:sectPr>
          <w:pgSz w:w="11900" w:h="16838" w:orient="portrait"/>
          <w:cols w:equalWidth="0" w:num="1">
            <w:col w:w="11220"/>
          </w:cols>
          <w:pgMar w:left="320" w:top="1440" w:right="359"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3320" w:val="left"/>
        </w:tabs>
        <w:rPr>
          <w:sz w:val="20"/>
          <w:szCs w:val="20"/>
          <w:color w:val="auto"/>
        </w:rPr>
      </w:pPr>
      <w:r>
        <w:rPr>
          <w:rFonts w:ascii="Arial" w:cs="Arial" w:eastAsia="Arial" w:hAnsi="Arial"/>
          <w:sz w:val="15"/>
          <w:szCs w:val="15"/>
          <w:color w:val="AFAFAF"/>
        </w:rPr>
        <w:t>DUOLINGO Q1 / FY 2026</w:t>
      </w:r>
      <w:r>
        <w:rPr>
          <w:sz w:val="20"/>
          <w:szCs w:val="20"/>
          <w:color w:val="auto"/>
        </w:rPr>
        <w:tab/>
      </w:r>
      <w:r>
        <w:rPr>
          <w:rFonts w:ascii="Arial" w:cs="Arial" w:eastAsia="Arial" w:hAnsi="Arial"/>
          <w:sz w:val="15"/>
          <w:szCs w:val="15"/>
          <w:color w:val="AFAFAF"/>
        </w:rPr>
        <w:t>17</w:t>
      </w:r>
    </w:p>
    <w:p>
      <w:pPr>
        <w:sectPr>
          <w:pgSz w:w="11900" w:h="16838" w:orient="portrait"/>
          <w:cols w:equalWidth="0" w:num="1">
            <w:col w:w="11220"/>
          </w:cols>
          <w:pgMar w:left="320" w:top="1440" w:right="359" w:bottom="157"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4B4B4B"/>
        </w:rPr>
        <w:t>DUOLINGO, INC. AND SUBSIDIARIES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B4B4B"/>
        </w:rPr>
        <w:t>UNAUDITED CONDENSED CONSOLIDATED STATEMENTS OF CASH FLOWS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Pr>
          <w:p>
            <w:pPr>
              <w:spacing w:after="0"/>
              <w:rPr>
                <w:sz w:val="22"/>
                <w:szCs w:val="22"/>
                <w:color w:val="auto"/>
              </w:rPr>
            </w:pPr>
          </w:p>
        </w:tc>
        <w:tc>
          <w:tcPr>
            <w:tcW w:w="6360" w:type="dxa"/>
            <w:vAlign w:val="bottom"/>
            <w:gridSpan w:val="2"/>
          </w:tcPr>
          <w:p>
            <w:pPr>
              <w:jc w:val="right"/>
              <w:spacing w:after="0"/>
              <w:rPr>
                <w:sz w:val="20"/>
                <w:szCs w:val="20"/>
                <w:color w:val="auto"/>
              </w:rPr>
            </w:pPr>
            <w:r>
              <w:rPr>
                <w:rFonts w:ascii="Arial" w:cs="Arial" w:eastAsia="Arial" w:hAnsi="Arial"/>
                <w:sz w:val="19"/>
                <w:szCs w:val="19"/>
                <w:b w:val="1"/>
                <w:bCs w:val="1"/>
                <w:color w:val="58CC02"/>
              </w:rPr>
              <w:t>Three Months Ended March 31,</w:t>
            </w:r>
          </w:p>
        </w:tc>
      </w:tr>
      <w:tr>
        <w:trPr>
          <w:trHeight w:val="25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58CC02"/>
              </w:rPr>
              <w:t>(in thousands)</w:t>
            </w:r>
          </w:p>
        </w:tc>
        <w:tc>
          <w:tcPr>
            <w:tcW w:w="508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58CC02"/>
              </w:rPr>
              <w:t>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2026</w:t>
            </w:r>
          </w:p>
        </w:tc>
      </w:tr>
    </w:tbl>
    <w:p>
      <w:pPr>
        <w:spacing w:after="0" w:line="81" w:lineRule="exact"/>
        <w:rPr>
          <w:sz w:val="20"/>
          <w:szCs w:val="20"/>
          <w:color w:val="auto"/>
        </w:rPr>
      </w:pPr>
    </w:p>
    <w:p>
      <w:pPr>
        <w:sectPr>
          <w:pgSz w:w="11900" w:h="16838" w:orient="portrait"/>
          <w:cols w:equalWidth="0" w:num="1">
            <w:col w:w="11220"/>
          </w:cols>
          <w:pgMar w:left="320" w:top="1353" w:right="359" w:bottom="994" w:gutter="0" w:footer="0" w:header="0"/>
        </w:sectPr>
      </w:pPr>
    </w:p>
    <w:p>
      <w:pPr>
        <w:ind w:left="20"/>
        <w:spacing w:after="0"/>
        <w:rPr>
          <w:sz w:val="20"/>
          <w:szCs w:val="20"/>
          <w:color w:val="auto"/>
        </w:rPr>
      </w:pPr>
      <w:r>
        <w:rPr>
          <w:rFonts w:ascii="Arial" w:cs="Arial" w:eastAsia="Arial" w:hAnsi="Arial"/>
          <w:sz w:val="19"/>
          <w:szCs w:val="19"/>
          <w:color w:val="4B4B4B"/>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25645" cy="34290"/>
                    </a:xfrm>
                    <a:prstGeom prst="rect">
                      <a:avLst/>
                    </a:prstGeom>
                    <a:noFill/>
                  </pic:spPr>
                </pic:pic>
              </a:graphicData>
            </a:graphic>
          </wp:anchor>
        </w:drawing>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9"/>
          <w:szCs w:val="19"/>
          <w:color w:val="4B4B4B"/>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25645" cy="34290"/>
                    </a:xfrm>
                    <a:prstGeom prst="rect">
                      <a:avLst/>
                    </a:prstGeom>
                    <a:noFill/>
                  </pic:spPr>
                </pic:pic>
              </a:graphicData>
            </a:graphic>
          </wp:anchor>
        </w:drawing>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452564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9"/>
          <w:szCs w:val="19"/>
          <w:color w:val="4B4B4B"/>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9"/>
          <w:szCs w:val="19"/>
          <w:color w:val="4B4B4B"/>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9"/>
          <w:szCs w:val="19"/>
          <w:color w:val="4B4B4B"/>
        </w:rPr>
        <w:t>Accretion on marketable securities,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25645" cy="34290"/>
                    </a:xfrm>
                    <a:prstGeom prst="rect">
                      <a:avLst/>
                    </a:prstGeom>
                    <a:noFill/>
                  </pic:spPr>
                </pic:pic>
              </a:graphicData>
            </a:graphic>
          </wp:anchor>
        </w:drawing>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9"/>
          <w:szCs w:val="19"/>
          <w:color w:val="4B4B4B"/>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25645" cy="34290"/>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4B4B4B"/>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452564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4B4B4B"/>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452564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4B4B4B"/>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4525645"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Net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Cash, cash equivalents and restricted 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4525645"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25645" cy="34290"/>
                    </a:xfrm>
                    <a:prstGeom prst="rect">
                      <a:avLst/>
                    </a:prstGeom>
                    <a:noFill/>
                  </pic:spPr>
                </pic:pic>
              </a:graphicData>
            </a:graphic>
          </wp:anchor>
        </w:drawing>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Cash, cash equivalents and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452564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2564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2540" w:type="dxa"/>
            <w:vAlign w:val="bottom"/>
          </w:tcPr>
          <w:p>
            <w:pPr>
              <w:jc w:val="right"/>
              <w:ind w:right="526"/>
              <w:spacing w:after="0"/>
              <w:rPr>
                <w:sz w:val="20"/>
                <w:szCs w:val="20"/>
                <w:color w:val="auto"/>
              </w:rPr>
            </w:pPr>
            <w:r>
              <w:rPr>
                <w:rFonts w:ascii="Arial" w:cs="Arial" w:eastAsia="Arial" w:hAnsi="Arial"/>
                <w:sz w:val="19"/>
                <w:szCs w:val="19"/>
                <w:color w:val="4B4B4B"/>
              </w:rPr>
              <w:t>$35,135</w:t>
            </w:r>
          </w:p>
        </w:tc>
        <w:tc>
          <w:tcPr>
            <w:tcW w:w="1580" w:type="dxa"/>
            <w:vAlign w:val="bottom"/>
          </w:tcPr>
          <w:p>
            <w:pPr>
              <w:jc w:val="right"/>
              <w:spacing w:after="0"/>
              <w:rPr>
                <w:sz w:val="20"/>
                <w:szCs w:val="20"/>
                <w:color w:val="auto"/>
              </w:rPr>
            </w:pPr>
            <w:r>
              <w:rPr>
                <w:rFonts w:ascii="Arial" w:cs="Arial" w:eastAsia="Arial" w:hAnsi="Arial"/>
                <w:sz w:val="19"/>
                <w:szCs w:val="19"/>
                <w:color w:val="4B4B4B"/>
              </w:rPr>
              <w:t>$43,460</w:t>
            </w:r>
          </w:p>
        </w:tc>
      </w:tr>
      <w:tr>
        <w:trPr>
          <w:trHeight w:val="702"/>
        </w:trPr>
        <w:tc>
          <w:tcPr>
            <w:tcW w:w="2540" w:type="dxa"/>
            <w:vAlign w:val="bottom"/>
          </w:tcPr>
          <w:p>
            <w:pPr>
              <w:jc w:val="right"/>
              <w:ind w:right="526"/>
              <w:spacing w:after="0"/>
              <w:rPr>
                <w:sz w:val="20"/>
                <w:szCs w:val="20"/>
                <w:color w:val="auto"/>
              </w:rPr>
            </w:pPr>
            <w:r>
              <w:rPr>
                <w:rFonts w:ascii="Arial" w:cs="Arial" w:eastAsia="Arial" w:hAnsi="Arial"/>
                <w:sz w:val="19"/>
                <w:szCs w:val="19"/>
                <w:color w:val="4B4B4B"/>
              </w:rPr>
              <w:t>—</w:t>
            </w:r>
          </w:p>
        </w:tc>
        <w:tc>
          <w:tcPr>
            <w:tcW w:w="1580" w:type="dxa"/>
            <w:vAlign w:val="bottom"/>
          </w:tcPr>
          <w:p>
            <w:pPr>
              <w:jc w:val="right"/>
              <w:spacing w:after="0"/>
              <w:rPr>
                <w:sz w:val="20"/>
                <w:szCs w:val="20"/>
                <w:color w:val="auto"/>
              </w:rPr>
            </w:pPr>
            <w:r>
              <w:rPr>
                <w:rFonts w:ascii="Arial" w:cs="Arial" w:eastAsia="Arial" w:hAnsi="Arial"/>
                <w:sz w:val="19"/>
                <w:szCs w:val="19"/>
                <w:color w:val="4B4B4B"/>
              </w:rPr>
              <w:t>9,496</w:t>
            </w:r>
          </w:p>
        </w:tc>
      </w:tr>
      <w:tr>
        <w:trPr>
          <w:trHeight w:val="351"/>
        </w:trPr>
        <w:tc>
          <w:tcPr>
            <w:tcW w:w="2540" w:type="dxa"/>
            <w:vAlign w:val="bottom"/>
          </w:tcPr>
          <w:p>
            <w:pPr>
              <w:jc w:val="right"/>
              <w:ind w:right="526"/>
              <w:spacing w:after="0"/>
              <w:rPr>
                <w:sz w:val="20"/>
                <w:szCs w:val="20"/>
                <w:color w:val="auto"/>
              </w:rPr>
            </w:pPr>
            <w:r>
              <w:rPr>
                <w:rFonts w:ascii="Arial" w:cs="Arial" w:eastAsia="Arial" w:hAnsi="Arial"/>
                <w:sz w:val="19"/>
                <w:szCs w:val="19"/>
                <w:color w:val="4B4B4B"/>
              </w:rPr>
              <w:t>3,590</w:t>
            </w:r>
          </w:p>
        </w:tc>
        <w:tc>
          <w:tcPr>
            <w:tcW w:w="1580" w:type="dxa"/>
            <w:vAlign w:val="bottom"/>
          </w:tcPr>
          <w:p>
            <w:pPr>
              <w:jc w:val="right"/>
              <w:spacing w:after="0"/>
              <w:rPr>
                <w:sz w:val="20"/>
                <w:szCs w:val="20"/>
                <w:color w:val="auto"/>
              </w:rPr>
            </w:pPr>
            <w:r>
              <w:rPr>
                <w:rFonts w:ascii="Arial" w:cs="Arial" w:eastAsia="Arial" w:hAnsi="Arial"/>
                <w:sz w:val="19"/>
                <w:szCs w:val="19"/>
                <w:color w:val="4B4B4B"/>
              </w:rPr>
              <w:t>4,191</w:t>
            </w:r>
          </w:p>
        </w:tc>
      </w:tr>
      <w:tr>
        <w:trPr>
          <w:trHeight w:val="351"/>
        </w:trPr>
        <w:tc>
          <w:tcPr>
            <w:tcW w:w="2540" w:type="dxa"/>
            <w:vAlign w:val="bottom"/>
          </w:tcPr>
          <w:p>
            <w:pPr>
              <w:jc w:val="right"/>
              <w:ind w:right="526"/>
              <w:spacing w:after="0"/>
              <w:rPr>
                <w:sz w:val="20"/>
                <w:szCs w:val="20"/>
                <w:color w:val="auto"/>
              </w:rPr>
            </w:pPr>
            <w:r>
              <w:rPr>
                <w:rFonts w:ascii="Arial" w:cs="Arial" w:eastAsia="Arial" w:hAnsi="Arial"/>
                <w:sz w:val="19"/>
                <w:szCs w:val="19"/>
                <w:color w:val="4B4B4B"/>
              </w:rPr>
              <w:t>31,018</w:t>
            </w:r>
          </w:p>
        </w:tc>
        <w:tc>
          <w:tcPr>
            <w:tcW w:w="1580" w:type="dxa"/>
            <w:vAlign w:val="bottom"/>
          </w:tcPr>
          <w:p>
            <w:pPr>
              <w:jc w:val="right"/>
              <w:spacing w:after="0"/>
              <w:rPr>
                <w:sz w:val="20"/>
                <w:szCs w:val="20"/>
                <w:color w:val="auto"/>
              </w:rPr>
            </w:pPr>
            <w:r>
              <w:rPr>
                <w:rFonts w:ascii="Arial" w:cs="Arial" w:eastAsia="Arial" w:hAnsi="Arial"/>
                <w:sz w:val="19"/>
                <w:szCs w:val="19"/>
                <w:color w:val="4B4B4B"/>
              </w:rPr>
              <w:t>34,647</w:t>
            </w:r>
          </w:p>
        </w:tc>
      </w:tr>
      <w:tr>
        <w:trPr>
          <w:trHeight w:val="351"/>
        </w:trPr>
        <w:tc>
          <w:tcPr>
            <w:tcW w:w="2540" w:type="dxa"/>
            <w:vAlign w:val="bottom"/>
          </w:tcPr>
          <w:p>
            <w:pPr>
              <w:jc w:val="right"/>
              <w:ind w:right="466"/>
              <w:spacing w:after="0"/>
              <w:rPr>
                <w:sz w:val="20"/>
                <w:szCs w:val="20"/>
                <w:color w:val="auto"/>
              </w:rPr>
            </w:pPr>
            <w:r>
              <w:rPr>
                <w:rFonts w:ascii="Arial" w:cs="Arial" w:eastAsia="Arial" w:hAnsi="Arial"/>
                <w:sz w:val="19"/>
                <w:szCs w:val="19"/>
                <w:color w:val="4B4B4B"/>
              </w:rPr>
              <w:t>(550)</w:t>
            </w:r>
          </w:p>
        </w:tc>
        <w:tc>
          <w:tcPr>
            <w:tcW w:w="1580" w:type="dxa"/>
            <w:vAlign w:val="bottom"/>
          </w:tcPr>
          <w:p>
            <w:pPr>
              <w:jc w:val="right"/>
              <w:spacing w:after="0"/>
              <w:rPr>
                <w:sz w:val="20"/>
                <w:szCs w:val="20"/>
                <w:color w:val="auto"/>
              </w:rPr>
            </w:pPr>
            <w:r>
              <w:rPr>
                <w:rFonts w:ascii="Arial" w:cs="Arial" w:eastAsia="Arial" w:hAnsi="Arial"/>
                <w:sz w:val="19"/>
                <w:szCs w:val="19"/>
                <w:color w:val="4B4B4B"/>
              </w:rPr>
              <w:t>(321)</w:t>
            </w:r>
          </w:p>
        </w:tc>
      </w:tr>
      <w:tr>
        <w:trPr>
          <w:trHeight w:val="351"/>
        </w:trPr>
        <w:tc>
          <w:tcPr>
            <w:tcW w:w="2540" w:type="dxa"/>
            <w:vAlign w:val="bottom"/>
          </w:tcPr>
          <w:p>
            <w:pPr>
              <w:jc w:val="right"/>
              <w:ind w:right="526"/>
              <w:spacing w:after="0"/>
              <w:rPr>
                <w:sz w:val="20"/>
                <w:szCs w:val="20"/>
                <w:color w:val="auto"/>
              </w:rPr>
            </w:pPr>
            <w:r>
              <w:rPr>
                <w:rFonts w:ascii="Arial" w:cs="Arial" w:eastAsia="Arial" w:hAnsi="Arial"/>
                <w:sz w:val="19"/>
                <w:szCs w:val="19"/>
                <w:color w:val="4B4B4B"/>
              </w:rPr>
              <w:t>36,438</w:t>
            </w:r>
          </w:p>
        </w:tc>
        <w:tc>
          <w:tcPr>
            <w:tcW w:w="1580" w:type="dxa"/>
            <w:vAlign w:val="bottom"/>
          </w:tcPr>
          <w:p>
            <w:pPr>
              <w:jc w:val="right"/>
              <w:spacing w:after="0"/>
              <w:rPr>
                <w:sz w:val="20"/>
                <w:szCs w:val="20"/>
                <w:color w:val="auto"/>
              </w:rPr>
            </w:pPr>
            <w:r>
              <w:rPr>
                <w:rFonts w:ascii="Arial" w:cs="Arial" w:eastAsia="Arial" w:hAnsi="Arial"/>
                <w:sz w:val="19"/>
                <w:szCs w:val="19"/>
                <w:color w:val="4B4B4B"/>
              </w:rPr>
              <w:t>59,298</w:t>
            </w:r>
          </w:p>
        </w:tc>
      </w:tr>
      <w:tr>
        <w:trPr>
          <w:trHeight w:val="61"/>
        </w:trPr>
        <w:tc>
          <w:tcPr>
            <w:tcW w:w="25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80"/>
        </w:trPr>
        <w:tc>
          <w:tcPr>
            <w:tcW w:w="2540" w:type="dxa"/>
            <w:vAlign w:val="bottom"/>
          </w:tcPr>
          <w:p>
            <w:pPr>
              <w:jc w:val="right"/>
              <w:ind w:right="526"/>
              <w:spacing w:after="0"/>
              <w:rPr>
                <w:sz w:val="20"/>
                <w:szCs w:val="20"/>
                <w:color w:val="auto"/>
              </w:rPr>
            </w:pPr>
            <w:r>
              <w:rPr>
                <w:rFonts w:ascii="Arial" w:cs="Arial" w:eastAsia="Arial" w:hAnsi="Arial"/>
                <w:sz w:val="19"/>
                <w:szCs w:val="19"/>
                <w:b w:val="1"/>
                <w:bCs w:val="1"/>
                <w:color w:val="4B4B4B"/>
              </w:rPr>
              <w:t>105,631</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4B4B4B"/>
              </w:rPr>
              <w:t>150,771</w:t>
            </w:r>
          </w:p>
        </w:tc>
      </w:tr>
      <w:tr>
        <w:trPr>
          <w:trHeight w:val="24"/>
        </w:trPr>
        <w:tc>
          <w:tcPr>
            <w:tcW w:w="2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0"/>
        </w:trPr>
        <w:tc>
          <w:tcPr>
            <w:tcW w:w="2540" w:type="dxa"/>
            <w:vAlign w:val="bottom"/>
          </w:tcPr>
          <w:p>
            <w:pPr>
              <w:jc w:val="right"/>
              <w:ind w:right="466"/>
              <w:spacing w:after="0"/>
              <w:rPr>
                <w:sz w:val="20"/>
                <w:szCs w:val="20"/>
                <w:color w:val="auto"/>
              </w:rPr>
            </w:pPr>
            <w:r>
              <w:rPr>
                <w:rFonts w:ascii="Arial" w:cs="Arial" w:eastAsia="Arial" w:hAnsi="Arial"/>
                <w:sz w:val="19"/>
                <w:szCs w:val="19"/>
                <w:b w:val="1"/>
                <w:bCs w:val="1"/>
                <w:color w:val="4B4B4B"/>
              </w:rPr>
              <w:t>(10,549)</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4B4B4B"/>
              </w:rPr>
              <w:t>(16,749)</w:t>
            </w:r>
          </w:p>
        </w:tc>
      </w:tr>
      <w:tr>
        <w:trPr>
          <w:trHeight w:val="24"/>
        </w:trPr>
        <w:tc>
          <w:tcPr>
            <w:tcW w:w="2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0"/>
        </w:trPr>
        <w:tc>
          <w:tcPr>
            <w:tcW w:w="2540" w:type="dxa"/>
            <w:vAlign w:val="bottom"/>
          </w:tcPr>
          <w:p>
            <w:pPr>
              <w:jc w:val="right"/>
              <w:ind w:right="526"/>
              <w:spacing w:after="0"/>
              <w:rPr>
                <w:sz w:val="20"/>
                <w:szCs w:val="20"/>
                <w:color w:val="auto"/>
              </w:rPr>
            </w:pPr>
            <w:r>
              <w:rPr>
                <w:rFonts w:ascii="Arial" w:cs="Arial" w:eastAsia="Arial" w:hAnsi="Arial"/>
                <w:sz w:val="19"/>
                <w:szCs w:val="19"/>
                <w:b w:val="1"/>
                <w:bCs w:val="1"/>
                <w:color w:val="4B4B4B"/>
              </w:rPr>
              <w:t>3,123</w:t>
            </w:r>
          </w:p>
        </w:tc>
        <w:tc>
          <w:tcPr>
            <w:tcW w:w="1580" w:type="dxa"/>
            <w:vAlign w:val="bottom"/>
          </w:tcPr>
          <w:p>
            <w:pPr>
              <w:jc w:val="right"/>
              <w:spacing w:after="0"/>
              <w:rPr>
                <w:sz w:val="20"/>
                <w:szCs w:val="20"/>
                <w:color w:val="auto"/>
              </w:rPr>
            </w:pPr>
            <w:r>
              <w:rPr>
                <w:rFonts w:ascii="Arial" w:cs="Arial" w:eastAsia="Arial" w:hAnsi="Arial"/>
                <w:sz w:val="19"/>
                <w:szCs w:val="19"/>
                <w:b w:val="1"/>
                <w:bCs w:val="1"/>
                <w:color w:val="4B4B4B"/>
              </w:rPr>
              <w:t>(31,850)</w:t>
            </w:r>
          </w:p>
        </w:tc>
      </w:tr>
      <w:tr>
        <w:trPr>
          <w:trHeight w:val="25"/>
        </w:trPr>
        <w:tc>
          <w:tcPr>
            <w:tcW w:w="2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3"/>
        </w:trPr>
        <w:tc>
          <w:tcPr>
            <w:tcW w:w="2540" w:type="dxa"/>
            <w:vAlign w:val="bottom"/>
          </w:tcPr>
          <w:p>
            <w:pPr>
              <w:jc w:val="right"/>
              <w:ind w:right="526"/>
              <w:spacing w:after="0"/>
              <w:rPr>
                <w:sz w:val="20"/>
                <w:szCs w:val="20"/>
                <w:color w:val="auto"/>
              </w:rPr>
            </w:pPr>
            <w:r>
              <w:rPr>
                <w:rFonts w:ascii="Arial" w:cs="Arial" w:eastAsia="Arial" w:hAnsi="Arial"/>
                <w:sz w:val="19"/>
                <w:szCs w:val="19"/>
                <w:color w:val="4B4B4B"/>
              </w:rPr>
              <w:t>98,205</w:t>
            </w:r>
          </w:p>
        </w:tc>
        <w:tc>
          <w:tcPr>
            <w:tcW w:w="1580" w:type="dxa"/>
            <w:vAlign w:val="bottom"/>
          </w:tcPr>
          <w:p>
            <w:pPr>
              <w:jc w:val="right"/>
              <w:spacing w:after="0"/>
              <w:rPr>
                <w:sz w:val="20"/>
                <w:szCs w:val="20"/>
                <w:color w:val="auto"/>
              </w:rPr>
            </w:pPr>
            <w:r>
              <w:rPr>
                <w:rFonts w:ascii="Arial" w:cs="Arial" w:eastAsia="Arial" w:hAnsi="Arial"/>
                <w:sz w:val="19"/>
                <w:szCs w:val="19"/>
                <w:color w:val="4B4B4B"/>
              </w:rPr>
              <w:t>102,172</w:t>
            </w:r>
          </w:p>
        </w:tc>
      </w:tr>
      <w:tr>
        <w:trPr>
          <w:trHeight w:val="338"/>
        </w:trPr>
        <w:tc>
          <w:tcPr>
            <w:tcW w:w="2540" w:type="dxa"/>
            <w:vAlign w:val="bottom"/>
          </w:tcPr>
          <w:p>
            <w:pPr>
              <w:jc w:val="right"/>
              <w:ind w:right="526"/>
              <w:spacing w:after="0"/>
              <w:rPr>
                <w:sz w:val="20"/>
                <w:szCs w:val="20"/>
                <w:color w:val="auto"/>
              </w:rPr>
            </w:pPr>
            <w:r>
              <w:rPr>
                <w:rFonts w:ascii="Arial" w:cs="Arial" w:eastAsia="Arial" w:hAnsi="Arial"/>
                <w:sz w:val="19"/>
                <w:szCs w:val="19"/>
                <w:color w:val="4B4B4B"/>
              </w:rPr>
              <w:t>788,526</w:t>
            </w:r>
          </w:p>
        </w:tc>
        <w:tc>
          <w:tcPr>
            <w:tcW w:w="1580" w:type="dxa"/>
            <w:vAlign w:val="bottom"/>
          </w:tcPr>
          <w:p>
            <w:pPr>
              <w:jc w:val="right"/>
              <w:spacing w:after="0"/>
              <w:rPr>
                <w:sz w:val="20"/>
                <w:szCs w:val="20"/>
                <w:color w:val="auto"/>
              </w:rPr>
            </w:pPr>
            <w:r>
              <w:rPr>
                <w:rFonts w:ascii="Arial" w:cs="Arial" w:eastAsia="Arial" w:hAnsi="Arial"/>
                <w:sz w:val="19"/>
                <w:szCs w:val="19"/>
                <w:color w:val="4B4B4B"/>
              </w:rPr>
              <w:t>1,039,124</w:t>
            </w:r>
          </w:p>
        </w:tc>
      </w:tr>
      <w:tr>
        <w:trPr>
          <w:trHeight w:val="61"/>
        </w:trPr>
        <w:tc>
          <w:tcPr>
            <w:tcW w:w="25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70"/>
        </w:trPr>
        <w:tc>
          <w:tcPr>
            <w:tcW w:w="2540" w:type="dxa"/>
            <w:vAlign w:val="bottom"/>
          </w:tcPr>
          <w:p>
            <w:pPr>
              <w:jc w:val="right"/>
              <w:ind w:right="526"/>
              <w:spacing w:after="0"/>
              <w:rPr>
                <w:sz w:val="20"/>
                <w:szCs w:val="20"/>
                <w:color w:val="auto"/>
              </w:rPr>
            </w:pPr>
            <w:r>
              <w:rPr>
                <w:rFonts w:ascii="Arial" w:cs="Arial" w:eastAsia="Arial" w:hAnsi="Arial"/>
                <w:sz w:val="19"/>
                <w:szCs w:val="19"/>
                <w:color w:val="4B4B4B"/>
              </w:rPr>
              <w:t>$886,731</w:t>
            </w:r>
          </w:p>
        </w:tc>
        <w:tc>
          <w:tcPr>
            <w:tcW w:w="1580" w:type="dxa"/>
            <w:vAlign w:val="bottom"/>
          </w:tcPr>
          <w:p>
            <w:pPr>
              <w:jc w:val="right"/>
              <w:spacing w:after="0"/>
              <w:rPr>
                <w:sz w:val="20"/>
                <w:szCs w:val="20"/>
                <w:color w:val="auto"/>
              </w:rPr>
            </w:pPr>
            <w:r>
              <w:rPr>
                <w:rFonts w:ascii="Arial" w:cs="Arial" w:eastAsia="Arial" w:hAnsi="Arial"/>
                <w:sz w:val="19"/>
                <w:szCs w:val="19"/>
                <w:color w:val="4B4B4B"/>
              </w:rPr>
              <w:t>$1,141,296</w:t>
            </w:r>
          </w:p>
        </w:tc>
      </w:tr>
      <w:tr>
        <w:trPr>
          <w:trHeight w:val="35"/>
        </w:trPr>
        <w:tc>
          <w:tcPr>
            <w:tcW w:w="2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360"/>
            <w:col w:w="4120"/>
          </w:cols>
          <w:pgMar w:left="320" w:top="1353" w:right="359" w:bottom="99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320" w:val="left"/>
        </w:tabs>
        <w:rPr>
          <w:sz w:val="20"/>
          <w:szCs w:val="20"/>
          <w:color w:val="auto"/>
        </w:rPr>
      </w:pPr>
      <w:r>
        <w:rPr>
          <w:rFonts w:ascii="Arial" w:cs="Arial" w:eastAsia="Arial" w:hAnsi="Arial"/>
          <w:sz w:val="15"/>
          <w:szCs w:val="15"/>
          <w:color w:val="AFAFAF"/>
        </w:rPr>
        <w:t>DUOLINGO Q1 / FY 2026</w:t>
      </w:r>
      <w:r>
        <w:rPr>
          <w:sz w:val="20"/>
          <w:szCs w:val="20"/>
          <w:color w:val="auto"/>
        </w:rPr>
        <w:tab/>
      </w:r>
      <w:r>
        <w:rPr>
          <w:rFonts w:ascii="Arial" w:cs="Arial" w:eastAsia="Arial" w:hAnsi="Arial"/>
          <w:sz w:val="15"/>
          <w:szCs w:val="15"/>
          <w:color w:val="AFAFAF"/>
        </w:rPr>
        <w:t>18</w:t>
      </w:r>
    </w:p>
    <w:p>
      <w:pPr>
        <w:sectPr>
          <w:pgSz w:w="11900" w:h="16838" w:orient="portrait"/>
          <w:cols w:equalWidth="0" w:num="1">
            <w:col w:w="11220"/>
          </w:cols>
          <w:pgMar w:left="320" w:top="1353" w:right="359" w:bottom="994"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07"/>
          <w:szCs w:val="107"/>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052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6052185"/>
                    </a:xfrm>
                    <a:prstGeom prst="rect">
                      <a:avLst/>
                    </a:prstGeom>
                    <a:noFill/>
                  </pic:spPr>
                </pic:pic>
              </a:graphicData>
            </a:graphic>
          </wp:anchor>
        </w:drawing>
        <w:t>appendix</w:t>
      </w:r>
    </w:p>
    <w:p>
      <w:pPr>
        <w:sectPr>
          <w:pgSz w:w="11900" w:h="16838" w:orient="portrait"/>
          <w:cols w:equalWidth="0" w:num="1">
            <w:col w:w="10139"/>
          </w:cols>
          <w:pgMar w:left="320" w:top="1153" w:right="1440" w:bottom="1440" w:gutter="0" w:footer="0" w:header="0"/>
        </w:sectPr>
      </w:pPr>
    </w:p>
    <w:bookmarkStart w:id="25" w:name="page26"/>
    <w:bookmarkEnd w:id="25"/>
    <w:p>
      <w:pPr>
        <w:spacing w:after="0"/>
        <w:rPr>
          <w:sz w:val="20"/>
          <w:szCs w:val="20"/>
          <w:color w:val="auto"/>
        </w:rPr>
      </w:pPr>
      <w:r>
        <w:rPr>
          <w:rFonts w:ascii="Arial" w:cs="Arial" w:eastAsia="Arial" w:hAnsi="Arial"/>
          <w:sz w:val="23"/>
          <w:szCs w:val="23"/>
          <w:b w:val="1"/>
          <w:bCs w:val="1"/>
          <w:color w:val="4B4B4B"/>
        </w:rPr>
        <w:t>Revenue</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4B4B4B"/>
        </w:rPr>
        <w:t>The table below provides revenues by product type: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58CC02"/>
              </w:rPr>
              <w:t>(in thousands)</w:t>
            </w:r>
          </w:p>
        </w:tc>
        <w:tc>
          <w:tcPr>
            <w:tcW w:w="1900" w:type="dxa"/>
            <w:vAlign w:val="bottom"/>
            <w:tcBorders>
              <w:bottom w:val="single" w:sz="8" w:color="auto"/>
            </w:tcBorders>
          </w:tcPr>
          <w:p>
            <w:pPr>
              <w:jc w:val="right"/>
              <w:ind w:right="266"/>
              <w:spacing w:after="0"/>
              <w:rPr>
                <w:sz w:val="20"/>
                <w:szCs w:val="20"/>
                <w:color w:val="auto"/>
              </w:rPr>
            </w:pPr>
            <w:r>
              <w:rPr>
                <w:rFonts w:ascii="Arial" w:cs="Arial" w:eastAsia="Arial" w:hAnsi="Arial"/>
                <w:sz w:val="19"/>
                <w:szCs w:val="19"/>
                <w:b w:val="1"/>
                <w:bCs w:val="1"/>
                <w:color w:val="58CC02"/>
              </w:rPr>
              <w:t>Q1 2025</w:t>
            </w:r>
          </w:p>
        </w:tc>
        <w:tc>
          <w:tcPr>
            <w:tcW w:w="1600" w:type="dxa"/>
            <w:vAlign w:val="bottom"/>
            <w:tcBorders>
              <w:bottom w:val="single" w:sz="8" w:color="auto"/>
            </w:tcBorders>
          </w:tcPr>
          <w:p>
            <w:pPr>
              <w:jc w:val="right"/>
              <w:ind w:right="306"/>
              <w:spacing w:after="0"/>
              <w:rPr>
                <w:sz w:val="20"/>
                <w:szCs w:val="20"/>
                <w:color w:val="auto"/>
              </w:rPr>
            </w:pPr>
            <w:r>
              <w:rPr>
                <w:rFonts w:ascii="Arial" w:cs="Arial" w:eastAsia="Arial" w:hAnsi="Arial"/>
                <w:sz w:val="19"/>
                <w:szCs w:val="19"/>
                <w:b w:val="1"/>
                <w:bCs w:val="1"/>
                <w:color w:val="58CC02"/>
              </w:rPr>
              <w:t>Q1 2026</w:t>
            </w:r>
          </w:p>
        </w:tc>
        <w:tc>
          <w:tcPr>
            <w:tcW w:w="1540" w:type="dxa"/>
            <w:vAlign w:val="bottom"/>
            <w:tcBorders>
              <w:bottom w:val="single" w:sz="8" w:color="auto"/>
            </w:tcBorders>
          </w:tcPr>
          <w:p>
            <w:pPr>
              <w:jc w:val="right"/>
              <w:ind w:right="306"/>
              <w:spacing w:after="0"/>
              <w:rPr>
                <w:sz w:val="20"/>
                <w:szCs w:val="20"/>
                <w:color w:val="auto"/>
              </w:rPr>
            </w:pPr>
            <w:r>
              <w:rPr>
                <w:rFonts w:ascii="Arial" w:cs="Arial" w:eastAsia="Arial" w:hAnsi="Arial"/>
                <w:sz w:val="19"/>
                <w:szCs w:val="19"/>
                <w:b w:val="1"/>
                <w:bCs w:val="1"/>
                <w:color w:val="58CC02"/>
              </w:rPr>
              <w:t>Change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 Change</w:t>
            </w:r>
          </w:p>
        </w:tc>
      </w:tr>
      <w:tr>
        <w:trPr>
          <w:trHeight w:val="269"/>
        </w:trPr>
        <w:tc>
          <w:tcPr>
            <w:tcW w:w="4740" w:type="dxa"/>
            <w:vAlign w:val="bottom"/>
          </w:tcPr>
          <w:p>
            <w:pPr>
              <w:ind w:left="20"/>
              <w:spacing w:after="0"/>
              <w:rPr>
                <w:sz w:val="20"/>
                <w:szCs w:val="20"/>
                <w:color w:val="auto"/>
              </w:rPr>
            </w:pPr>
            <w:r>
              <w:rPr>
                <w:rFonts w:ascii="Arial" w:cs="Arial" w:eastAsia="Arial" w:hAnsi="Arial"/>
                <w:sz w:val="19"/>
                <w:szCs w:val="19"/>
                <w:color w:val="4B4B4B"/>
              </w:rPr>
              <w:t>Subscription</w:t>
            </w:r>
          </w:p>
        </w:tc>
        <w:tc>
          <w:tcPr>
            <w:tcW w:w="1900" w:type="dxa"/>
            <w:vAlign w:val="bottom"/>
          </w:tcPr>
          <w:p>
            <w:pPr>
              <w:jc w:val="right"/>
              <w:ind w:right="326"/>
              <w:spacing w:after="0"/>
              <w:rPr>
                <w:sz w:val="20"/>
                <w:szCs w:val="20"/>
                <w:color w:val="auto"/>
              </w:rPr>
            </w:pPr>
            <w:r>
              <w:rPr>
                <w:rFonts w:ascii="Arial" w:cs="Arial" w:eastAsia="Arial" w:hAnsi="Arial"/>
                <w:sz w:val="19"/>
                <w:szCs w:val="19"/>
                <w:color w:val="4B4B4B"/>
              </w:rPr>
              <w:t>$190,987</w:t>
            </w:r>
          </w:p>
        </w:tc>
        <w:tc>
          <w:tcPr>
            <w:tcW w:w="1600" w:type="dxa"/>
            <w:vAlign w:val="bottom"/>
          </w:tcPr>
          <w:p>
            <w:pPr>
              <w:jc w:val="right"/>
              <w:ind w:right="366"/>
              <w:spacing w:after="0"/>
              <w:rPr>
                <w:sz w:val="20"/>
                <w:szCs w:val="20"/>
                <w:color w:val="auto"/>
              </w:rPr>
            </w:pPr>
            <w:r>
              <w:rPr>
                <w:rFonts w:ascii="Arial" w:cs="Arial" w:eastAsia="Arial" w:hAnsi="Arial"/>
                <w:sz w:val="19"/>
                <w:szCs w:val="19"/>
                <w:color w:val="4B4B4B"/>
              </w:rPr>
              <w:t>$250,908</w:t>
            </w:r>
          </w:p>
        </w:tc>
        <w:tc>
          <w:tcPr>
            <w:tcW w:w="1540" w:type="dxa"/>
            <w:vAlign w:val="bottom"/>
          </w:tcPr>
          <w:p>
            <w:pPr>
              <w:jc w:val="right"/>
              <w:ind w:right="366"/>
              <w:spacing w:after="0"/>
              <w:rPr>
                <w:sz w:val="20"/>
                <w:szCs w:val="20"/>
                <w:color w:val="auto"/>
              </w:rPr>
            </w:pPr>
            <w:r>
              <w:rPr>
                <w:rFonts w:ascii="Arial" w:cs="Arial" w:eastAsia="Arial" w:hAnsi="Arial"/>
                <w:sz w:val="19"/>
                <w:szCs w:val="19"/>
                <w:color w:val="4B4B4B"/>
              </w:rPr>
              <w:t>$59,921</w:t>
            </w:r>
          </w:p>
        </w:tc>
        <w:tc>
          <w:tcPr>
            <w:tcW w:w="1340" w:type="dxa"/>
            <w:vAlign w:val="bottom"/>
          </w:tcPr>
          <w:p>
            <w:pPr>
              <w:jc w:val="right"/>
              <w:spacing w:after="0"/>
              <w:rPr>
                <w:sz w:val="20"/>
                <w:szCs w:val="20"/>
                <w:color w:val="auto"/>
              </w:rPr>
            </w:pPr>
            <w:r>
              <w:rPr>
                <w:rFonts w:ascii="Arial" w:cs="Arial" w:eastAsia="Arial" w:hAnsi="Arial"/>
                <w:sz w:val="19"/>
                <w:szCs w:val="19"/>
                <w:color w:val="4B4B4B"/>
              </w:rPr>
              <w:t>31 %</w:t>
            </w:r>
          </w:p>
        </w:tc>
      </w:tr>
      <w:tr>
        <w:trPr>
          <w:trHeight w:val="311"/>
        </w:trPr>
        <w:tc>
          <w:tcPr>
            <w:tcW w:w="4740" w:type="dxa"/>
            <w:vAlign w:val="bottom"/>
          </w:tcPr>
          <w:p>
            <w:pPr>
              <w:ind w:left="20"/>
              <w:spacing w:after="0"/>
              <w:rPr>
                <w:sz w:val="20"/>
                <w:szCs w:val="20"/>
                <w:color w:val="auto"/>
              </w:rPr>
            </w:pPr>
            <w:r>
              <w:rPr>
                <w:rFonts w:ascii="Arial" w:cs="Arial" w:eastAsia="Arial" w:hAnsi="Arial"/>
                <w:sz w:val="19"/>
                <w:szCs w:val="19"/>
                <w:color w:val="4B4B4B"/>
              </w:rPr>
              <w:t>Advertising</w:t>
            </w:r>
          </w:p>
        </w:tc>
        <w:tc>
          <w:tcPr>
            <w:tcW w:w="1900" w:type="dxa"/>
            <w:vAlign w:val="bottom"/>
          </w:tcPr>
          <w:p>
            <w:pPr>
              <w:jc w:val="right"/>
              <w:ind w:right="326"/>
              <w:spacing w:after="0"/>
              <w:rPr>
                <w:sz w:val="20"/>
                <w:szCs w:val="20"/>
                <w:color w:val="auto"/>
              </w:rPr>
            </w:pPr>
            <w:r>
              <w:rPr>
                <w:rFonts w:ascii="Arial" w:cs="Arial" w:eastAsia="Arial" w:hAnsi="Arial"/>
                <w:sz w:val="19"/>
                <w:szCs w:val="19"/>
                <w:color w:val="4B4B4B"/>
              </w:rPr>
              <w:t>17,882</w:t>
            </w:r>
          </w:p>
        </w:tc>
        <w:tc>
          <w:tcPr>
            <w:tcW w:w="1600" w:type="dxa"/>
            <w:vAlign w:val="bottom"/>
          </w:tcPr>
          <w:p>
            <w:pPr>
              <w:jc w:val="right"/>
              <w:ind w:right="366"/>
              <w:spacing w:after="0"/>
              <w:rPr>
                <w:sz w:val="20"/>
                <w:szCs w:val="20"/>
                <w:color w:val="auto"/>
              </w:rPr>
            </w:pPr>
            <w:r>
              <w:rPr>
                <w:rFonts w:ascii="Arial" w:cs="Arial" w:eastAsia="Arial" w:hAnsi="Arial"/>
                <w:sz w:val="19"/>
                <w:szCs w:val="19"/>
                <w:color w:val="4B4B4B"/>
              </w:rPr>
              <w:t>20,614</w:t>
            </w:r>
          </w:p>
        </w:tc>
        <w:tc>
          <w:tcPr>
            <w:tcW w:w="1540" w:type="dxa"/>
            <w:vAlign w:val="bottom"/>
          </w:tcPr>
          <w:p>
            <w:pPr>
              <w:jc w:val="right"/>
              <w:ind w:right="366"/>
              <w:spacing w:after="0"/>
              <w:rPr>
                <w:sz w:val="20"/>
                <w:szCs w:val="20"/>
                <w:color w:val="auto"/>
              </w:rPr>
            </w:pPr>
            <w:r>
              <w:rPr>
                <w:rFonts w:ascii="Arial" w:cs="Arial" w:eastAsia="Arial" w:hAnsi="Arial"/>
                <w:sz w:val="19"/>
                <w:szCs w:val="19"/>
                <w:color w:val="4B4B4B"/>
              </w:rPr>
              <w:t>2,732</w:t>
            </w:r>
          </w:p>
        </w:tc>
        <w:tc>
          <w:tcPr>
            <w:tcW w:w="1340" w:type="dxa"/>
            <w:vAlign w:val="bottom"/>
          </w:tcPr>
          <w:p>
            <w:pPr>
              <w:jc w:val="right"/>
              <w:spacing w:after="0"/>
              <w:rPr>
                <w:sz w:val="20"/>
                <w:szCs w:val="20"/>
                <w:color w:val="auto"/>
              </w:rPr>
            </w:pPr>
            <w:r>
              <w:rPr>
                <w:rFonts w:ascii="Arial" w:cs="Arial" w:eastAsia="Arial" w:hAnsi="Arial"/>
                <w:sz w:val="19"/>
                <w:szCs w:val="19"/>
                <w:color w:val="4B4B4B"/>
              </w:rPr>
              <w:t>15 %</w:t>
            </w:r>
          </w:p>
        </w:tc>
      </w:tr>
      <w:tr>
        <w:trPr>
          <w:trHeight w:val="310"/>
        </w:trPr>
        <w:tc>
          <w:tcPr>
            <w:tcW w:w="4740" w:type="dxa"/>
            <w:vAlign w:val="bottom"/>
          </w:tcPr>
          <w:p>
            <w:pPr>
              <w:ind w:left="20"/>
              <w:spacing w:after="0"/>
              <w:rPr>
                <w:sz w:val="20"/>
                <w:szCs w:val="20"/>
                <w:color w:val="auto"/>
              </w:rPr>
            </w:pPr>
            <w:r>
              <w:rPr>
                <w:rFonts w:ascii="Arial" w:cs="Arial" w:eastAsia="Arial" w:hAnsi="Arial"/>
                <w:sz w:val="19"/>
                <w:szCs w:val="19"/>
                <w:color w:val="4B4B4B"/>
              </w:rPr>
              <w:t>Duolingo English Test</w:t>
            </w:r>
          </w:p>
        </w:tc>
        <w:tc>
          <w:tcPr>
            <w:tcW w:w="1900" w:type="dxa"/>
            <w:vAlign w:val="bottom"/>
          </w:tcPr>
          <w:p>
            <w:pPr>
              <w:jc w:val="right"/>
              <w:ind w:right="326"/>
              <w:spacing w:after="0"/>
              <w:rPr>
                <w:sz w:val="20"/>
                <w:szCs w:val="20"/>
                <w:color w:val="auto"/>
              </w:rPr>
            </w:pPr>
            <w:r>
              <w:rPr>
                <w:rFonts w:ascii="Arial" w:cs="Arial" w:eastAsia="Arial" w:hAnsi="Arial"/>
                <w:sz w:val="19"/>
                <w:szCs w:val="19"/>
                <w:color w:val="4B4B4B"/>
              </w:rPr>
              <w:t>11,986</w:t>
            </w:r>
          </w:p>
        </w:tc>
        <w:tc>
          <w:tcPr>
            <w:tcW w:w="1600" w:type="dxa"/>
            <w:vAlign w:val="bottom"/>
          </w:tcPr>
          <w:p>
            <w:pPr>
              <w:jc w:val="right"/>
              <w:ind w:right="366"/>
              <w:spacing w:after="0"/>
              <w:rPr>
                <w:sz w:val="20"/>
                <w:szCs w:val="20"/>
                <w:color w:val="auto"/>
              </w:rPr>
            </w:pPr>
            <w:r>
              <w:rPr>
                <w:rFonts w:ascii="Arial" w:cs="Arial" w:eastAsia="Arial" w:hAnsi="Arial"/>
                <w:sz w:val="19"/>
                <w:szCs w:val="19"/>
                <w:color w:val="4B4B4B"/>
              </w:rPr>
              <w:t>11,317</w:t>
            </w:r>
          </w:p>
        </w:tc>
        <w:tc>
          <w:tcPr>
            <w:tcW w:w="1540" w:type="dxa"/>
            <w:vAlign w:val="bottom"/>
          </w:tcPr>
          <w:p>
            <w:pPr>
              <w:jc w:val="right"/>
              <w:ind w:right="306"/>
              <w:spacing w:after="0"/>
              <w:rPr>
                <w:sz w:val="20"/>
                <w:szCs w:val="20"/>
                <w:color w:val="auto"/>
              </w:rPr>
            </w:pPr>
            <w:r>
              <w:rPr>
                <w:rFonts w:ascii="Arial" w:cs="Arial" w:eastAsia="Arial" w:hAnsi="Arial"/>
                <w:sz w:val="19"/>
                <w:szCs w:val="19"/>
                <w:color w:val="4B4B4B"/>
              </w:rPr>
              <w:t>(669)</w:t>
            </w:r>
          </w:p>
        </w:tc>
        <w:tc>
          <w:tcPr>
            <w:tcW w:w="1340" w:type="dxa"/>
            <w:vAlign w:val="bottom"/>
          </w:tcPr>
          <w:p>
            <w:pPr>
              <w:jc w:val="right"/>
              <w:spacing w:after="0"/>
              <w:rPr>
                <w:sz w:val="20"/>
                <w:szCs w:val="20"/>
                <w:color w:val="auto"/>
              </w:rPr>
            </w:pPr>
            <w:r>
              <w:rPr>
                <w:rFonts w:ascii="Arial" w:cs="Arial" w:eastAsia="Arial" w:hAnsi="Arial"/>
                <w:sz w:val="19"/>
                <w:szCs w:val="19"/>
                <w:color w:val="4B4B4B"/>
              </w:rPr>
              <w:t>(6)%</w:t>
            </w:r>
          </w:p>
        </w:tc>
      </w:tr>
      <w:tr>
        <w:trPr>
          <w:trHeight w:val="311"/>
        </w:trPr>
        <w:tc>
          <w:tcPr>
            <w:tcW w:w="4740" w:type="dxa"/>
            <w:vAlign w:val="bottom"/>
          </w:tcPr>
          <w:p>
            <w:pPr>
              <w:ind w:left="20"/>
              <w:spacing w:after="0"/>
              <w:rPr>
                <w:sz w:val="20"/>
                <w:szCs w:val="20"/>
                <w:color w:val="auto"/>
              </w:rPr>
            </w:pPr>
            <w:r>
              <w:rPr>
                <w:rFonts w:ascii="Arial" w:cs="Arial" w:eastAsia="Arial" w:hAnsi="Arial"/>
                <w:sz w:val="19"/>
                <w:szCs w:val="19"/>
                <w:color w:val="4B4B4B"/>
              </w:rPr>
              <w:t>In-App Purchases</w:t>
            </w:r>
          </w:p>
        </w:tc>
        <w:tc>
          <w:tcPr>
            <w:tcW w:w="1900" w:type="dxa"/>
            <w:vAlign w:val="bottom"/>
          </w:tcPr>
          <w:p>
            <w:pPr>
              <w:jc w:val="right"/>
              <w:ind w:right="326"/>
              <w:spacing w:after="0"/>
              <w:rPr>
                <w:sz w:val="20"/>
                <w:szCs w:val="20"/>
                <w:color w:val="auto"/>
              </w:rPr>
            </w:pPr>
            <w:r>
              <w:rPr>
                <w:rFonts w:ascii="Arial" w:cs="Arial" w:eastAsia="Arial" w:hAnsi="Arial"/>
                <w:sz w:val="19"/>
                <w:szCs w:val="19"/>
                <w:color w:val="4B4B4B"/>
              </w:rPr>
              <w:t>9,442</w:t>
            </w:r>
          </w:p>
        </w:tc>
        <w:tc>
          <w:tcPr>
            <w:tcW w:w="1600" w:type="dxa"/>
            <w:vAlign w:val="bottom"/>
          </w:tcPr>
          <w:p>
            <w:pPr>
              <w:jc w:val="right"/>
              <w:ind w:right="366"/>
              <w:spacing w:after="0"/>
              <w:rPr>
                <w:sz w:val="20"/>
                <w:szCs w:val="20"/>
                <w:color w:val="auto"/>
              </w:rPr>
            </w:pPr>
            <w:r>
              <w:rPr>
                <w:rFonts w:ascii="Arial" w:cs="Arial" w:eastAsia="Arial" w:hAnsi="Arial"/>
                <w:sz w:val="19"/>
                <w:szCs w:val="19"/>
                <w:color w:val="4B4B4B"/>
              </w:rPr>
              <w:t>8,446</w:t>
            </w:r>
          </w:p>
        </w:tc>
        <w:tc>
          <w:tcPr>
            <w:tcW w:w="1540" w:type="dxa"/>
            <w:vAlign w:val="bottom"/>
          </w:tcPr>
          <w:p>
            <w:pPr>
              <w:jc w:val="right"/>
              <w:ind w:right="306"/>
              <w:spacing w:after="0"/>
              <w:rPr>
                <w:sz w:val="20"/>
                <w:szCs w:val="20"/>
                <w:color w:val="auto"/>
              </w:rPr>
            </w:pPr>
            <w:r>
              <w:rPr>
                <w:rFonts w:ascii="Arial" w:cs="Arial" w:eastAsia="Arial" w:hAnsi="Arial"/>
                <w:sz w:val="19"/>
                <w:szCs w:val="19"/>
                <w:color w:val="4B4B4B"/>
              </w:rPr>
              <w:t>(996)</w:t>
            </w:r>
          </w:p>
        </w:tc>
        <w:tc>
          <w:tcPr>
            <w:tcW w:w="1340" w:type="dxa"/>
            <w:vAlign w:val="bottom"/>
          </w:tcPr>
          <w:p>
            <w:pPr>
              <w:jc w:val="right"/>
              <w:spacing w:after="0"/>
              <w:rPr>
                <w:sz w:val="20"/>
                <w:szCs w:val="20"/>
                <w:color w:val="auto"/>
              </w:rPr>
            </w:pPr>
            <w:r>
              <w:rPr>
                <w:rFonts w:ascii="Arial" w:cs="Arial" w:eastAsia="Arial" w:hAnsi="Arial"/>
                <w:sz w:val="19"/>
                <w:szCs w:val="19"/>
                <w:color w:val="4B4B4B"/>
              </w:rPr>
              <w:t>(11)%</w:t>
            </w:r>
          </w:p>
        </w:tc>
      </w:tr>
      <w:tr>
        <w:trPr>
          <w:trHeight w:val="310"/>
        </w:trPr>
        <w:tc>
          <w:tcPr>
            <w:tcW w:w="4740" w:type="dxa"/>
            <w:vAlign w:val="bottom"/>
          </w:tcPr>
          <w:p>
            <w:pPr>
              <w:ind w:left="20"/>
              <w:spacing w:after="0"/>
              <w:rPr>
                <w:sz w:val="20"/>
                <w:szCs w:val="20"/>
                <w:color w:val="auto"/>
              </w:rPr>
            </w:pPr>
            <w:r>
              <w:rPr>
                <w:rFonts w:ascii="Arial" w:cs="Arial" w:eastAsia="Arial" w:hAnsi="Arial"/>
                <w:sz w:val="19"/>
                <w:szCs w:val="19"/>
                <w:color w:val="4B4B4B"/>
              </w:rPr>
              <w:t>Other</w:t>
            </w:r>
          </w:p>
        </w:tc>
        <w:tc>
          <w:tcPr>
            <w:tcW w:w="1900" w:type="dxa"/>
            <w:vAlign w:val="bottom"/>
          </w:tcPr>
          <w:p>
            <w:pPr>
              <w:jc w:val="right"/>
              <w:ind w:right="326"/>
              <w:spacing w:after="0"/>
              <w:rPr>
                <w:sz w:val="20"/>
                <w:szCs w:val="20"/>
                <w:color w:val="auto"/>
              </w:rPr>
            </w:pPr>
            <w:r>
              <w:rPr>
                <w:rFonts w:ascii="Arial" w:cs="Arial" w:eastAsia="Arial" w:hAnsi="Arial"/>
                <w:sz w:val="19"/>
                <w:szCs w:val="19"/>
                <w:color w:val="4B4B4B"/>
              </w:rPr>
              <w:t>446</w:t>
            </w:r>
          </w:p>
        </w:tc>
        <w:tc>
          <w:tcPr>
            <w:tcW w:w="1600" w:type="dxa"/>
            <w:vAlign w:val="bottom"/>
          </w:tcPr>
          <w:p>
            <w:pPr>
              <w:jc w:val="right"/>
              <w:ind w:right="366"/>
              <w:spacing w:after="0"/>
              <w:rPr>
                <w:sz w:val="20"/>
                <w:szCs w:val="20"/>
                <w:color w:val="auto"/>
              </w:rPr>
            </w:pPr>
            <w:r>
              <w:rPr>
                <w:rFonts w:ascii="Arial" w:cs="Arial" w:eastAsia="Arial" w:hAnsi="Arial"/>
                <w:sz w:val="19"/>
                <w:szCs w:val="19"/>
                <w:color w:val="4B4B4B"/>
              </w:rPr>
              <w:t>682</w:t>
            </w:r>
          </w:p>
        </w:tc>
        <w:tc>
          <w:tcPr>
            <w:tcW w:w="1540" w:type="dxa"/>
            <w:vAlign w:val="bottom"/>
          </w:tcPr>
          <w:p>
            <w:pPr>
              <w:jc w:val="right"/>
              <w:ind w:right="366"/>
              <w:spacing w:after="0"/>
              <w:rPr>
                <w:sz w:val="20"/>
                <w:szCs w:val="20"/>
                <w:color w:val="auto"/>
              </w:rPr>
            </w:pPr>
            <w:r>
              <w:rPr>
                <w:rFonts w:ascii="Arial" w:cs="Arial" w:eastAsia="Arial" w:hAnsi="Arial"/>
                <w:sz w:val="19"/>
                <w:szCs w:val="19"/>
                <w:color w:val="4B4B4B"/>
              </w:rPr>
              <w:t>236</w:t>
            </w:r>
          </w:p>
        </w:tc>
        <w:tc>
          <w:tcPr>
            <w:tcW w:w="1340" w:type="dxa"/>
            <w:vAlign w:val="bottom"/>
          </w:tcPr>
          <w:p>
            <w:pPr>
              <w:jc w:val="right"/>
              <w:spacing w:after="0"/>
              <w:rPr>
                <w:sz w:val="20"/>
                <w:szCs w:val="20"/>
                <w:color w:val="auto"/>
              </w:rPr>
            </w:pPr>
            <w:r>
              <w:rPr>
                <w:rFonts w:ascii="Arial" w:cs="Arial" w:eastAsia="Arial" w:hAnsi="Arial"/>
                <w:sz w:val="19"/>
                <w:szCs w:val="19"/>
                <w:color w:val="4B4B4B"/>
              </w:rPr>
              <w:t>53 %</w:t>
            </w:r>
          </w:p>
        </w:tc>
      </w:tr>
      <w:tr>
        <w:trPr>
          <w:trHeight w:val="35"/>
        </w:trPr>
        <w:tc>
          <w:tcPr>
            <w:tcW w:w="474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304"/>
        </w:trPr>
        <w:tc>
          <w:tcPr>
            <w:tcW w:w="4740" w:type="dxa"/>
            <w:vAlign w:val="bottom"/>
          </w:tcPr>
          <w:p>
            <w:pPr>
              <w:ind w:left="20"/>
              <w:spacing w:after="0"/>
              <w:rPr>
                <w:sz w:val="20"/>
                <w:szCs w:val="20"/>
                <w:color w:val="auto"/>
              </w:rPr>
            </w:pPr>
            <w:r>
              <w:rPr>
                <w:rFonts w:ascii="Arial" w:cs="Arial" w:eastAsia="Arial" w:hAnsi="Arial"/>
                <w:sz w:val="19"/>
                <w:szCs w:val="19"/>
                <w:b w:val="1"/>
                <w:bCs w:val="1"/>
                <w:color w:val="4B4B4B"/>
              </w:rPr>
              <w:t>Total revenues</w:t>
            </w:r>
          </w:p>
        </w:tc>
        <w:tc>
          <w:tcPr>
            <w:tcW w:w="190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b w:val="1"/>
                <w:bCs w:val="1"/>
                <w:color w:val="4B4B4B"/>
              </w:rPr>
              <w:t>$230,743</w:t>
            </w:r>
          </w:p>
        </w:tc>
        <w:tc>
          <w:tcPr>
            <w:tcW w:w="160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4B4B4B"/>
              </w:rPr>
              <w:t>$291,967</w:t>
            </w:r>
          </w:p>
        </w:tc>
        <w:tc>
          <w:tcPr>
            <w:tcW w:w="154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4B4B4B"/>
              </w:rPr>
              <w:t>$61,224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4B4B4B"/>
              </w:rPr>
              <w:t>27 %</w:t>
            </w:r>
          </w:p>
        </w:tc>
      </w:tr>
      <w:tr>
        <w:trPr>
          <w:trHeight w:val="21"/>
        </w:trPr>
        <w:tc>
          <w:tcPr>
            <w:tcW w:w="47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1080" w:type="dxa"/>
            <w:vAlign w:val="bottom"/>
          </w:tcPr>
          <w:p>
            <w:pPr>
              <w:jc w:val="right"/>
              <w:spacing w:after="0"/>
              <w:rPr>
                <w:sz w:val="20"/>
                <w:szCs w:val="20"/>
                <w:color w:val="auto"/>
              </w:rPr>
            </w:pPr>
            <w:r>
              <w:rPr>
                <w:rFonts w:ascii="Arial" w:cs="Arial" w:eastAsia="Arial" w:hAnsi="Arial"/>
                <w:sz w:val="15"/>
                <w:szCs w:val="15"/>
                <w:color w:val="AFAFAF"/>
              </w:rPr>
              <w:t>20</w:t>
            </w:r>
          </w:p>
        </w:tc>
      </w:tr>
    </w:tbl>
    <w:p>
      <w:pPr>
        <w:sectPr>
          <w:pgSz w:w="11900" w:h="16838" w:orient="portrait"/>
          <w:cols w:equalWidth="0" w:num="1">
            <w:col w:w="11120"/>
          </w:cols>
          <w:pgMar w:left="320" w:top="1281" w:right="459" w:bottom="1440" w:gutter="0" w:footer="0" w:header="0"/>
        </w:sectPr>
      </w:pPr>
    </w:p>
    <w:bookmarkStart w:id="26" w:name="page27"/>
    <w:bookmarkEnd w:id="26"/>
    <w:p>
      <w:pPr>
        <w:ind w:right="200"/>
        <w:spacing w:after="0" w:line="309" w:lineRule="auto"/>
        <w:rPr>
          <w:sz w:val="20"/>
          <w:szCs w:val="20"/>
          <w:color w:val="auto"/>
        </w:rPr>
      </w:pPr>
      <w:r>
        <w:rPr>
          <w:rFonts w:ascii="Arial" w:cs="Arial" w:eastAsia="Arial" w:hAnsi="Arial"/>
          <w:sz w:val="23"/>
          <w:szCs w:val="23"/>
          <w:b w:val="1"/>
          <w:bCs w:val="1"/>
          <w:color w:val="4B4B4B"/>
        </w:rPr>
        <w:t>Reconciliation: Adjusted EBITDA and Adjusted EBITDA Margin and GAAP Operating Expenses and Non-GAAP Operating Expenses</w:t>
      </w:r>
    </w:p>
    <w:p>
      <w:pPr>
        <w:spacing w:after="0" w:line="162" w:lineRule="exact"/>
        <w:rPr>
          <w:sz w:val="20"/>
          <w:szCs w:val="20"/>
          <w:color w:val="auto"/>
        </w:rPr>
      </w:pPr>
    </w:p>
    <w:p>
      <w:pPr>
        <w:spacing w:after="0" w:line="314" w:lineRule="auto"/>
        <w:rPr>
          <w:sz w:val="20"/>
          <w:szCs w:val="20"/>
          <w:color w:val="auto"/>
        </w:rPr>
      </w:pPr>
      <w:r>
        <w:rPr>
          <w:rFonts w:ascii="Arial" w:cs="Arial" w:eastAsia="Arial" w:hAnsi="Arial"/>
          <w:sz w:val="19"/>
          <w:szCs w:val="19"/>
          <w:color w:val="4B4B4B"/>
        </w:rPr>
        <w:t>Adjusted EBITDA is defined as net income excluding interest income, income taxes, depreciation and amortization, stock-based compensation expenses related to equity awards, including employer payroll taxes related to equity transactions, and acquisition earn-out costs. Adjusted EBITDA margin is defined as Adjusted EBITDA as a percentage of revenues. GAAP operating expenses consist of research and development, sales and marketing, and general and administrative expenses. Non-GAAP operating expenses are defined as the respective GAAP operating expenses excluding depreciation and amortization, stock-based compensation expenses related to equity awards, and, as applicable, acquisition earn-out costs. These non-GAAP financial measures are used by management to evaluate the financial performance of our business and we present these non-GAAP financial measures because we believe that they are helpful in highlighting trends in our operating results and that they are frequently used by analysts, investors and other interested parties to evaluate companies in our industry. The following tables present a reconciliation of our net income and GAAP operating expenses, the most directly comparable financial measures presented in accordance with GAAP, to Adjusted EBITDA and Adjusted EBITDA margin and non-GAAP operating expenses,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20" w:type="dxa"/>
            <w:vAlign w:val="bottom"/>
            <w:gridSpan w:val="2"/>
          </w:tcPr>
          <w:p>
            <w:pPr>
              <w:jc w:val="right"/>
              <w:spacing w:after="0"/>
              <w:rPr>
                <w:sz w:val="20"/>
                <w:szCs w:val="20"/>
                <w:color w:val="auto"/>
              </w:rPr>
            </w:pPr>
            <w:r>
              <w:rPr>
                <w:rFonts w:ascii="Arial" w:cs="Arial" w:eastAsia="Arial" w:hAnsi="Arial"/>
                <w:sz w:val="19"/>
                <w:szCs w:val="19"/>
                <w:b w:val="1"/>
                <w:bCs w:val="1"/>
                <w:color w:val="58CC02"/>
              </w:rPr>
              <w:t>Three Months Ended March 31,</w:t>
            </w:r>
          </w:p>
        </w:tc>
      </w:tr>
      <w:tr>
        <w:trPr>
          <w:trHeight w:val="257"/>
        </w:trPr>
        <w:tc>
          <w:tcPr>
            <w:tcW w:w="792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b w:val="1"/>
                <w:bCs w:val="1"/>
                <w:color w:val="58CC02"/>
              </w:rPr>
              <w:t>(in thousands)</w:t>
            </w:r>
          </w:p>
        </w:tc>
        <w:tc>
          <w:tcPr>
            <w:tcW w:w="2040" w:type="dxa"/>
            <w:vAlign w:val="bottom"/>
            <w:tcBorders>
              <w:bottom w:val="single" w:sz="8" w:color="auto"/>
            </w:tcBorders>
          </w:tcPr>
          <w:p>
            <w:pPr>
              <w:jc w:val="right"/>
              <w:ind w:right="306"/>
              <w:spacing w:after="0"/>
              <w:rPr>
                <w:sz w:val="20"/>
                <w:szCs w:val="20"/>
                <w:color w:val="auto"/>
              </w:rPr>
            </w:pPr>
            <w:r>
              <w:rPr>
                <w:rFonts w:ascii="Arial" w:cs="Arial" w:eastAsia="Arial" w:hAnsi="Arial"/>
                <w:sz w:val="19"/>
                <w:szCs w:val="19"/>
                <w:b w:val="1"/>
                <w:bCs w:val="1"/>
                <w:color w:val="58CC02"/>
              </w:rPr>
              <w:t>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2026</w:t>
            </w:r>
          </w:p>
        </w:tc>
      </w:tr>
      <w:tr>
        <w:trPr>
          <w:trHeight w:val="280"/>
        </w:trPr>
        <w:tc>
          <w:tcPr>
            <w:tcW w:w="7920" w:type="dxa"/>
            <w:vAlign w:val="bottom"/>
            <w:gridSpan w:val="2"/>
          </w:tcPr>
          <w:p>
            <w:pPr>
              <w:ind w:left="20"/>
              <w:spacing w:after="0"/>
              <w:rPr>
                <w:sz w:val="20"/>
                <w:szCs w:val="20"/>
                <w:color w:val="auto"/>
              </w:rPr>
            </w:pPr>
            <w:r>
              <w:rPr>
                <w:rFonts w:ascii="Arial" w:cs="Arial" w:eastAsia="Arial" w:hAnsi="Arial"/>
                <w:sz w:val="19"/>
                <w:szCs w:val="19"/>
                <w:b w:val="1"/>
                <w:bCs w:val="1"/>
                <w:color w:val="4B4B4B"/>
              </w:rPr>
              <w:t>Net income</w:t>
            </w:r>
          </w:p>
        </w:tc>
        <w:tc>
          <w:tcPr>
            <w:tcW w:w="2040" w:type="dxa"/>
            <w:vAlign w:val="bottom"/>
          </w:tcPr>
          <w:p>
            <w:pPr>
              <w:jc w:val="right"/>
              <w:ind w:right="366"/>
              <w:spacing w:after="0"/>
              <w:rPr>
                <w:sz w:val="20"/>
                <w:szCs w:val="20"/>
                <w:color w:val="auto"/>
              </w:rPr>
            </w:pPr>
            <w:r>
              <w:rPr>
                <w:rFonts w:ascii="Arial" w:cs="Arial" w:eastAsia="Arial" w:hAnsi="Arial"/>
                <w:sz w:val="19"/>
                <w:szCs w:val="19"/>
                <w:b w:val="1"/>
                <w:bCs w:val="1"/>
                <w:color w:val="4B4B4B"/>
              </w:rPr>
              <w:t>$35,135</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4B4B4B"/>
              </w:rPr>
              <w:t>$43,460</w:t>
            </w:r>
          </w:p>
        </w:tc>
      </w:tr>
      <w:tr>
        <w:trPr>
          <w:trHeight w:val="314"/>
        </w:trPr>
        <w:tc>
          <w:tcPr>
            <w:tcW w:w="7920" w:type="dxa"/>
            <w:vAlign w:val="bottom"/>
            <w:gridSpan w:val="2"/>
          </w:tcPr>
          <w:p>
            <w:pPr>
              <w:ind w:left="20"/>
              <w:spacing w:after="0"/>
              <w:rPr>
                <w:sz w:val="20"/>
                <w:szCs w:val="20"/>
                <w:color w:val="auto"/>
              </w:rPr>
            </w:pPr>
            <w:r>
              <w:rPr>
                <w:rFonts w:ascii="Arial" w:cs="Arial" w:eastAsia="Arial" w:hAnsi="Arial"/>
                <w:sz w:val="19"/>
                <w:szCs w:val="19"/>
                <w:color w:val="4B4B4B"/>
              </w:rPr>
              <w:t>Add (deduct):</w:t>
            </w: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7920" w:type="dxa"/>
            <w:vAlign w:val="bottom"/>
            <w:gridSpan w:val="2"/>
          </w:tcPr>
          <w:p>
            <w:pPr>
              <w:ind w:left="20"/>
              <w:spacing w:after="0"/>
              <w:rPr>
                <w:sz w:val="20"/>
                <w:szCs w:val="20"/>
                <w:color w:val="auto"/>
              </w:rPr>
            </w:pPr>
            <w:r>
              <w:rPr>
                <w:rFonts w:ascii="Arial" w:cs="Arial" w:eastAsia="Arial" w:hAnsi="Arial"/>
                <w:sz w:val="19"/>
                <w:szCs w:val="19"/>
                <w:color w:val="4B4B4B"/>
              </w:rPr>
              <w:t>Interest income</w:t>
            </w:r>
          </w:p>
        </w:tc>
        <w:tc>
          <w:tcPr>
            <w:tcW w:w="2040" w:type="dxa"/>
            <w:vAlign w:val="bottom"/>
          </w:tcPr>
          <w:p>
            <w:pPr>
              <w:jc w:val="right"/>
              <w:ind w:right="306"/>
              <w:spacing w:after="0"/>
              <w:rPr>
                <w:sz w:val="20"/>
                <w:szCs w:val="20"/>
                <w:color w:val="auto"/>
              </w:rPr>
            </w:pPr>
            <w:r>
              <w:rPr>
                <w:rFonts w:ascii="Arial" w:cs="Arial" w:eastAsia="Arial" w:hAnsi="Arial"/>
                <w:sz w:val="19"/>
                <w:szCs w:val="19"/>
                <w:color w:val="4B4B4B"/>
              </w:rPr>
              <w:t>(10,415)</w:t>
            </w:r>
          </w:p>
        </w:tc>
        <w:tc>
          <w:tcPr>
            <w:tcW w:w="1280" w:type="dxa"/>
            <w:vAlign w:val="bottom"/>
          </w:tcPr>
          <w:p>
            <w:pPr>
              <w:jc w:val="right"/>
              <w:spacing w:after="0"/>
              <w:rPr>
                <w:sz w:val="20"/>
                <w:szCs w:val="20"/>
                <w:color w:val="auto"/>
              </w:rPr>
            </w:pPr>
            <w:r>
              <w:rPr>
                <w:rFonts w:ascii="Arial" w:cs="Arial" w:eastAsia="Arial" w:hAnsi="Arial"/>
                <w:sz w:val="19"/>
                <w:szCs w:val="19"/>
                <w:color w:val="4B4B4B"/>
              </w:rPr>
              <w:t>(11,811)</w:t>
            </w:r>
          </w:p>
        </w:tc>
      </w:tr>
      <w:tr>
        <w:trPr>
          <w:trHeight w:val="324"/>
        </w:trPr>
        <w:tc>
          <w:tcPr>
            <w:tcW w:w="7920" w:type="dxa"/>
            <w:vAlign w:val="bottom"/>
            <w:gridSpan w:val="2"/>
          </w:tcPr>
          <w:p>
            <w:pPr>
              <w:ind w:left="20"/>
              <w:spacing w:after="0"/>
              <w:rPr>
                <w:sz w:val="20"/>
                <w:szCs w:val="20"/>
                <w:color w:val="auto"/>
              </w:rPr>
            </w:pPr>
            <w:r>
              <w:rPr>
                <w:rFonts w:ascii="Arial" w:cs="Arial" w:eastAsia="Arial" w:hAnsi="Arial"/>
                <w:sz w:val="19"/>
                <w:szCs w:val="19"/>
                <w:color w:val="4B4B4B"/>
              </w:rPr>
              <w:t>(Benefit from) provision for income taxes</w:t>
            </w:r>
          </w:p>
        </w:tc>
        <w:tc>
          <w:tcPr>
            <w:tcW w:w="2040" w:type="dxa"/>
            <w:vAlign w:val="bottom"/>
          </w:tcPr>
          <w:p>
            <w:pPr>
              <w:jc w:val="right"/>
              <w:ind w:right="306"/>
              <w:spacing w:after="0"/>
              <w:rPr>
                <w:sz w:val="20"/>
                <w:szCs w:val="20"/>
                <w:color w:val="auto"/>
              </w:rPr>
            </w:pPr>
            <w:r>
              <w:rPr>
                <w:rFonts w:ascii="Arial" w:cs="Arial" w:eastAsia="Arial" w:hAnsi="Arial"/>
                <w:sz w:val="19"/>
                <w:szCs w:val="19"/>
                <w:color w:val="4B4B4B"/>
              </w:rPr>
              <w:t>(125)</w:t>
            </w:r>
          </w:p>
        </w:tc>
        <w:tc>
          <w:tcPr>
            <w:tcW w:w="1280" w:type="dxa"/>
            <w:vAlign w:val="bottom"/>
          </w:tcPr>
          <w:p>
            <w:pPr>
              <w:jc w:val="right"/>
              <w:spacing w:after="0"/>
              <w:rPr>
                <w:sz w:val="20"/>
                <w:szCs w:val="20"/>
                <w:color w:val="auto"/>
              </w:rPr>
            </w:pPr>
            <w:r>
              <w:rPr>
                <w:rFonts w:ascii="Arial" w:cs="Arial" w:eastAsia="Arial" w:hAnsi="Arial"/>
                <w:sz w:val="19"/>
                <w:szCs w:val="19"/>
                <w:color w:val="4B4B4B"/>
              </w:rPr>
              <w:t>12,092</w:t>
            </w:r>
          </w:p>
        </w:tc>
      </w:tr>
      <w:tr>
        <w:trPr>
          <w:trHeight w:val="324"/>
        </w:trPr>
        <w:tc>
          <w:tcPr>
            <w:tcW w:w="7920" w:type="dxa"/>
            <w:vAlign w:val="bottom"/>
            <w:gridSpan w:val="2"/>
          </w:tcPr>
          <w:p>
            <w:pPr>
              <w:ind w:left="20"/>
              <w:spacing w:after="0"/>
              <w:rPr>
                <w:sz w:val="20"/>
                <w:szCs w:val="20"/>
                <w:color w:val="auto"/>
              </w:rPr>
            </w:pPr>
            <w:r>
              <w:rPr>
                <w:rFonts w:ascii="Arial" w:cs="Arial" w:eastAsia="Arial" w:hAnsi="Arial"/>
                <w:sz w:val="19"/>
                <w:szCs w:val="19"/>
                <w:color w:val="4B4B4B"/>
              </w:rPr>
              <w:t>Depreciation and amortization</w:t>
            </w:r>
          </w:p>
        </w:tc>
        <w:tc>
          <w:tcPr>
            <w:tcW w:w="2040" w:type="dxa"/>
            <w:vAlign w:val="bottom"/>
          </w:tcPr>
          <w:p>
            <w:pPr>
              <w:jc w:val="right"/>
              <w:ind w:right="366"/>
              <w:spacing w:after="0"/>
              <w:rPr>
                <w:sz w:val="20"/>
                <w:szCs w:val="20"/>
                <w:color w:val="auto"/>
              </w:rPr>
            </w:pPr>
            <w:r>
              <w:rPr>
                <w:rFonts w:ascii="Arial" w:cs="Arial" w:eastAsia="Arial" w:hAnsi="Arial"/>
                <w:sz w:val="19"/>
                <w:szCs w:val="19"/>
                <w:color w:val="4B4B4B"/>
              </w:rPr>
              <w:t>3,590</w:t>
            </w:r>
          </w:p>
        </w:tc>
        <w:tc>
          <w:tcPr>
            <w:tcW w:w="1280" w:type="dxa"/>
            <w:vAlign w:val="bottom"/>
          </w:tcPr>
          <w:p>
            <w:pPr>
              <w:jc w:val="right"/>
              <w:spacing w:after="0"/>
              <w:rPr>
                <w:sz w:val="20"/>
                <w:szCs w:val="20"/>
                <w:color w:val="auto"/>
              </w:rPr>
            </w:pPr>
            <w:r>
              <w:rPr>
                <w:rFonts w:ascii="Arial" w:cs="Arial" w:eastAsia="Arial" w:hAnsi="Arial"/>
                <w:sz w:val="19"/>
                <w:szCs w:val="19"/>
                <w:color w:val="4B4B4B"/>
              </w:rPr>
              <w:t>4,191</w:t>
            </w:r>
          </w:p>
        </w:tc>
      </w:tr>
      <w:tr>
        <w:trPr>
          <w:trHeight w:val="324"/>
        </w:trPr>
        <w:tc>
          <w:tcPr>
            <w:tcW w:w="7920" w:type="dxa"/>
            <w:vAlign w:val="bottom"/>
            <w:gridSpan w:val="2"/>
          </w:tcPr>
          <w:p>
            <w:pPr>
              <w:ind w:left="20"/>
              <w:spacing w:after="0"/>
              <w:rPr>
                <w:sz w:val="20"/>
                <w:szCs w:val="20"/>
                <w:color w:val="auto"/>
              </w:rPr>
            </w:pPr>
            <w:r>
              <w:rPr>
                <w:rFonts w:ascii="Arial" w:cs="Arial" w:eastAsia="Arial" w:hAnsi="Arial"/>
                <w:sz w:val="19"/>
                <w:szCs w:val="19"/>
                <w:color w:val="4B4B4B"/>
              </w:rPr>
              <w:t>Stock-based compensation expenses related to equity awards (1)</w:t>
            </w:r>
          </w:p>
        </w:tc>
        <w:tc>
          <w:tcPr>
            <w:tcW w:w="2040" w:type="dxa"/>
            <w:vAlign w:val="bottom"/>
          </w:tcPr>
          <w:p>
            <w:pPr>
              <w:jc w:val="right"/>
              <w:ind w:right="366"/>
              <w:spacing w:after="0"/>
              <w:rPr>
                <w:sz w:val="20"/>
                <w:szCs w:val="20"/>
                <w:color w:val="auto"/>
              </w:rPr>
            </w:pPr>
            <w:r>
              <w:rPr>
                <w:rFonts w:ascii="Arial" w:cs="Arial" w:eastAsia="Arial" w:hAnsi="Arial"/>
                <w:sz w:val="19"/>
                <w:szCs w:val="19"/>
                <w:color w:val="4B4B4B"/>
              </w:rPr>
              <w:t>34,519</w:t>
            </w:r>
          </w:p>
        </w:tc>
        <w:tc>
          <w:tcPr>
            <w:tcW w:w="1280" w:type="dxa"/>
            <w:vAlign w:val="bottom"/>
          </w:tcPr>
          <w:p>
            <w:pPr>
              <w:jc w:val="right"/>
              <w:spacing w:after="0"/>
              <w:rPr>
                <w:sz w:val="20"/>
                <w:szCs w:val="20"/>
                <w:color w:val="auto"/>
              </w:rPr>
            </w:pPr>
            <w:r>
              <w:rPr>
                <w:rFonts w:ascii="Arial" w:cs="Arial" w:eastAsia="Arial" w:hAnsi="Arial"/>
                <w:sz w:val="19"/>
                <w:szCs w:val="19"/>
                <w:color w:val="4B4B4B"/>
              </w:rPr>
              <w:t>35,155</w:t>
            </w:r>
          </w:p>
        </w:tc>
      </w:tr>
      <w:tr>
        <w:trPr>
          <w:trHeight w:val="324"/>
        </w:trPr>
        <w:tc>
          <w:tcPr>
            <w:tcW w:w="7920" w:type="dxa"/>
            <w:vAlign w:val="bottom"/>
            <w:gridSpan w:val="2"/>
          </w:tcPr>
          <w:p>
            <w:pPr>
              <w:ind w:left="20"/>
              <w:spacing w:after="0"/>
              <w:rPr>
                <w:sz w:val="20"/>
                <w:szCs w:val="20"/>
                <w:color w:val="auto"/>
              </w:rPr>
            </w:pPr>
            <w:r>
              <w:rPr>
                <w:rFonts w:ascii="Arial" w:cs="Arial" w:eastAsia="Arial" w:hAnsi="Arial"/>
                <w:sz w:val="19"/>
                <w:szCs w:val="19"/>
                <w:color w:val="4B4B4B"/>
              </w:rPr>
              <w:t>Acquisition earn-out costs (2)</w:t>
            </w:r>
          </w:p>
        </w:tc>
        <w:tc>
          <w:tcPr>
            <w:tcW w:w="2040" w:type="dxa"/>
            <w:vAlign w:val="bottom"/>
          </w:tcPr>
          <w:p>
            <w:pPr>
              <w:jc w:val="right"/>
              <w:ind w:right="366"/>
              <w:spacing w:after="0"/>
              <w:rPr>
                <w:sz w:val="20"/>
                <w:szCs w:val="20"/>
                <w:color w:val="auto"/>
              </w:rPr>
            </w:pPr>
            <w:r>
              <w:rPr>
                <w:rFonts w:ascii="Arial" w:cs="Arial" w:eastAsia="Arial" w:hAnsi="Arial"/>
                <w:sz w:val="19"/>
                <w:szCs w:val="19"/>
                <w:color w:val="4B4B4B"/>
              </w:rPr>
              <w:t>100</w:t>
            </w:r>
          </w:p>
        </w:tc>
        <w:tc>
          <w:tcPr>
            <w:tcW w:w="1280" w:type="dxa"/>
            <w:vAlign w:val="bottom"/>
          </w:tcPr>
          <w:p>
            <w:pPr>
              <w:jc w:val="right"/>
              <w:spacing w:after="0"/>
              <w:rPr>
                <w:sz w:val="20"/>
                <w:szCs w:val="20"/>
                <w:color w:val="auto"/>
              </w:rPr>
            </w:pPr>
            <w:r>
              <w:rPr>
                <w:rFonts w:ascii="Arial" w:cs="Arial" w:eastAsia="Arial" w:hAnsi="Arial"/>
                <w:sz w:val="19"/>
                <w:szCs w:val="19"/>
                <w:color w:val="4B4B4B"/>
              </w:rPr>
              <w:t>345</w:t>
            </w:r>
          </w:p>
        </w:tc>
      </w:tr>
      <w:tr>
        <w:trPr>
          <w:trHeight w:val="35"/>
        </w:trPr>
        <w:tc>
          <w:tcPr>
            <w:tcW w:w="7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04"/>
        </w:trPr>
        <w:tc>
          <w:tcPr>
            <w:tcW w:w="7920" w:type="dxa"/>
            <w:vAlign w:val="bottom"/>
            <w:gridSpan w:val="2"/>
          </w:tcPr>
          <w:p>
            <w:pPr>
              <w:ind w:left="20"/>
              <w:spacing w:after="0"/>
              <w:rPr>
                <w:sz w:val="20"/>
                <w:szCs w:val="20"/>
                <w:color w:val="auto"/>
              </w:rPr>
            </w:pPr>
            <w:r>
              <w:rPr>
                <w:rFonts w:ascii="Arial" w:cs="Arial" w:eastAsia="Arial" w:hAnsi="Arial"/>
                <w:sz w:val="19"/>
                <w:szCs w:val="19"/>
                <w:b w:val="1"/>
                <w:bCs w:val="1"/>
                <w:color w:val="4B4B4B"/>
              </w:rPr>
              <w:t>Adjusted EBITDA</w:t>
            </w:r>
          </w:p>
        </w:tc>
        <w:tc>
          <w:tcPr>
            <w:tcW w:w="204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4B4B4B"/>
              </w:rPr>
              <w:t>$62,804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4B4B4B"/>
              </w:rPr>
              <w:t>$83,432</w:t>
            </w:r>
          </w:p>
        </w:tc>
      </w:tr>
      <w:tr>
        <w:trPr>
          <w:trHeight w:val="20"/>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80"/>
        </w:trPr>
        <w:tc>
          <w:tcPr>
            <w:tcW w:w="7920" w:type="dxa"/>
            <w:vAlign w:val="bottom"/>
            <w:gridSpan w:val="2"/>
          </w:tcPr>
          <w:p>
            <w:pPr>
              <w:ind w:left="20"/>
              <w:spacing w:after="0"/>
              <w:rPr>
                <w:sz w:val="20"/>
                <w:szCs w:val="20"/>
                <w:color w:val="auto"/>
              </w:rPr>
            </w:pPr>
            <w:r>
              <w:rPr>
                <w:rFonts w:ascii="Arial" w:cs="Arial" w:eastAsia="Arial" w:hAnsi="Arial"/>
                <w:sz w:val="19"/>
                <w:szCs w:val="19"/>
                <w:color w:val="4B4B4B"/>
              </w:rPr>
              <w:t>Revenues</w:t>
            </w:r>
          </w:p>
        </w:tc>
        <w:tc>
          <w:tcPr>
            <w:tcW w:w="2040" w:type="dxa"/>
            <w:vAlign w:val="bottom"/>
          </w:tcPr>
          <w:p>
            <w:pPr>
              <w:jc w:val="right"/>
              <w:ind w:right="366"/>
              <w:spacing w:after="0"/>
              <w:rPr>
                <w:sz w:val="20"/>
                <w:szCs w:val="20"/>
                <w:color w:val="auto"/>
              </w:rPr>
            </w:pPr>
            <w:r>
              <w:rPr>
                <w:rFonts w:ascii="Arial" w:cs="Arial" w:eastAsia="Arial" w:hAnsi="Arial"/>
                <w:sz w:val="19"/>
                <w:szCs w:val="19"/>
                <w:color w:val="4B4B4B"/>
              </w:rPr>
              <w:t>$230,743</w:t>
            </w:r>
          </w:p>
        </w:tc>
        <w:tc>
          <w:tcPr>
            <w:tcW w:w="1280" w:type="dxa"/>
            <w:vAlign w:val="bottom"/>
          </w:tcPr>
          <w:p>
            <w:pPr>
              <w:jc w:val="right"/>
              <w:spacing w:after="0"/>
              <w:rPr>
                <w:sz w:val="20"/>
                <w:szCs w:val="20"/>
                <w:color w:val="auto"/>
              </w:rPr>
            </w:pPr>
            <w:r>
              <w:rPr>
                <w:rFonts w:ascii="Arial" w:cs="Arial" w:eastAsia="Arial" w:hAnsi="Arial"/>
                <w:sz w:val="19"/>
                <w:szCs w:val="19"/>
                <w:color w:val="4B4B4B"/>
              </w:rPr>
              <w:t>$291,967</w:t>
            </w:r>
          </w:p>
        </w:tc>
      </w:tr>
      <w:tr>
        <w:trPr>
          <w:trHeight w:val="461"/>
        </w:trPr>
        <w:tc>
          <w:tcPr>
            <w:tcW w:w="7920" w:type="dxa"/>
            <w:vAlign w:val="bottom"/>
            <w:gridSpan w:val="2"/>
          </w:tcPr>
          <w:p>
            <w:pPr>
              <w:ind w:left="20"/>
              <w:spacing w:after="0"/>
              <w:rPr>
                <w:sz w:val="20"/>
                <w:szCs w:val="20"/>
                <w:color w:val="auto"/>
              </w:rPr>
            </w:pPr>
            <w:r>
              <w:rPr>
                <w:rFonts w:ascii="Arial" w:cs="Arial" w:eastAsia="Arial" w:hAnsi="Arial"/>
                <w:sz w:val="19"/>
                <w:szCs w:val="19"/>
                <w:b w:val="1"/>
                <w:bCs w:val="1"/>
                <w:color w:val="4B4B4B"/>
              </w:rPr>
              <w:t>Adjusted EBITDA margin</w:t>
            </w:r>
          </w:p>
        </w:tc>
        <w:tc>
          <w:tcPr>
            <w:tcW w:w="2040" w:type="dxa"/>
            <w:vAlign w:val="bottom"/>
          </w:tcPr>
          <w:p>
            <w:pPr>
              <w:jc w:val="right"/>
              <w:ind w:right="426"/>
              <w:spacing w:after="0"/>
              <w:rPr>
                <w:sz w:val="20"/>
                <w:szCs w:val="20"/>
                <w:color w:val="auto"/>
              </w:rPr>
            </w:pPr>
            <w:r>
              <w:rPr>
                <w:rFonts w:ascii="Arial" w:cs="Arial" w:eastAsia="Arial" w:hAnsi="Arial"/>
                <w:sz w:val="19"/>
                <w:szCs w:val="19"/>
                <w:b w:val="1"/>
                <w:bCs w:val="1"/>
                <w:color w:val="4B4B4B"/>
              </w:rPr>
              <w:t>27.2%</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4B4B4B"/>
              </w:rPr>
              <w:t>28.6%</w:t>
            </w:r>
          </w:p>
        </w:tc>
      </w:tr>
      <w:tr>
        <w:trPr>
          <w:trHeight w:val="26"/>
        </w:trPr>
        <w:tc>
          <w:tcPr>
            <w:tcW w:w="76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04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-526415</wp:posOffset>
            </wp:positionV>
            <wp:extent cx="5048885"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4888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-955040</wp:posOffset>
            </wp:positionV>
            <wp:extent cx="504888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48885"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-1160780</wp:posOffset>
            </wp:positionV>
            <wp:extent cx="504888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48885"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-1366520</wp:posOffset>
            </wp:positionV>
            <wp:extent cx="5048885"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4888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-1572260</wp:posOffset>
            </wp:positionV>
            <wp:extent cx="504888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48885"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-1778000</wp:posOffset>
            </wp:positionV>
            <wp:extent cx="5048885"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4888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-1983740</wp:posOffset>
            </wp:positionV>
            <wp:extent cx="504888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48885"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-2189480</wp:posOffset>
            </wp:positionV>
            <wp:extent cx="5048885"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48885"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-243840</wp:posOffset>
            </wp:positionV>
            <wp:extent cx="489458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9458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1080" w:type="dxa"/>
            <w:vAlign w:val="bottom"/>
          </w:tcPr>
          <w:p>
            <w:pPr>
              <w:jc w:val="right"/>
              <w:spacing w:after="0"/>
              <w:rPr>
                <w:sz w:val="20"/>
                <w:szCs w:val="20"/>
                <w:color w:val="auto"/>
              </w:rPr>
            </w:pPr>
            <w:r>
              <w:rPr>
                <w:rFonts w:ascii="Arial" w:cs="Arial" w:eastAsia="Arial" w:hAnsi="Arial"/>
                <w:sz w:val="15"/>
                <w:szCs w:val="15"/>
                <w:color w:val="AFAFAF"/>
              </w:rPr>
              <w:t>21</w:t>
            </w:r>
          </w:p>
        </w:tc>
      </w:tr>
    </w:tbl>
    <w:p>
      <w:pPr>
        <w:sectPr>
          <w:pgSz w:w="11900" w:h="16838" w:orient="portrait"/>
          <w:cols w:equalWidth="0" w:num="1">
            <w:col w:w="11240"/>
          </w:cols>
          <w:pgMar w:left="320" w:top="1281"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7320" w:type="dxa"/>
            <w:vAlign w:val="bottom"/>
          </w:tcPr>
          <w:p>
            <w:pPr>
              <w:ind w:left="20"/>
              <w:spacing w:after="0"/>
              <w:rPr>
                <w:sz w:val="20"/>
                <w:szCs w:val="20"/>
                <w:color w:val="auto"/>
              </w:rPr>
            </w:pPr>
            <w:r>
              <w:rPr>
                <w:rFonts w:ascii="Arial" w:cs="Arial" w:eastAsia="Arial" w:hAnsi="Arial"/>
                <w:sz w:val="23"/>
                <w:szCs w:val="23"/>
                <w:b w:val="1"/>
                <w:bCs w:val="1"/>
                <w:color w:val="4B4B4B"/>
              </w:rPr>
              <w:t>Reconciliation: GAAP to Non-GAAP Operating Expense</w:t>
            </w:r>
          </w:p>
        </w:tc>
        <w:tc>
          <w:tcPr>
            <w:tcW w:w="3920" w:type="dxa"/>
            <w:vAlign w:val="bottom"/>
            <w:gridSpan w:val="2"/>
          </w:tcPr>
          <w:p>
            <w:pPr>
              <w:jc w:val="right"/>
              <w:spacing w:after="0"/>
              <w:rPr>
                <w:sz w:val="20"/>
                <w:szCs w:val="20"/>
                <w:color w:val="auto"/>
              </w:rPr>
            </w:pPr>
            <w:r>
              <w:rPr>
                <w:rFonts w:ascii="Arial" w:cs="Arial" w:eastAsia="Arial" w:hAnsi="Arial"/>
                <w:sz w:val="19"/>
                <w:szCs w:val="19"/>
                <w:b w:val="1"/>
                <w:bCs w:val="1"/>
                <w:color w:val="58CC02"/>
              </w:rPr>
              <w:t>Three Months Ended March 31,</w:t>
            </w:r>
          </w:p>
        </w:tc>
      </w:tr>
      <w:tr>
        <w:trPr>
          <w:trHeight w:val="257"/>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58CC02"/>
              </w:rPr>
              <w:t>(in thousands)</w:t>
            </w:r>
          </w:p>
        </w:tc>
        <w:tc>
          <w:tcPr>
            <w:tcW w:w="286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b w:val="1"/>
                <w:bCs w:val="1"/>
                <w:color w:val="58CC02"/>
              </w:rPr>
              <w:t>2025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2026</w:t>
            </w:r>
          </w:p>
        </w:tc>
      </w:tr>
    </w:tbl>
    <w:p>
      <w:pPr>
        <w:spacing w:after="0" w:line="67" w:lineRule="exact"/>
        <w:rPr>
          <w:sz w:val="20"/>
          <w:szCs w:val="20"/>
          <w:color w:val="auto"/>
        </w:rPr>
      </w:pPr>
    </w:p>
    <w:p>
      <w:pPr>
        <w:sectPr>
          <w:pgSz w:w="11900" w:h="16838" w:orient="portrait"/>
          <w:cols w:equalWidth="0" w:num="1">
            <w:col w:w="11240"/>
          </w:cols>
          <w:pgMar w:left="320" w:top="1335" w:right="339" w:bottom="1440" w:gutter="0" w:footer="0" w:header="0"/>
        </w:sectPr>
      </w:pPr>
    </w:p>
    <w:p>
      <w:pPr>
        <w:ind w:left="20"/>
        <w:spacing w:after="0"/>
        <w:rPr>
          <w:sz w:val="20"/>
          <w:szCs w:val="20"/>
          <w:color w:val="auto"/>
        </w:rPr>
      </w:pPr>
      <w:r>
        <w:rPr>
          <w:rFonts w:ascii="Arial" w:cs="Arial" w:eastAsia="Arial" w:hAnsi="Arial"/>
          <w:sz w:val="19"/>
          <w:szCs w:val="19"/>
          <w:b w:val="1"/>
          <w:bCs w:val="1"/>
          <w:color w:val="4B4B4B"/>
        </w:rPr>
        <w:t>Total GAAP 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5031740"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31740" cy="3365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Less: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503174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31740" cy="34290"/>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Less: Stock-based compensation expenses related to equity awards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5031740"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31740" cy="336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Less: Other adjustments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45020"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5020"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660" w:val="left"/>
        </w:tabs>
        <w:rPr>
          <w:sz w:val="20"/>
          <w:szCs w:val="20"/>
          <w:color w:val="auto"/>
        </w:rPr>
      </w:pPr>
      <w:r>
        <w:rPr>
          <w:rFonts w:ascii="Arial" w:cs="Arial" w:eastAsia="Arial" w:hAnsi="Arial"/>
          <w:sz w:val="19"/>
          <w:szCs w:val="19"/>
          <w:b w:val="1"/>
          <w:bCs w:val="1"/>
          <w:color w:val="4B4B4B"/>
        </w:rPr>
        <w:t>$140,502</w:t>
      </w:r>
      <w:r>
        <w:rPr>
          <w:sz w:val="20"/>
          <w:szCs w:val="20"/>
          <w:color w:val="auto"/>
        </w:rPr>
        <w:tab/>
      </w:r>
      <w:r>
        <w:rPr>
          <w:rFonts w:ascii="Arial" w:cs="Arial" w:eastAsia="Arial" w:hAnsi="Arial"/>
          <w:sz w:val="18"/>
          <w:szCs w:val="18"/>
          <w:b w:val="1"/>
          <w:bCs w:val="1"/>
          <w:color w:val="4B4B4B"/>
        </w:rPr>
        <w:t>$168,569</w:t>
      </w:r>
    </w:p>
    <w:p>
      <w:pPr>
        <w:spacing w:after="0" w:line="92" w:lineRule="exact"/>
        <w:rPr>
          <w:sz w:val="20"/>
          <w:szCs w:val="20"/>
          <w:color w:val="auto"/>
        </w:rPr>
      </w:pPr>
    </w:p>
    <w:p>
      <w:pPr>
        <w:ind w:left="240"/>
        <w:spacing w:after="0"/>
        <w:tabs>
          <w:tab w:leader="none" w:pos="1900" w:val="left"/>
        </w:tabs>
        <w:rPr>
          <w:sz w:val="20"/>
          <w:szCs w:val="20"/>
          <w:color w:val="auto"/>
        </w:rPr>
      </w:pPr>
      <w:r>
        <w:rPr>
          <w:rFonts w:ascii="Arial" w:cs="Arial" w:eastAsia="Arial" w:hAnsi="Arial"/>
          <w:sz w:val="18"/>
          <w:szCs w:val="18"/>
          <w:color w:val="4B4B4B"/>
        </w:rPr>
        <w:t>(1,379)</w:t>
      </w:r>
      <w:r>
        <w:rPr>
          <w:sz w:val="20"/>
          <w:szCs w:val="20"/>
          <w:color w:val="auto"/>
        </w:rPr>
        <w:tab/>
      </w:r>
      <w:r>
        <w:rPr>
          <w:rFonts w:ascii="Arial" w:cs="Arial" w:eastAsia="Arial" w:hAnsi="Arial"/>
          <w:sz w:val="18"/>
          <w:szCs w:val="18"/>
          <w:color w:val="4B4B4B"/>
        </w:rPr>
        <w:t>(1,417)</w:t>
      </w:r>
    </w:p>
    <w:p>
      <w:pPr>
        <w:spacing w:after="0" w:line="117"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19"/>
          <w:szCs w:val="19"/>
          <w:color w:val="4B4B4B"/>
        </w:rPr>
        <w:t>(34,499)</w:t>
      </w:r>
      <w:r>
        <w:rPr>
          <w:sz w:val="20"/>
          <w:szCs w:val="20"/>
          <w:color w:val="auto"/>
        </w:rPr>
        <w:tab/>
      </w:r>
      <w:r>
        <w:rPr>
          <w:rFonts w:ascii="Arial" w:cs="Arial" w:eastAsia="Arial" w:hAnsi="Arial"/>
          <w:sz w:val="19"/>
          <w:szCs w:val="19"/>
          <w:color w:val="4B4B4B"/>
        </w:rPr>
        <w:t>(35,132)</w:t>
      </w:r>
    </w:p>
    <w:p>
      <w:pPr>
        <w:spacing w:after="0" w:line="106" w:lineRule="exact"/>
        <w:rPr>
          <w:sz w:val="20"/>
          <w:szCs w:val="20"/>
          <w:color w:val="auto"/>
        </w:rPr>
      </w:pPr>
    </w:p>
    <w:p>
      <w:pPr>
        <w:ind w:left="2080" w:hanging="1682"/>
        <w:spacing w:after="0"/>
        <w:tabs>
          <w:tab w:leader="none" w:pos="2080" w:val="left"/>
        </w:tabs>
        <w:numPr>
          <w:ilvl w:val="0"/>
          <w:numId w:val="6"/>
        </w:numPr>
        <w:rPr>
          <w:rFonts w:ascii="Arial" w:cs="Arial" w:eastAsia="Arial" w:hAnsi="Arial"/>
          <w:sz w:val="18"/>
          <w:szCs w:val="18"/>
          <w:color w:val="4B4B4B"/>
        </w:rPr>
      </w:pPr>
      <w:r>
        <w:rPr>
          <w:rFonts w:ascii="Arial" w:cs="Arial" w:eastAsia="Arial" w:hAnsi="Arial"/>
          <w:sz w:val="18"/>
          <w:szCs w:val="18"/>
          <w:color w:val="4B4B4B"/>
        </w:rPr>
        <w:t>(345)</w:t>
      </w:r>
    </w:p>
    <w:p>
      <w:pPr>
        <w:spacing w:after="0" w:line="131" w:lineRule="exact"/>
        <w:rPr>
          <w:sz w:val="20"/>
          <w:szCs w:val="20"/>
          <w:color w:val="auto"/>
        </w:rPr>
      </w:pPr>
    </w:p>
    <w:p>
      <w:pPr>
        <w:sectPr>
          <w:pgSz w:w="11900" w:h="16838" w:orient="portrait"/>
          <w:cols w:equalWidth="0" w:num="2">
            <w:col w:w="7980" w:space="720"/>
            <w:col w:w="2540"/>
          </w:cols>
          <w:pgMar w:left="320" w:top="1335" w:right="339" w:bottom="1440" w:gutter="0" w:footer="0" w:header="0"/>
          <w:type w:val="continuous"/>
        </w:sectPr>
      </w:pPr>
    </w:p>
    <w:tbl>
      <w:tblPr>
        <w:tblLayout w:type="fixed"/>
        <w:tblInd w:w="20" w:type="dxa"/>
        <w:tblCellMar>
          <w:top w:w="0" w:type="dxa"/>
          <w:left w:w="0" w:type="dxa"/>
          <w:bottom w:w="0" w:type="dxa"/>
          <w:right w:w="0" w:type="dxa"/>
        </w:tblCellMar>
      </w:tblPr>
      <w:tr>
        <w:trPr>
          <w:trHeight w:val="278"/>
        </w:trPr>
        <w:tc>
          <w:tcPr>
            <w:tcW w:w="7880" w:type="dxa"/>
            <w:vAlign w:val="bottom"/>
          </w:tcPr>
          <w:p>
            <w:pPr>
              <w:spacing w:after="0"/>
              <w:rPr>
                <w:sz w:val="20"/>
                <w:szCs w:val="20"/>
                <w:color w:val="auto"/>
              </w:rPr>
            </w:pPr>
            <w:r>
              <w:rPr>
                <w:rFonts w:ascii="Arial" w:cs="Arial" w:eastAsia="Arial" w:hAnsi="Arial"/>
                <w:sz w:val="19"/>
                <w:szCs w:val="19"/>
                <w:b w:val="1"/>
                <w:bCs w:val="1"/>
                <w:color w:val="4B4B4B"/>
              </w:rPr>
              <w:t>Non-GAAP Operating Expense</w:t>
            </w:r>
          </w:p>
        </w:tc>
        <w:tc>
          <w:tcPr>
            <w:tcW w:w="202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b w:val="1"/>
                <w:bCs w:val="1"/>
                <w:color w:val="4B4B4B"/>
              </w:rPr>
              <w:t>$104,524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4B4B4B"/>
              </w:rPr>
              <w:t>$131,675</w:t>
            </w:r>
          </w:p>
        </w:tc>
      </w:tr>
      <w:tr>
        <w:trPr>
          <w:trHeight w:val="26"/>
        </w:trPr>
        <w:tc>
          <w:tcPr>
            <w:tcW w:w="78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5031740"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31740" cy="336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7900" w:type="dxa"/>
            <w:vAlign w:val="bottom"/>
          </w:tcPr>
          <w:p>
            <w:pPr>
              <w:ind w:left="20"/>
              <w:spacing w:after="0"/>
              <w:rPr>
                <w:sz w:val="20"/>
                <w:szCs w:val="20"/>
                <w:color w:val="auto"/>
              </w:rPr>
            </w:pPr>
            <w:r>
              <w:rPr>
                <w:rFonts w:ascii="Arial" w:cs="Arial" w:eastAsia="Arial" w:hAnsi="Arial"/>
                <w:sz w:val="23"/>
                <w:szCs w:val="23"/>
                <w:b w:val="1"/>
                <w:bCs w:val="1"/>
                <w:color w:val="4B4B4B"/>
              </w:rPr>
              <w:t>Reconciliation: GAAP to Non-GAAP R&amp;D Expense</w:t>
            </w:r>
          </w:p>
        </w:tc>
        <w:tc>
          <w:tcPr>
            <w:tcW w:w="3340" w:type="dxa"/>
            <w:vAlign w:val="bottom"/>
            <w:gridSpan w:val="2"/>
          </w:tcPr>
          <w:p>
            <w:pPr>
              <w:jc w:val="right"/>
              <w:spacing w:after="0"/>
              <w:rPr>
                <w:sz w:val="20"/>
                <w:szCs w:val="20"/>
                <w:color w:val="auto"/>
              </w:rPr>
            </w:pPr>
            <w:r>
              <w:rPr>
                <w:rFonts w:ascii="Arial" w:cs="Arial" w:eastAsia="Arial" w:hAnsi="Arial"/>
                <w:sz w:val="19"/>
                <w:szCs w:val="19"/>
                <w:b w:val="1"/>
                <w:bCs w:val="1"/>
                <w:color w:val="58CC02"/>
              </w:rPr>
              <w:t>Three Months Ended March 31,</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58CC02"/>
              </w:rPr>
              <w:t>(in thousands)</w:t>
            </w:r>
          </w:p>
        </w:tc>
        <w:tc>
          <w:tcPr>
            <w:tcW w:w="21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58CC02"/>
              </w:rPr>
              <w:t>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2026</w:t>
            </w:r>
          </w:p>
        </w:tc>
        <w:tc>
          <w:tcPr>
            <w:tcW w:w="0" w:type="dxa"/>
            <w:vAlign w:val="bottom"/>
          </w:tcPr>
          <w:p>
            <w:pPr>
              <w:spacing w:after="0"/>
              <w:rPr>
                <w:sz w:val="1"/>
                <w:szCs w:val="1"/>
                <w:color w:val="auto"/>
              </w:rPr>
            </w:pPr>
          </w:p>
        </w:tc>
      </w:tr>
      <w:tr>
        <w:trPr>
          <w:trHeight w:val="320"/>
        </w:trPr>
        <w:tc>
          <w:tcPr>
            <w:tcW w:w="7900" w:type="dxa"/>
            <w:vAlign w:val="bottom"/>
          </w:tcPr>
          <w:p>
            <w:pPr>
              <w:ind w:left="20"/>
              <w:spacing w:after="0"/>
              <w:rPr>
                <w:sz w:val="20"/>
                <w:szCs w:val="20"/>
                <w:color w:val="auto"/>
              </w:rPr>
            </w:pPr>
            <w:r>
              <w:rPr>
                <w:rFonts w:ascii="Arial" w:cs="Arial" w:eastAsia="Arial" w:hAnsi="Arial"/>
                <w:sz w:val="19"/>
                <w:szCs w:val="19"/>
                <w:b w:val="1"/>
                <w:bCs w:val="1"/>
                <w:color w:val="4B4B4B"/>
              </w:rPr>
              <w:t>Total GAAP R&amp;D Expense</w:t>
            </w:r>
          </w:p>
        </w:tc>
        <w:tc>
          <w:tcPr>
            <w:tcW w:w="2120" w:type="dxa"/>
            <w:vAlign w:val="bottom"/>
          </w:tcPr>
          <w:p>
            <w:pPr>
              <w:jc w:val="right"/>
              <w:ind w:right="446"/>
              <w:spacing w:after="0"/>
              <w:rPr>
                <w:sz w:val="20"/>
                <w:szCs w:val="20"/>
                <w:color w:val="auto"/>
              </w:rPr>
            </w:pPr>
            <w:r>
              <w:rPr>
                <w:rFonts w:ascii="Arial" w:cs="Arial" w:eastAsia="Arial" w:hAnsi="Arial"/>
                <w:sz w:val="19"/>
                <w:szCs w:val="19"/>
                <w:b w:val="1"/>
                <w:bCs w:val="1"/>
                <w:color w:val="4B4B4B"/>
              </w:rPr>
              <w:t>$70,390</w:t>
            </w:r>
          </w:p>
        </w:tc>
        <w:tc>
          <w:tcPr>
            <w:tcW w:w="1220" w:type="dxa"/>
            <w:vAlign w:val="bottom"/>
          </w:tcPr>
          <w:p>
            <w:pPr>
              <w:jc w:val="right"/>
              <w:spacing w:after="0"/>
              <w:rPr>
                <w:sz w:val="20"/>
                <w:szCs w:val="20"/>
                <w:color w:val="auto"/>
              </w:rPr>
            </w:pPr>
            <w:r>
              <w:rPr>
                <w:rFonts w:ascii="Arial" w:cs="Arial" w:eastAsia="Arial" w:hAnsi="Arial"/>
                <w:sz w:val="19"/>
                <w:szCs w:val="19"/>
                <w:b w:val="1"/>
                <w:bCs w:val="1"/>
                <w:color w:val="4B4B4B"/>
              </w:rPr>
              <w:t>$82,974</w:t>
            </w:r>
          </w:p>
        </w:tc>
        <w:tc>
          <w:tcPr>
            <w:tcW w:w="0" w:type="dxa"/>
            <w:vAlign w:val="bottom"/>
          </w:tcPr>
          <w:p>
            <w:pPr>
              <w:spacing w:after="0"/>
              <w:rPr>
                <w:sz w:val="1"/>
                <w:szCs w:val="1"/>
                <w:color w:val="auto"/>
              </w:rPr>
            </w:pPr>
          </w:p>
        </w:tc>
      </w:tr>
      <w:tr>
        <w:trPr>
          <w:trHeight w:val="314"/>
        </w:trPr>
        <w:tc>
          <w:tcPr>
            <w:tcW w:w="7900" w:type="dxa"/>
            <w:vAlign w:val="bottom"/>
          </w:tcPr>
          <w:p>
            <w:pPr>
              <w:ind w:left="20"/>
              <w:spacing w:after="0"/>
              <w:rPr>
                <w:sz w:val="20"/>
                <w:szCs w:val="20"/>
                <w:color w:val="auto"/>
              </w:rPr>
            </w:pPr>
            <w:r>
              <w:rPr>
                <w:rFonts w:ascii="Arial" w:cs="Arial" w:eastAsia="Arial" w:hAnsi="Arial"/>
                <w:sz w:val="19"/>
                <w:szCs w:val="19"/>
                <w:color w:val="4B4B4B"/>
              </w:rPr>
              <w:t>Less: Depreciation and amortization</w:t>
            </w:r>
          </w:p>
        </w:tc>
        <w:tc>
          <w:tcPr>
            <w:tcW w:w="2120" w:type="dxa"/>
            <w:vAlign w:val="bottom"/>
          </w:tcPr>
          <w:p>
            <w:pPr>
              <w:jc w:val="right"/>
              <w:ind w:right="386"/>
              <w:spacing w:after="0"/>
              <w:rPr>
                <w:sz w:val="20"/>
                <w:szCs w:val="20"/>
                <w:color w:val="auto"/>
              </w:rPr>
            </w:pPr>
            <w:r>
              <w:rPr>
                <w:rFonts w:ascii="Arial" w:cs="Arial" w:eastAsia="Arial" w:hAnsi="Arial"/>
                <w:sz w:val="19"/>
                <w:szCs w:val="19"/>
                <w:color w:val="4B4B4B"/>
              </w:rPr>
              <w:t>(756)</w:t>
            </w:r>
          </w:p>
        </w:tc>
        <w:tc>
          <w:tcPr>
            <w:tcW w:w="1220" w:type="dxa"/>
            <w:vAlign w:val="bottom"/>
          </w:tcPr>
          <w:p>
            <w:pPr>
              <w:jc w:val="right"/>
              <w:spacing w:after="0"/>
              <w:rPr>
                <w:sz w:val="20"/>
                <w:szCs w:val="20"/>
                <w:color w:val="auto"/>
              </w:rPr>
            </w:pPr>
            <w:r>
              <w:rPr>
                <w:rFonts w:ascii="Arial" w:cs="Arial" w:eastAsia="Arial" w:hAnsi="Arial"/>
                <w:sz w:val="19"/>
                <w:szCs w:val="19"/>
                <w:color w:val="4B4B4B"/>
              </w:rPr>
              <w:t>(846)</w:t>
            </w:r>
          </w:p>
        </w:tc>
        <w:tc>
          <w:tcPr>
            <w:tcW w:w="0" w:type="dxa"/>
            <w:vAlign w:val="bottom"/>
          </w:tcPr>
          <w:p>
            <w:pPr>
              <w:spacing w:after="0"/>
              <w:rPr>
                <w:sz w:val="1"/>
                <w:szCs w:val="1"/>
                <w:color w:val="auto"/>
              </w:rPr>
            </w:pPr>
          </w:p>
        </w:tc>
      </w:tr>
      <w:tr>
        <w:trPr>
          <w:trHeight w:val="324"/>
        </w:trPr>
        <w:tc>
          <w:tcPr>
            <w:tcW w:w="7900" w:type="dxa"/>
            <w:vAlign w:val="bottom"/>
          </w:tcPr>
          <w:p>
            <w:pPr>
              <w:ind w:left="20"/>
              <w:spacing w:after="0"/>
              <w:rPr>
                <w:sz w:val="20"/>
                <w:szCs w:val="20"/>
                <w:color w:val="auto"/>
              </w:rPr>
            </w:pPr>
            <w:r>
              <w:rPr>
                <w:rFonts w:ascii="Arial" w:cs="Arial" w:eastAsia="Arial" w:hAnsi="Arial"/>
                <w:sz w:val="19"/>
                <w:szCs w:val="19"/>
                <w:color w:val="4B4B4B"/>
              </w:rPr>
              <w:t>Less: Stock-based compensation expenses related to equity awards (1)</w:t>
            </w:r>
          </w:p>
        </w:tc>
        <w:tc>
          <w:tcPr>
            <w:tcW w:w="2120" w:type="dxa"/>
            <w:vAlign w:val="bottom"/>
          </w:tcPr>
          <w:p>
            <w:pPr>
              <w:jc w:val="right"/>
              <w:ind w:right="386"/>
              <w:spacing w:after="0"/>
              <w:rPr>
                <w:sz w:val="20"/>
                <w:szCs w:val="20"/>
                <w:color w:val="auto"/>
              </w:rPr>
            </w:pPr>
            <w:r>
              <w:rPr>
                <w:rFonts w:ascii="Arial" w:cs="Arial" w:eastAsia="Arial" w:hAnsi="Arial"/>
                <w:sz w:val="19"/>
                <w:szCs w:val="19"/>
                <w:color w:val="4B4B4B"/>
              </w:rPr>
              <w:t>(18,972)</w:t>
            </w:r>
          </w:p>
        </w:tc>
        <w:tc>
          <w:tcPr>
            <w:tcW w:w="1220" w:type="dxa"/>
            <w:vAlign w:val="bottom"/>
          </w:tcPr>
          <w:p>
            <w:pPr>
              <w:jc w:val="right"/>
              <w:spacing w:after="0"/>
              <w:rPr>
                <w:sz w:val="20"/>
                <w:szCs w:val="20"/>
                <w:color w:val="auto"/>
              </w:rPr>
            </w:pPr>
            <w:r>
              <w:rPr>
                <w:rFonts w:ascii="Arial" w:cs="Arial" w:eastAsia="Arial" w:hAnsi="Arial"/>
                <w:sz w:val="19"/>
                <w:szCs w:val="19"/>
                <w:color w:val="4B4B4B"/>
              </w:rPr>
              <w:t>(22,839)</w:t>
            </w:r>
          </w:p>
        </w:tc>
        <w:tc>
          <w:tcPr>
            <w:tcW w:w="0" w:type="dxa"/>
            <w:vAlign w:val="bottom"/>
          </w:tcPr>
          <w:p>
            <w:pPr>
              <w:spacing w:after="0"/>
              <w:rPr>
                <w:sz w:val="1"/>
                <w:szCs w:val="1"/>
                <w:color w:val="auto"/>
              </w:rPr>
            </w:pPr>
          </w:p>
        </w:tc>
      </w:tr>
      <w:tr>
        <w:trPr>
          <w:trHeight w:val="34"/>
        </w:trPr>
        <w:tc>
          <w:tcPr>
            <w:tcW w:w="79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7900" w:type="dxa"/>
            <w:vAlign w:val="bottom"/>
          </w:tcPr>
          <w:p>
            <w:pPr>
              <w:ind w:left="20"/>
              <w:spacing w:after="0"/>
              <w:rPr>
                <w:sz w:val="20"/>
                <w:szCs w:val="20"/>
                <w:color w:val="auto"/>
              </w:rPr>
            </w:pPr>
            <w:r>
              <w:rPr>
                <w:rFonts w:ascii="Arial" w:cs="Arial" w:eastAsia="Arial" w:hAnsi="Arial"/>
                <w:sz w:val="19"/>
                <w:szCs w:val="19"/>
                <w:b w:val="1"/>
                <w:bCs w:val="1"/>
                <w:color w:val="4B4B4B"/>
              </w:rPr>
              <w:t>Non-GAAP R&amp;D Expense</w:t>
            </w:r>
          </w:p>
        </w:tc>
        <w:tc>
          <w:tcPr>
            <w:tcW w:w="2120" w:type="dxa"/>
            <w:vAlign w:val="bottom"/>
            <w:tcBorders>
              <w:bottom w:val="single" w:sz="8" w:color="auto"/>
            </w:tcBorders>
          </w:tcPr>
          <w:p>
            <w:pPr>
              <w:jc w:val="right"/>
              <w:ind w:right="446"/>
              <w:spacing w:after="0"/>
              <w:rPr>
                <w:sz w:val="20"/>
                <w:szCs w:val="20"/>
                <w:color w:val="auto"/>
              </w:rPr>
            </w:pPr>
            <w:r>
              <w:rPr>
                <w:rFonts w:ascii="Arial" w:cs="Arial" w:eastAsia="Arial" w:hAnsi="Arial"/>
                <w:sz w:val="19"/>
                <w:szCs w:val="19"/>
                <w:b w:val="1"/>
                <w:bCs w:val="1"/>
                <w:color w:val="4B4B4B"/>
              </w:rPr>
              <w:t>$50,662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4B4B4B"/>
              </w:rPr>
              <w:t>$59,289</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20"/>
              <w:spacing w:after="0"/>
              <w:rPr>
                <w:sz w:val="20"/>
                <w:szCs w:val="20"/>
                <w:color w:val="auto"/>
              </w:rPr>
            </w:pPr>
            <w:r>
              <w:rPr>
                <w:rFonts w:ascii="Arial" w:cs="Arial" w:eastAsia="Arial" w:hAnsi="Arial"/>
                <w:sz w:val="23"/>
                <w:szCs w:val="23"/>
                <w:b w:val="1"/>
                <w:bCs w:val="1"/>
                <w:color w:val="4B4B4B"/>
              </w:rPr>
              <w:t>Reconciliation: GAAP to Non-GAAP S&amp;M Expense</w:t>
            </w:r>
          </w:p>
        </w:tc>
        <w:tc>
          <w:tcPr>
            <w:tcW w:w="3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938"/>
        </w:trPr>
        <w:tc>
          <w:tcPr>
            <w:tcW w:w="7900" w:type="dxa"/>
            <w:vAlign w:val="bottom"/>
            <w:vMerge w:val="continue"/>
          </w:tcPr>
          <w:p>
            <w:pPr>
              <w:spacing w:after="0"/>
              <w:rPr>
                <w:sz w:val="24"/>
                <w:szCs w:val="24"/>
                <w:color w:val="auto"/>
              </w:rPr>
            </w:pPr>
          </w:p>
        </w:tc>
        <w:tc>
          <w:tcPr>
            <w:tcW w:w="3340" w:type="dxa"/>
            <w:vAlign w:val="bottom"/>
            <w:gridSpan w:val="2"/>
          </w:tcPr>
          <w:p>
            <w:pPr>
              <w:jc w:val="right"/>
              <w:spacing w:after="0"/>
              <w:rPr>
                <w:sz w:val="20"/>
                <w:szCs w:val="20"/>
                <w:color w:val="auto"/>
              </w:rPr>
            </w:pPr>
            <w:r>
              <w:rPr>
                <w:rFonts w:ascii="Arial" w:cs="Arial" w:eastAsia="Arial" w:hAnsi="Arial"/>
                <w:sz w:val="19"/>
                <w:szCs w:val="19"/>
                <w:b w:val="1"/>
                <w:bCs w:val="1"/>
                <w:color w:val="58CC02"/>
              </w:rPr>
              <w:t>Three Months Ended March 31,</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58CC02"/>
              </w:rPr>
              <w:t>(in thousands)</w:t>
            </w:r>
          </w:p>
        </w:tc>
        <w:tc>
          <w:tcPr>
            <w:tcW w:w="212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58CC02"/>
              </w:rPr>
              <w:t>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5031740"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3174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-800735</wp:posOffset>
            </wp:positionV>
            <wp:extent cx="5031740"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3174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-1229360</wp:posOffset>
            </wp:positionV>
            <wp:extent cx="5031740"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3174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-1435100</wp:posOffset>
            </wp:positionV>
            <wp:extent cx="503174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31740" cy="34290"/>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type w:val="continuous"/>
        </w:sect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B4B4B"/>
        </w:rPr>
        <w:t>Total GAAP S&amp;M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5039995"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39995" cy="33655"/>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Less: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5039995"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39995" cy="3429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4B4B4B"/>
        </w:rPr>
        <w:t>Less: Stock-based compensation expenses related to equity awards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450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5020" cy="34290"/>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4B4B4B"/>
        </w:rPr>
        <w:t>Non-GAAP S&amp;M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4502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020"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4B4B4B"/>
        </w:rPr>
        <w:t>Reconciliation: GAAP to Non-GAAP G&amp;A Expense</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58CC02"/>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9"/>
          <w:szCs w:val="19"/>
          <w:b w:val="1"/>
          <w:bCs w:val="1"/>
          <w:color w:val="4B4B4B"/>
        </w:rPr>
        <w:t>$26,662</w:t>
      </w:r>
      <w:r>
        <w:rPr>
          <w:sz w:val="20"/>
          <w:szCs w:val="20"/>
          <w:color w:val="auto"/>
        </w:rPr>
        <w:tab/>
      </w:r>
      <w:r>
        <w:rPr>
          <w:rFonts w:ascii="Arial" w:cs="Arial" w:eastAsia="Arial" w:hAnsi="Arial"/>
          <w:sz w:val="18"/>
          <w:szCs w:val="18"/>
          <w:b w:val="1"/>
          <w:bCs w:val="1"/>
          <w:color w:val="4B4B4B"/>
        </w:rPr>
        <w:t>$39,249</w:t>
      </w:r>
    </w:p>
    <w:p>
      <w:pPr>
        <w:spacing w:after="0" w:line="92" w:lineRule="exact"/>
        <w:rPr>
          <w:sz w:val="20"/>
          <w:szCs w:val="20"/>
          <w:color w:val="auto"/>
        </w:rPr>
      </w:pPr>
    </w:p>
    <w:p>
      <w:pPr>
        <w:ind w:left="2360" w:hanging="1682"/>
        <w:spacing w:after="0"/>
        <w:tabs>
          <w:tab w:leader="none" w:pos="2360" w:val="left"/>
        </w:tabs>
        <w:numPr>
          <w:ilvl w:val="0"/>
          <w:numId w:val="7"/>
        </w:numPr>
        <w:rPr>
          <w:rFonts w:ascii="Arial" w:cs="Arial" w:eastAsia="Arial" w:hAnsi="Arial"/>
          <w:sz w:val="18"/>
          <w:szCs w:val="18"/>
          <w:color w:val="4B4B4B"/>
        </w:rPr>
      </w:pPr>
      <w:r>
        <w:rPr>
          <w:rFonts w:ascii="Arial" w:cs="Arial" w:eastAsia="Arial" w:hAnsi="Arial"/>
          <w:sz w:val="18"/>
          <w:szCs w:val="18"/>
          <w:color w:val="4B4B4B"/>
        </w:rPr>
        <w:t>(162)</w:t>
      </w:r>
    </w:p>
    <w:p>
      <w:pPr>
        <w:spacing w:after="0" w:line="117" w:lineRule="exact"/>
        <w:rPr>
          <w:rFonts w:ascii="Arial" w:cs="Arial" w:eastAsia="Arial" w:hAnsi="Arial"/>
          <w:sz w:val="18"/>
          <w:szCs w:val="18"/>
          <w:color w:val="4B4B4B"/>
        </w:rPr>
      </w:pPr>
    </w:p>
    <w:p>
      <w:pPr>
        <w:ind w:left="520"/>
        <w:spacing w:after="0"/>
        <w:rPr>
          <w:rFonts w:ascii="Arial" w:cs="Arial" w:eastAsia="Arial" w:hAnsi="Arial"/>
          <w:sz w:val="18"/>
          <w:szCs w:val="18"/>
          <w:color w:val="4B4B4B"/>
        </w:rPr>
      </w:pPr>
      <w:r>
        <w:rPr>
          <w:rFonts w:ascii="Arial" w:cs="Arial" w:eastAsia="Arial" w:hAnsi="Arial"/>
          <w:sz w:val="19"/>
          <w:szCs w:val="19"/>
          <w:color w:val="4B4B4B"/>
        </w:rPr>
        <w:t>(1,503)</w:t>
      </w:r>
      <w:r>
        <w:rPr>
          <w:rFonts w:ascii="Arial" w:cs="Arial" w:eastAsia="Arial" w:hAnsi="Arial"/>
          <w:sz w:val="18"/>
          <w:szCs w:val="18"/>
          <w:color w:val="4B4B4B"/>
        </w:rPr>
        <w:t>(1,811)</w:t>
      </w:r>
    </w:p>
    <w:p>
      <w:pPr>
        <w:spacing w:after="0" w:line="106"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9"/>
          <w:szCs w:val="19"/>
          <w:b w:val="1"/>
          <w:bCs w:val="1"/>
          <w:color w:val="4B4B4B"/>
        </w:rPr>
        <w:t>$24,938</w:t>
      </w:r>
      <w:r>
        <w:rPr>
          <w:sz w:val="20"/>
          <w:szCs w:val="20"/>
          <w:color w:val="auto"/>
        </w:rPr>
        <w:tab/>
      </w:r>
      <w:r>
        <w:rPr>
          <w:rFonts w:ascii="Arial" w:cs="Arial" w:eastAsia="Arial" w:hAnsi="Arial"/>
          <w:sz w:val="18"/>
          <w:szCs w:val="18"/>
          <w:b w:val="1"/>
          <w:bCs w:val="1"/>
          <w:color w:val="4B4B4B"/>
        </w:rPr>
        <w:t>$37,276</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58CC02"/>
        </w:rPr>
        <w:t>Three Months Ended March 31,</w:t>
      </w:r>
    </w:p>
    <w:p>
      <w:pPr>
        <w:spacing w:after="0" w:line="52" w:lineRule="exact"/>
        <w:rPr>
          <w:sz w:val="20"/>
          <w:szCs w:val="20"/>
          <w:color w:val="auto"/>
        </w:rPr>
      </w:pPr>
    </w:p>
    <w:p>
      <w:pPr>
        <w:ind w:left="700"/>
        <w:spacing w:after="0"/>
        <w:tabs>
          <w:tab w:leader="none" w:pos="2360" w:val="left"/>
        </w:tabs>
        <w:rPr>
          <w:sz w:val="20"/>
          <w:szCs w:val="20"/>
          <w:color w:val="auto"/>
        </w:rPr>
      </w:pPr>
      <w:r>
        <w:rPr>
          <w:rFonts w:ascii="Arial" w:cs="Arial" w:eastAsia="Arial" w:hAnsi="Arial"/>
          <w:sz w:val="18"/>
          <w:szCs w:val="18"/>
          <w:b w:val="1"/>
          <w:bCs w:val="1"/>
          <w:color w:val="58CC02"/>
        </w:rPr>
        <w:t>2025</w:t>
      </w:r>
      <w:r>
        <w:rPr>
          <w:sz w:val="20"/>
          <w:szCs w:val="20"/>
          <w:color w:val="auto"/>
        </w:rPr>
        <w:tab/>
      </w:r>
      <w:r>
        <w:rPr>
          <w:rFonts w:ascii="Arial" w:cs="Arial" w:eastAsia="Arial" w:hAnsi="Arial"/>
          <w:sz w:val="18"/>
          <w:szCs w:val="18"/>
          <w:b w:val="1"/>
          <w:bCs w:val="1"/>
          <w:color w:val="58CC02"/>
        </w:rPr>
        <w:t>2026</w:t>
      </w:r>
    </w:p>
    <w:p>
      <w:pPr>
        <w:spacing w:after="0" w:line="208" w:lineRule="exact"/>
        <w:rPr>
          <w:sz w:val="20"/>
          <w:szCs w:val="20"/>
          <w:color w:val="auto"/>
        </w:rPr>
      </w:pPr>
    </w:p>
    <w:p>
      <w:pPr>
        <w:sectPr>
          <w:pgSz w:w="11900" w:h="16838" w:orient="portrait"/>
          <w:cols w:equalWidth="0" w:num="2">
            <w:col w:w="7700" w:space="720"/>
            <w:col w:w="2820"/>
          </w:cols>
          <w:pgMar w:left="320" w:top="1335" w:right="339" w:bottom="1440" w:gutter="0" w:footer="0" w:header="0"/>
          <w:type w:val="continuous"/>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4B4B4B"/>
        </w:rPr>
        <w:t>Total GAAP G&amp;A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5031740" cy="3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31740" cy="3365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Less: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5031740"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31740" cy="3365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4B4B4B"/>
        </w:rPr>
        <w:t>Less: Stock-based compensation expenses related to equity awards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5031740"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31740" cy="336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color w:val="4B4B4B"/>
        </w:rPr>
        <w:t>Less: Other adjustments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450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5020" cy="34290"/>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4B4B4B"/>
        </w:rPr>
        <w:t>Non-GAAP G&amp;A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4502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tabs>
          <w:tab w:leader="none" w:pos="1660" w:val="left"/>
        </w:tabs>
        <w:rPr>
          <w:sz w:val="20"/>
          <w:szCs w:val="20"/>
          <w:color w:val="auto"/>
        </w:rPr>
      </w:pPr>
      <w:r>
        <w:rPr>
          <w:rFonts w:ascii="Arial" w:cs="Arial" w:eastAsia="Arial" w:hAnsi="Arial"/>
          <w:sz w:val="19"/>
          <w:szCs w:val="19"/>
          <w:b w:val="1"/>
          <w:bCs w:val="1"/>
          <w:color w:val="4B4B4B"/>
        </w:rPr>
        <w:t>$43,450</w:t>
      </w:r>
      <w:r>
        <w:rPr>
          <w:sz w:val="20"/>
          <w:szCs w:val="20"/>
          <w:color w:val="auto"/>
        </w:rPr>
        <w:tab/>
      </w:r>
      <w:r>
        <w:rPr>
          <w:rFonts w:ascii="Arial" w:cs="Arial" w:eastAsia="Arial" w:hAnsi="Arial"/>
          <w:sz w:val="18"/>
          <w:szCs w:val="18"/>
          <w:b w:val="1"/>
          <w:bCs w:val="1"/>
          <w:color w:val="4B4B4B"/>
        </w:rPr>
        <w:t>$46,346</w:t>
      </w:r>
    </w:p>
    <w:p>
      <w:pPr>
        <w:spacing w:after="0" w:line="92" w:lineRule="exact"/>
        <w:rPr>
          <w:sz w:val="20"/>
          <w:szCs w:val="20"/>
          <w:color w:val="auto"/>
        </w:rPr>
      </w:pPr>
    </w:p>
    <w:p>
      <w:pPr>
        <w:ind w:left="1980" w:hanging="1682"/>
        <w:spacing w:after="0"/>
        <w:tabs>
          <w:tab w:leader="none" w:pos="1980" w:val="left"/>
        </w:tabs>
        <w:numPr>
          <w:ilvl w:val="0"/>
          <w:numId w:val="8"/>
        </w:numPr>
        <w:rPr>
          <w:rFonts w:ascii="Arial" w:cs="Arial" w:eastAsia="Arial" w:hAnsi="Arial"/>
          <w:sz w:val="18"/>
          <w:szCs w:val="18"/>
          <w:color w:val="4B4B4B"/>
        </w:rPr>
      </w:pPr>
      <w:r>
        <w:rPr>
          <w:rFonts w:ascii="Arial" w:cs="Arial" w:eastAsia="Arial" w:hAnsi="Arial"/>
          <w:sz w:val="18"/>
          <w:szCs w:val="18"/>
          <w:color w:val="4B4B4B"/>
        </w:rPr>
        <w:t>(409)</w:t>
      </w:r>
    </w:p>
    <w:p>
      <w:pPr>
        <w:spacing w:after="0" w:line="117" w:lineRule="exact"/>
        <w:rPr>
          <w:sz w:val="20"/>
          <w:szCs w:val="20"/>
          <w:color w:val="auto"/>
        </w:rPr>
      </w:pPr>
    </w:p>
    <w:p>
      <w:pPr>
        <w:ind w:left="40"/>
        <w:spacing w:after="0"/>
        <w:tabs>
          <w:tab w:leader="none" w:pos="1680" w:val="left"/>
        </w:tabs>
        <w:rPr>
          <w:sz w:val="20"/>
          <w:szCs w:val="20"/>
          <w:color w:val="auto"/>
        </w:rPr>
      </w:pPr>
      <w:r>
        <w:rPr>
          <w:rFonts w:ascii="Arial" w:cs="Arial" w:eastAsia="Arial" w:hAnsi="Arial"/>
          <w:sz w:val="19"/>
          <w:szCs w:val="19"/>
          <w:color w:val="4B4B4B"/>
        </w:rPr>
        <w:t>(14,024)</w:t>
      </w:r>
      <w:r>
        <w:rPr>
          <w:sz w:val="20"/>
          <w:szCs w:val="20"/>
          <w:color w:val="auto"/>
        </w:rPr>
        <w:tab/>
      </w:r>
      <w:r>
        <w:rPr>
          <w:rFonts w:ascii="Arial" w:cs="Arial" w:eastAsia="Arial" w:hAnsi="Arial"/>
          <w:sz w:val="19"/>
          <w:szCs w:val="19"/>
          <w:color w:val="4B4B4B"/>
        </w:rPr>
        <w:t>(10,482)</w:t>
      </w:r>
    </w:p>
    <w:p>
      <w:pPr>
        <w:spacing w:after="0" w:line="106" w:lineRule="exact"/>
        <w:rPr>
          <w:sz w:val="20"/>
          <w:szCs w:val="20"/>
          <w:color w:val="auto"/>
        </w:rPr>
      </w:pPr>
    </w:p>
    <w:p>
      <w:pPr>
        <w:ind w:left="1980" w:hanging="1682"/>
        <w:spacing w:after="0"/>
        <w:tabs>
          <w:tab w:leader="none" w:pos="1980" w:val="left"/>
        </w:tabs>
        <w:numPr>
          <w:ilvl w:val="0"/>
          <w:numId w:val="9"/>
        </w:numPr>
        <w:rPr>
          <w:rFonts w:ascii="Arial" w:cs="Arial" w:eastAsia="Arial" w:hAnsi="Arial"/>
          <w:sz w:val="18"/>
          <w:szCs w:val="18"/>
          <w:color w:val="4B4B4B"/>
        </w:rPr>
      </w:pPr>
      <w:r>
        <w:rPr>
          <w:rFonts w:ascii="Arial" w:cs="Arial" w:eastAsia="Arial" w:hAnsi="Arial"/>
          <w:sz w:val="18"/>
          <w:szCs w:val="18"/>
          <w:color w:val="4B4B4B"/>
        </w:rPr>
        <w:t>(345)</w:t>
      </w:r>
    </w:p>
    <w:p>
      <w:pPr>
        <w:spacing w:after="0" w:line="130" w:lineRule="exact"/>
        <w:rPr>
          <w:rFonts w:ascii="Arial" w:cs="Arial" w:eastAsia="Arial" w:hAnsi="Arial"/>
          <w:sz w:val="18"/>
          <w:szCs w:val="18"/>
          <w:color w:val="4B4B4B"/>
        </w:rPr>
      </w:pPr>
    </w:p>
    <w:p>
      <w:pPr>
        <w:spacing w:after="0"/>
        <w:rPr>
          <w:rFonts w:ascii="Arial" w:cs="Arial" w:eastAsia="Arial" w:hAnsi="Arial"/>
          <w:sz w:val="18"/>
          <w:szCs w:val="18"/>
          <w:color w:val="4B4B4B"/>
        </w:rPr>
      </w:pPr>
      <w:r>
        <w:rPr>
          <w:rFonts w:ascii="Arial" w:cs="Arial" w:eastAsia="Arial" w:hAnsi="Arial"/>
          <w:sz w:val="19"/>
          <w:szCs w:val="19"/>
          <w:b w:val="1"/>
          <w:bCs w:val="1"/>
          <w:color w:val="4B4B4B"/>
        </w:rPr>
        <w:t>$28,924</w:t>
      </w:r>
      <w:r>
        <w:rPr>
          <w:rFonts w:ascii="Arial" w:cs="Arial" w:eastAsia="Arial" w:hAnsi="Arial"/>
          <w:sz w:val="18"/>
          <w:szCs w:val="18"/>
          <w:b w:val="1"/>
          <w:bCs w:val="1"/>
          <w:color w:val="4B4B4B"/>
        </w:rPr>
        <w:t>$35,110</w:t>
      </w:r>
    </w:p>
    <w:p>
      <w:pPr>
        <w:spacing w:after="0" w:line="213" w:lineRule="exact"/>
        <w:rPr>
          <w:sz w:val="20"/>
          <w:szCs w:val="20"/>
          <w:color w:val="auto"/>
        </w:rPr>
      </w:pPr>
    </w:p>
    <w:p>
      <w:pPr>
        <w:sectPr>
          <w:pgSz w:w="11900" w:h="16838" w:orient="portrait"/>
          <w:cols w:equalWidth="0" w:num="2">
            <w:col w:w="8080" w:space="720"/>
            <w:col w:w="2440"/>
          </w:cols>
          <w:pgMar w:left="320" w:top="13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1080" w:type="dxa"/>
            <w:vAlign w:val="bottom"/>
          </w:tcPr>
          <w:p>
            <w:pPr>
              <w:jc w:val="right"/>
              <w:spacing w:after="0"/>
              <w:rPr>
                <w:sz w:val="20"/>
                <w:szCs w:val="20"/>
                <w:color w:val="auto"/>
              </w:rPr>
            </w:pPr>
            <w:r>
              <w:rPr>
                <w:rFonts w:ascii="Arial" w:cs="Arial" w:eastAsia="Arial" w:hAnsi="Arial"/>
                <w:sz w:val="15"/>
                <w:szCs w:val="15"/>
                <w:color w:val="AFAFAF"/>
              </w:rPr>
              <w:t>22</w:t>
            </w:r>
          </w:p>
        </w:tc>
      </w:tr>
    </w:tbl>
    <w:p>
      <w:pPr>
        <w:sectPr>
          <w:pgSz w:w="11900" w:h="16838" w:orient="portrait"/>
          <w:cols w:equalWidth="0" w:num="1">
            <w:col w:w="11240"/>
          </w:cols>
          <w:pgMar w:left="320" w:top="133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3"/>
          <w:szCs w:val="23"/>
          <w:b w:val="1"/>
          <w:bCs w:val="1"/>
          <w:color w:val="4B4B4B"/>
        </w:rPr>
        <w:t>Reconciliation: Free Cash Flow and Free Cash Flow Margin</w:t>
      </w:r>
    </w:p>
    <w:p>
      <w:pPr>
        <w:spacing w:after="0" w:line="276" w:lineRule="exact"/>
        <w:rPr>
          <w:sz w:val="20"/>
          <w:szCs w:val="20"/>
          <w:color w:val="auto"/>
        </w:rPr>
      </w:pPr>
    </w:p>
    <w:p>
      <w:pPr>
        <w:spacing w:after="0" w:line="298" w:lineRule="auto"/>
        <w:rPr>
          <w:sz w:val="20"/>
          <w:szCs w:val="20"/>
          <w:color w:val="auto"/>
        </w:rPr>
      </w:pPr>
      <w:r>
        <w:rPr>
          <w:rFonts w:ascii="Arial" w:cs="Arial" w:eastAsia="Arial" w:hAnsi="Arial"/>
          <w:sz w:val="18"/>
          <w:szCs w:val="18"/>
          <w:color w:val="4B4B4B"/>
        </w:rPr>
        <w:t>Free cash flow is defined as net cash provided by operating activities, less capitalized software development costs and purchases of property and equipment. Free cash flow margin is defined as Free cash flow as a percentage of revenues.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gridSpan w:val="2"/>
          </w:tcPr>
          <w:p>
            <w:pPr>
              <w:jc w:val="right"/>
              <w:spacing w:after="0"/>
              <w:rPr>
                <w:sz w:val="20"/>
                <w:szCs w:val="20"/>
                <w:color w:val="auto"/>
              </w:rPr>
            </w:pPr>
            <w:r>
              <w:rPr>
                <w:rFonts w:ascii="Arial" w:cs="Arial" w:eastAsia="Arial" w:hAnsi="Arial"/>
                <w:sz w:val="19"/>
                <w:szCs w:val="19"/>
                <w:b w:val="1"/>
                <w:bCs w:val="1"/>
                <w:color w:val="58CC02"/>
              </w:rPr>
              <w:t>Three Months Ended March 31,</w:t>
            </w:r>
          </w:p>
        </w:tc>
      </w:tr>
      <w:tr>
        <w:trPr>
          <w:trHeight w:val="257"/>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b w:val="1"/>
                <w:bCs w:val="1"/>
                <w:color w:val="58CC02"/>
              </w:rPr>
              <w:t>(in thousands)</w:t>
            </w:r>
          </w:p>
        </w:tc>
        <w:tc>
          <w:tcPr>
            <w:tcW w:w="206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b w:val="1"/>
                <w:bCs w:val="1"/>
                <w:color w:val="58CC02"/>
              </w:rPr>
              <w:t>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58CC02"/>
              </w:rPr>
              <w:t>2026</w:t>
            </w:r>
          </w:p>
        </w:tc>
      </w:tr>
      <w:tr>
        <w:trPr>
          <w:trHeight w:val="320"/>
        </w:trPr>
        <w:tc>
          <w:tcPr>
            <w:tcW w:w="7900" w:type="dxa"/>
            <w:vAlign w:val="bottom"/>
            <w:gridSpan w:val="2"/>
          </w:tcPr>
          <w:p>
            <w:pPr>
              <w:ind w:left="20"/>
              <w:spacing w:after="0"/>
              <w:rPr>
                <w:sz w:val="20"/>
                <w:szCs w:val="20"/>
                <w:color w:val="auto"/>
              </w:rPr>
            </w:pPr>
            <w:r>
              <w:rPr>
                <w:rFonts w:ascii="Arial" w:cs="Arial" w:eastAsia="Arial" w:hAnsi="Arial"/>
                <w:sz w:val="19"/>
                <w:szCs w:val="19"/>
                <w:b w:val="1"/>
                <w:bCs w:val="1"/>
                <w:color w:val="4B4B4B"/>
              </w:rPr>
              <w:t>Net cash provided by operating activities</w:t>
            </w:r>
          </w:p>
        </w:tc>
        <w:tc>
          <w:tcPr>
            <w:tcW w:w="2060" w:type="dxa"/>
            <w:vAlign w:val="bottom"/>
          </w:tcPr>
          <w:p>
            <w:pPr>
              <w:jc w:val="right"/>
              <w:ind w:right="386"/>
              <w:spacing w:after="0"/>
              <w:rPr>
                <w:sz w:val="20"/>
                <w:szCs w:val="20"/>
                <w:color w:val="auto"/>
              </w:rPr>
            </w:pPr>
            <w:r>
              <w:rPr>
                <w:rFonts w:ascii="Arial" w:cs="Arial" w:eastAsia="Arial" w:hAnsi="Arial"/>
                <w:sz w:val="19"/>
                <w:szCs w:val="19"/>
                <w:b w:val="1"/>
                <w:bCs w:val="1"/>
                <w:color w:val="4B4B4B"/>
              </w:rPr>
              <w:t>$105,631</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4B4B4B"/>
              </w:rPr>
              <w:t>$150,771</w:t>
            </w:r>
          </w:p>
        </w:tc>
      </w:tr>
      <w:tr>
        <w:trPr>
          <w:trHeight w:val="314"/>
        </w:trPr>
        <w:tc>
          <w:tcPr>
            <w:tcW w:w="7900" w:type="dxa"/>
            <w:vAlign w:val="bottom"/>
            <w:gridSpan w:val="2"/>
          </w:tcPr>
          <w:p>
            <w:pPr>
              <w:ind w:left="20"/>
              <w:spacing w:after="0"/>
              <w:rPr>
                <w:sz w:val="20"/>
                <w:szCs w:val="20"/>
                <w:color w:val="auto"/>
              </w:rPr>
            </w:pPr>
            <w:r>
              <w:rPr>
                <w:rFonts w:ascii="Arial" w:cs="Arial" w:eastAsia="Arial" w:hAnsi="Arial"/>
                <w:sz w:val="19"/>
                <w:szCs w:val="19"/>
                <w:color w:val="4B4B4B"/>
              </w:rPr>
              <w:t>Less: Capitalized software development costs and purchases of intangible assets</w:t>
            </w:r>
          </w:p>
        </w:tc>
        <w:tc>
          <w:tcPr>
            <w:tcW w:w="2060" w:type="dxa"/>
            <w:vAlign w:val="bottom"/>
          </w:tcPr>
          <w:p>
            <w:pPr>
              <w:jc w:val="right"/>
              <w:ind w:right="326"/>
              <w:spacing w:after="0"/>
              <w:rPr>
                <w:sz w:val="20"/>
                <w:szCs w:val="20"/>
                <w:color w:val="auto"/>
              </w:rPr>
            </w:pPr>
            <w:r>
              <w:rPr>
                <w:rFonts w:ascii="Arial" w:cs="Arial" w:eastAsia="Arial" w:hAnsi="Arial"/>
                <w:sz w:val="19"/>
                <w:szCs w:val="19"/>
                <w:color w:val="4B4B4B"/>
              </w:rPr>
              <w:t>(1,310)</w:t>
            </w:r>
          </w:p>
        </w:tc>
        <w:tc>
          <w:tcPr>
            <w:tcW w:w="1280" w:type="dxa"/>
            <w:vAlign w:val="bottom"/>
          </w:tcPr>
          <w:p>
            <w:pPr>
              <w:jc w:val="right"/>
              <w:spacing w:after="0"/>
              <w:rPr>
                <w:sz w:val="20"/>
                <w:szCs w:val="20"/>
                <w:color w:val="auto"/>
              </w:rPr>
            </w:pPr>
            <w:r>
              <w:rPr>
                <w:rFonts w:ascii="Arial" w:cs="Arial" w:eastAsia="Arial" w:hAnsi="Arial"/>
                <w:sz w:val="19"/>
                <w:szCs w:val="19"/>
                <w:color w:val="4B4B4B"/>
              </w:rPr>
              <w:t>(2,853)</w:t>
            </w:r>
          </w:p>
        </w:tc>
      </w:tr>
      <w:tr>
        <w:trPr>
          <w:trHeight w:val="324"/>
        </w:trPr>
        <w:tc>
          <w:tcPr>
            <w:tcW w:w="7900" w:type="dxa"/>
            <w:vAlign w:val="bottom"/>
            <w:gridSpan w:val="2"/>
          </w:tcPr>
          <w:p>
            <w:pPr>
              <w:ind w:left="20"/>
              <w:spacing w:after="0"/>
              <w:rPr>
                <w:sz w:val="20"/>
                <w:szCs w:val="20"/>
                <w:color w:val="auto"/>
              </w:rPr>
            </w:pPr>
            <w:r>
              <w:rPr>
                <w:rFonts w:ascii="Arial" w:cs="Arial" w:eastAsia="Arial" w:hAnsi="Arial"/>
                <w:sz w:val="19"/>
                <w:szCs w:val="19"/>
                <w:color w:val="4B4B4B"/>
              </w:rPr>
              <w:t>Less: Purchases of property and equipment</w:t>
            </w:r>
          </w:p>
        </w:tc>
        <w:tc>
          <w:tcPr>
            <w:tcW w:w="2060" w:type="dxa"/>
            <w:vAlign w:val="bottom"/>
          </w:tcPr>
          <w:p>
            <w:pPr>
              <w:jc w:val="right"/>
              <w:ind w:right="326"/>
              <w:spacing w:after="0"/>
              <w:rPr>
                <w:sz w:val="20"/>
                <w:szCs w:val="20"/>
                <w:color w:val="auto"/>
              </w:rPr>
            </w:pPr>
            <w:r>
              <w:rPr>
                <w:rFonts w:ascii="Arial" w:cs="Arial" w:eastAsia="Arial" w:hAnsi="Arial"/>
                <w:sz w:val="19"/>
                <w:szCs w:val="19"/>
                <w:color w:val="4B4B4B"/>
              </w:rPr>
              <w:t>(1,309)</w:t>
            </w:r>
          </w:p>
        </w:tc>
        <w:tc>
          <w:tcPr>
            <w:tcW w:w="1280" w:type="dxa"/>
            <w:vAlign w:val="bottom"/>
          </w:tcPr>
          <w:p>
            <w:pPr>
              <w:jc w:val="right"/>
              <w:spacing w:after="0"/>
              <w:rPr>
                <w:sz w:val="20"/>
                <w:szCs w:val="20"/>
                <w:color w:val="auto"/>
              </w:rPr>
            </w:pPr>
            <w:r>
              <w:rPr>
                <w:rFonts w:ascii="Arial" w:cs="Arial" w:eastAsia="Arial" w:hAnsi="Arial"/>
                <w:sz w:val="19"/>
                <w:szCs w:val="19"/>
                <w:color w:val="4B4B4B"/>
              </w:rPr>
              <w:t>(132)</w:t>
            </w:r>
          </w:p>
        </w:tc>
      </w:tr>
      <w:tr>
        <w:trPr>
          <w:trHeight w:val="34"/>
        </w:trPr>
        <w:tc>
          <w:tcPr>
            <w:tcW w:w="7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04"/>
        </w:trPr>
        <w:tc>
          <w:tcPr>
            <w:tcW w:w="7900" w:type="dxa"/>
            <w:vAlign w:val="bottom"/>
            <w:gridSpan w:val="2"/>
          </w:tcPr>
          <w:p>
            <w:pPr>
              <w:ind w:left="20"/>
              <w:spacing w:after="0"/>
              <w:rPr>
                <w:sz w:val="20"/>
                <w:szCs w:val="20"/>
                <w:color w:val="auto"/>
              </w:rPr>
            </w:pPr>
            <w:r>
              <w:rPr>
                <w:rFonts w:ascii="Arial" w:cs="Arial" w:eastAsia="Arial" w:hAnsi="Arial"/>
                <w:sz w:val="19"/>
                <w:szCs w:val="19"/>
                <w:b w:val="1"/>
                <w:bCs w:val="1"/>
                <w:color w:val="4B4B4B"/>
              </w:rPr>
              <w:t>Free cash flow</w:t>
            </w:r>
          </w:p>
        </w:tc>
        <w:tc>
          <w:tcPr>
            <w:tcW w:w="206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b w:val="1"/>
                <w:bCs w:val="1"/>
                <w:color w:val="4B4B4B"/>
              </w:rPr>
              <w:t>$103,012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4B4B4B"/>
              </w:rPr>
              <w:t>$147,786</w:t>
            </w:r>
          </w:p>
        </w:tc>
      </w:tr>
      <w:tr>
        <w:trPr>
          <w:trHeight w:val="21"/>
        </w:trPr>
        <w:tc>
          <w:tcPr>
            <w:tcW w:w="7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39"/>
        </w:trPr>
        <w:tc>
          <w:tcPr>
            <w:tcW w:w="7900" w:type="dxa"/>
            <w:vAlign w:val="bottom"/>
            <w:gridSpan w:val="2"/>
          </w:tcPr>
          <w:p>
            <w:pPr>
              <w:ind w:left="20"/>
              <w:spacing w:after="0"/>
              <w:rPr>
                <w:sz w:val="20"/>
                <w:szCs w:val="20"/>
                <w:color w:val="auto"/>
              </w:rPr>
            </w:pPr>
            <w:r>
              <w:rPr>
                <w:rFonts w:ascii="Arial" w:cs="Arial" w:eastAsia="Arial" w:hAnsi="Arial"/>
                <w:sz w:val="19"/>
                <w:szCs w:val="19"/>
                <w:color w:val="4B4B4B"/>
              </w:rPr>
              <w:t>Revenues</w:t>
            </w:r>
          </w:p>
        </w:tc>
        <w:tc>
          <w:tcPr>
            <w:tcW w:w="2060" w:type="dxa"/>
            <w:vAlign w:val="bottom"/>
          </w:tcPr>
          <w:p>
            <w:pPr>
              <w:jc w:val="right"/>
              <w:ind w:right="386"/>
              <w:spacing w:after="0"/>
              <w:rPr>
                <w:sz w:val="20"/>
                <w:szCs w:val="20"/>
                <w:color w:val="auto"/>
              </w:rPr>
            </w:pPr>
            <w:r>
              <w:rPr>
                <w:rFonts w:ascii="Arial" w:cs="Arial" w:eastAsia="Arial" w:hAnsi="Arial"/>
                <w:sz w:val="19"/>
                <w:szCs w:val="19"/>
                <w:color w:val="auto"/>
              </w:rPr>
              <w:t>$230,743</w:t>
            </w:r>
          </w:p>
        </w:tc>
        <w:tc>
          <w:tcPr>
            <w:tcW w:w="1280" w:type="dxa"/>
            <w:vAlign w:val="bottom"/>
          </w:tcPr>
          <w:p>
            <w:pPr>
              <w:jc w:val="right"/>
              <w:spacing w:after="0"/>
              <w:rPr>
                <w:sz w:val="20"/>
                <w:szCs w:val="20"/>
                <w:color w:val="auto"/>
              </w:rPr>
            </w:pPr>
            <w:r>
              <w:rPr>
                <w:rFonts w:ascii="Arial" w:cs="Arial" w:eastAsia="Arial" w:hAnsi="Arial"/>
                <w:sz w:val="19"/>
                <w:szCs w:val="19"/>
                <w:color w:val="auto"/>
              </w:rPr>
              <w:t>$291,967</w:t>
            </w:r>
          </w:p>
        </w:tc>
      </w:tr>
      <w:tr>
        <w:trPr>
          <w:trHeight w:val="467"/>
        </w:trPr>
        <w:tc>
          <w:tcPr>
            <w:tcW w:w="7900" w:type="dxa"/>
            <w:vAlign w:val="bottom"/>
            <w:gridSpan w:val="2"/>
          </w:tcPr>
          <w:p>
            <w:pPr>
              <w:ind w:left="20"/>
              <w:spacing w:after="0"/>
              <w:rPr>
                <w:sz w:val="20"/>
                <w:szCs w:val="20"/>
                <w:color w:val="auto"/>
              </w:rPr>
            </w:pPr>
            <w:r>
              <w:rPr>
                <w:rFonts w:ascii="Arial" w:cs="Arial" w:eastAsia="Arial" w:hAnsi="Arial"/>
                <w:sz w:val="19"/>
                <w:szCs w:val="19"/>
                <w:b w:val="1"/>
                <w:bCs w:val="1"/>
                <w:color w:val="4B4B4B"/>
              </w:rPr>
              <w:t>Free cash flow margin</w:t>
            </w:r>
          </w:p>
        </w:tc>
        <w:tc>
          <w:tcPr>
            <w:tcW w:w="2060" w:type="dxa"/>
            <w:vAlign w:val="bottom"/>
          </w:tcPr>
          <w:p>
            <w:pPr>
              <w:jc w:val="right"/>
              <w:ind w:right="446"/>
              <w:spacing w:after="0"/>
              <w:rPr>
                <w:sz w:val="20"/>
                <w:szCs w:val="20"/>
                <w:color w:val="auto"/>
              </w:rPr>
            </w:pPr>
            <w:r>
              <w:rPr>
                <w:rFonts w:ascii="Arial" w:cs="Arial" w:eastAsia="Arial" w:hAnsi="Arial"/>
                <w:sz w:val="19"/>
                <w:szCs w:val="19"/>
                <w:b w:val="1"/>
                <w:bCs w:val="1"/>
                <w:color w:val="4B4B4B"/>
              </w:rPr>
              <w:t>44.6%</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4B4B4B"/>
              </w:rPr>
              <w:t>50.6%</w:t>
            </w:r>
          </w:p>
        </w:tc>
      </w:tr>
      <w:tr>
        <w:trPr>
          <w:trHeight w:val="20"/>
        </w:trPr>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503174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3174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-929640</wp:posOffset>
            </wp:positionV>
            <wp:extent cx="5031740"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3174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-1134745</wp:posOffset>
            </wp:positionV>
            <wp:extent cx="5031740" cy="33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3174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-1340485</wp:posOffset>
            </wp:positionV>
            <wp:extent cx="5031740"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3174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-243840</wp:posOffset>
            </wp:positionV>
            <wp:extent cx="4868545" cy="33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685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00" w:firstLine="8"/>
        <w:spacing w:after="0" w:line="300" w:lineRule="auto"/>
        <w:tabs>
          <w:tab w:leader="none" w:pos="229" w:val="left"/>
        </w:tabs>
        <w:numPr>
          <w:ilvl w:val="0"/>
          <w:numId w:val="10"/>
        </w:numPr>
        <w:rPr>
          <w:rFonts w:ascii="Arial" w:cs="Arial" w:eastAsia="Arial" w:hAnsi="Arial"/>
          <w:sz w:val="15"/>
          <w:szCs w:val="15"/>
          <w:color w:val="AFAFAF"/>
        </w:rPr>
      </w:pPr>
      <w:r>
        <w:rPr>
          <w:rFonts w:ascii="Arial" w:cs="Arial" w:eastAsia="Arial" w:hAnsi="Arial"/>
          <w:sz w:val="15"/>
          <w:szCs w:val="15"/>
          <w:color w:val="AFAFAF"/>
        </w:rPr>
        <w:t>In addition to stock-based compensation expense of $31.0 million and $34.6 million for the three months ended March 31, 2025 and 2026, respectively, this includes costs incurred related to taxes paid on equity transactions.</w:t>
      </w:r>
    </w:p>
    <w:p>
      <w:pPr>
        <w:ind w:left="240" w:hanging="232"/>
        <w:spacing w:after="0"/>
        <w:tabs>
          <w:tab w:leader="none" w:pos="240" w:val="left"/>
        </w:tabs>
        <w:numPr>
          <w:ilvl w:val="0"/>
          <w:numId w:val="10"/>
        </w:numPr>
        <w:rPr>
          <w:rFonts w:ascii="Arial" w:cs="Arial" w:eastAsia="Arial" w:hAnsi="Arial"/>
          <w:sz w:val="15"/>
          <w:szCs w:val="15"/>
          <w:color w:val="AFAFAF"/>
        </w:rPr>
      </w:pPr>
      <w:r>
        <w:rPr>
          <w:rFonts w:ascii="Arial" w:cs="Arial" w:eastAsia="Arial" w:hAnsi="Arial"/>
          <w:sz w:val="15"/>
          <w:szCs w:val="15"/>
          <w:color w:val="AFAFAF"/>
        </w:rPr>
        <w:t>Represents costs incurred related to the earn-out payments on acquisitions.</w:t>
      </w:r>
    </w:p>
    <w:p>
      <w:pPr>
        <w:sectPr>
          <w:pgSz w:w="11900" w:h="16838" w:orient="portrait"/>
          <w:cols w:equalWidth="0" w:num="1">
            <w:col w:w="11240"/>
          </w:cols>
          <w:pgMar w:left="320" w:top="12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540" w:val="left"/>
        </w:tabs>
        <w:rPr>
          <w:sz w:val="20"/>
          <w:szCs w:val="20"/>
          <w:color w:val="auto"/>
        </w:rPr>
      </w:pPr>
      <w:r>
        <w:rPr>
          <w:rFonts w:ascii="Arial" w:cs="Arial" w:eastAsia="Arial" w:hAnsi="Arial"/>
          <w:sz w:val="15"/>
          <w:szCs w:val="15"/>
          <w:color w:val="AFAFAF"/>
        </w:rPr>
        <w:t>DUOLINGO Q1 / FY 2026</w:t>
      </w:r>
      <w:r>
        <w:rPr>
          <w:sz w:val="20"/>
          <w:szCs w:val="20"/>
          <w:color w:val="auto"/>
        </w:rPr>
        <w:tab/>
      </w:r>
      <w:r>
        <w:rPr>
          <w:rFonts w:ascii="Arial" w:cs="Arial" w:eastAsia="Arial" w:hAnsi="Arial"/>
          <w:sz w:val="15"/>
          <w:szCs w:val="15"/>
          <w:color w:val="AFAFAF"/>
        </w:rPr>
        <w:t>23</w:t>
      </w:r>
    </w:p>
    <w:p>
      <w:pPr>
        <w:sectPr>
          <w:pgSz w:w="11900" w:h="16838" w:orient="portrait"/>
          <w:cols w:equalWidth="0" w:num="1">
            <w:col w:w="11240"/>
          </w:cols>
          <w:pgMar w:left="320" w:top="128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23"/>
          <w:szCs w:val="23"/>
          <w:b w:val="1"/>
          <w:bCs w:val="1"/>
          <w:color w:val="4B4B4B"/>
        </w:rPr>
        <w:t>Contacts</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b w:val="1"/>
          <w:bCs w:val="1"/>
          <w:color w:val="4B4B4B"/>
        </w:rPr>
        <w:t>Investor Relations: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4B4B4B"/>
        </w:rPr>
        <w:t>Deborah Belevan, VP of Investor Relations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color w:val="1CB0F6"/>
        </w:rPr>
        <w:t>ir@duolingo.com</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4B4B4B"/>
        </w:rPr>
        <w:t>Press: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4B4B4B"/>
        </w:rPr>
        <w:t>Monica Earle, Director of Public Relations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color w:val="1CB0F6"/>
        </w:rPr>
        <w:t>press@duolingo.com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60" w:type="dxa"/>
            <w:vAlign w:val="bottom"/>
          </w:tcPr>
          <w:p>
            <w:pPr>
              <w:spacing w:after="0"/>
              <w:rPr>
                <w:sz w:val="20"/>
                <w:szCs w:val="20"/>
                <w:color w:val="auto"/>
              </w:rPr>
            </w:pPr>
            <w:r>
              <w:rPr>
                <w:rFonts w:ascii="Arial" w:cs="Arial" w:eastAsia="Arial" w:hAnsi="Arial"/>
                <w:sz w:val="15"/>
                <w:szCs w:val="15"/>
                <w:color w:val="AFAFAF"/>
              </w:rPr>
              <w:t>DUOLINGO Q1 / FY 2026</w:t>
            </w:r>
          </w:p>
        </w:tc>
        <w:tc>
          <w:tcPr>
            <w:tcW w:w="1080" w:type="dxa"/>
            <w:vAlign w:val="bottom"/>
          </w:tcPr>
          <w:p>
            <w:pPr>
              <w:jc w:val="right"/>
              <w:spacing w:after="0"/>
              <w:rPr>
                <w:sz w:val="20"/>
                <w:szCs w:val="20"/>
                <w:color w:val="auto"/>
              </w:rPr>
            </w:pPr>
            <w:r>
              <w:rPr>
                <w:rFonts w:ascii="Arial" w:cs="Arial" w:eastAsia="Arial" w:hAnsi="Arial"/>
                <w:sz w:val="15"/>
                <w:szCs w:val="15"/>
                <w:color w:val="AFAFAF"/>
              </w:rPr>
              <w:t>24</w:t>
            </w:r>
          </w:p>
        </w:tc>
      </w:tr>
    </w:tbl>
    <w:p>
      <w:pPr>
        <w:sectPr>
          <w:pgSz w:w="11900" w:h="16838" w:orient="portrait"/>
          <w:cols w:equalWidth="0" w:num="1">
            <w:col w:w="10139"/>
          </w:cols>
          <w:pgMar w:left="320" w:top="1281" w:right="1440"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477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54775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00"/>
    </w:lvl>
  </w:abstractNum>
  <w:abstractNum w:abstractNumId="6">
    <w:nsid w:val="515F007C"/>
    <w:multiLevelType w:val="hybridMultilevel"/>
    <w:lvl w:ilvl="0">
      <w:lvlJc w:val="left"/>
      <w:lvlText w:val="(%1)"/>
      <w:numFmt w:val="decimal"/>
      <w:start w:val="221"/>
    </w:lvl>
  </w:abstractNum>
  <w:abstractNum w:abstractNumId="7">
    <w:nsid w:val="5BD062C2"/>
    <w:multiLevelType w:val="hybridMultilevel"/>
    <w:lvl w:ilvl="0">
      <w:lvlJc w:val="left"/>
      <w:lvlText w:val="(%1)"/>
      <w:numFmt w:val="decimal"/>
      <w:start w:val="402"/>
    </w:lvl>
  </w:abstractNum>
  <w:abstractNum w:abstractNumId="8">
    <w:nsid w:val="12200854"/>
    <w:multiLevelType w:val="hybridMultilevel"/>
    <w:lvl w:ilvl="0">
      <w:lvlJc w:val="left"/>
      <w:lvlText w:val="(%1)"/>
      <w:numFmt w:val="decimal"/>
      <w:start w:val="100"/>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2026-05-04T15:11:26Z</dcterms:created>
  <dcterms:modified xsi:type="dcterms:W3CDTF">2026-05-04T15:11:26Z</dcterms:modified>
</cp:coreProperties>
</file>