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6993890" cy="69526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6952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79" w:orient="portrait"/>
          <w:cols w:equalWidth="0" w:num="2">
            <w:col w:w="2320" w:space="260"/>
            <w:col w:w="8500"/>
          </w:cols>
          <w:pgMar w:left="460" w:top="217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Meese Robert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DUOLINGO,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5900 PENN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Duolingo,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DUOL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Business Officer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79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Form filed by One Reporting 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PITTSBURGH   PA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15206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03/13/2026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4,375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8.15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127,011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03/13/2026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5,625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14.42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132,636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03/13/2026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22.91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152,636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1,800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1,800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80" w:type="dxa"/>
            <w:vAlign w:val="bottom"/>
            <w:gridSpan w:val="13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4,375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8.15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03/13/2026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4,375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09/25/2029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5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5,625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14.42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03/13/2026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5,625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03/10/2030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5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22.91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03/13/2026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left="2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09/23/2030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5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-2984500</wp:posOffset>
            </wp:positionV>
            <wp:extent cx="29210" cy="29895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989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by Eliot Meese Qualified Minor's Trust.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by Isaac Meese Qualified Minor's Trust.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subject to the option are fully vested and exercisable.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Stephen Chen, as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03/16/2026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Robert Meese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79" w:orient="portrait"/>
          <w:cols w:equalWidth="0" w:num="1">
            <w:col w:w="11080"/>
          </w:cols>
          <w:pgMar w:left="460" w:top="217" w:right="359" w:bottom="0" w:gutter="0" w:footer="0" w:header="0"/>
          <w:type w:val="continuous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69668" TargetMode="External"/><Relationship Id="rId14" Type="http://schemas.openxmlformats.org/officeDocument/2006/relationships/hyperlink" Target="http://www.sec.gov/cgi-bin/browse-edgar?action=getcompany&amp;CIK=00015620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2026-03-16T15:31:57Z</dcterms:created>
  <dcterms:modified xsi:type="dcterms:W3CDTF">2026-03-16T15:31:57Z</dcterms:modified>
</cp:coreProperties>
</file>