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media/image3.png" ContentType="image/png"/>
  <Override PartName="/word/media/image4.png" ContentType="image/pn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UNITED STATES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8-K/A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Securities Exchange Act of 1934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February 26,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Duolingo,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35" w:type="dxa"/>
        <w:jc w:val="left"/>
        <w:tblInd w:w="0" w:type="dxa"/>
        <w:tblLayout w:type="fixed"/>
        <w:tblCellMar>
          <w:top w:w="28" w:type="dxa"/>
          <w:left w:w="28" w:type="dxa"/>
          <w:bottom w:w="28" w:type="dxa"/>
          <w:right w:w="28" w:type="dxa"/>
        </w:tblCellMar>
      </w:tblPr>
      <w:tblGrid>
        <w:gridCol w:w="929"/>
        <w:gridCol w:w="815"/>
        <w:gridCol w:w="821"/>
        <w:gridCol w:w="449"/>
        <w:gridCol w:w="449"/>
        <w:gridCol w:w="453"/>
        <w:gridCol w:w="648"/>
        <w:gridCol w:w="648"/>
        <w:gridCol w:w="92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001-40653</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45-3055872</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(State or other jurisdiction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of incorporation)</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File Number)</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(IRS Employer</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Identification Number)</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5900 Penn Avenue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Pittsburgh, Pennsylvania 15206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(Address of principal executive offices) (Zip Code)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(412) 567-6602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w:t>
      </w:r>
    </w:p>
    <w:tbl>
      <w:tblPr>
        <w:tblW w:w="85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5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773"/>
        <w:gridCol w:w="1558"/>
        <w:gridCol w:w="1575"/>
        <w:gridCol w:w="348"/>
        <w:gridCol w:w="348"/>
        <w:gridCol w:w="350"/>
        <w:gridCol w:w="1242"/>
        <w:gridCol w:w="1242"/>
        <w:gridCol w:w="1769"/>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Trading</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Symbol(s)</w:t>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Class A common stock, $0.0001 par value per share</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DUOL</w:t>
            </w:r>
          </w:p>
        </w:tc>
        <w:tc>
          <w:tcPr>
            <w:tcW w:w="4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The Nasdaq Stock Market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EXPLANATORY NOTE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26, 2026, Duolingo, Inc. (the “Company”) furnished a Current Report on Form 8-K (the “Original Form 8-K”) appending as Exhibits 99.1 and 99.2, respectively, the Company’s press release (the</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Original Press Release) and shareholder letter (the “Original Shareholder Letter”), announcing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financial results of the Company for the three and twelve months ended December 31, 2025.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amendment to the Original Form 8-K is being furnished solely to correct a typographical error on page 4 of the Original Shareholder Letter, regarding the Company’s net income for the year ended December 31,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2025, which was elsewhere correctly stated as $414.1 million. Except for the language on page 4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Original Shareholder Letter regarding the Company’s net income for the year ended December 31,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information set forth in the Original Form 8-K, the Original Press Release and original Shareholder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Letter remains unchanged.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26, 2026, the Company issued the Original Shareholder Letter. A copy of the Original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 Letter, as corrected, is attached hereto as Exhibit 99.1 and incorporated herein by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reference.</w:t>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 Exhibits. </w:t>
      </w:r>
    </w:p>
    <w:tbl>
      <w:tblPr>
        <w:tblW w:w="8262"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031"/>
        <w:gridCol w:w="2031"/>
        <w:gridCol w:w="288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fy25duolingo12-31x25shar.htm">
              <w:r>
                <w:rPr>
                  <w:rStyle w:val="InternetLink"/>
                  <w:rFonts w:ascii="Arial;sans-serif" w:hAnsi="Arial;sans-serif"/>
                  <w:b w:val="false"/>
                  <w:color w:val="0000FF"/>
                  <w:sz w:val="20"/>
                  <w:u w:val="single"/>
                </w:rPr>
                <w:t>Shareholder Letter dated February 26, 2026, as corrected</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7993" w:type="dxa"/>
        <w:jc w:val="left"/>
        <w:tblInd w:w="0" w:type="dxa"/>
        <w:tblLayout w:type="fixed"/>
        <w:tblCellMar>
          <w:top w:w="28" w:type="dxa"/>
          <w:left w:w="28" w:type="dxa"/>
          <w:bottom w:w="28" w:type="dxa"/>
          <w:right w:w="28" w:type="dxa"/>
        </w:tblCellMar>
      </w:tblPr>
      <w:tblGrid>
        <w:gridCol w:w="803"/>
        <w:gridCol w:w="704"/>
        <w:gridCol w:w="712"/>
        <w:gridCol w:w="134"/>
        <w:gridCol w:w="134"/>
        <w:gridCol w:w="136"/>
        <w:gridCol w:w="1572"/>
        <w:gridCol w:w="1572"/>
        <w:gridCol w:w="2226"/>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27,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Gillian Munson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Gillian Munson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Feather Bold;serif" w:hAnsi="Feather Bold;serif"/>
          <w:b/>
          <w:color w:val="FFFFFF"/>
          <w:sz w:val="136"/>
          <w:shd w:fill="58CC02" w:val="clear"/>
        </w:rPr>
      </w:pPr>
      <w:r>
        <w:rPr>
          <w:rFonts w:ascii="Feather Bold;serif" w:hAnsi="Feather Bold;serif"/>
          <w:b/>
          <w:color w:val="FFFFFF"/>
          <w:sz w:val="136"/>
          <w:shd w:fill="58CC02" w:val="clear"/>
        </w:rPr>
        <w:t xml:space="preserve">shareholder </w:t>
      </w:r>
    </w:p>
    <w:p>
      <w:pPr>
        <w:pStyle w:val="TextBody"/>
        <w:bidi w:val="0"/>
        <w:spacing w:lineRule="auto" w:line="264" w:before="0" w:after="0"/>
        <w:jc w:val="left"/>
        <w:rPr>
          <w:rFonts w:ascii="Feather Bold;serif" w:hAnsi="Feather Bold;serif"/>
          <w:b/>
          <w:color w:val="FFFFFF"/>
          <w:sz w:val="136"/>
          <w:shd w:fill="58CC02" w:val="clear"/>
        </w:rPr>
      </w:pPr>
      <w:r>
        <w:rPr>
          <w:rFonts w:ascii="Feather Bold;serif" w:hAnsi="Feather Bold;serif"/>
          <w:b/>
          <w:color w:val="FFFFFF"/>
          <w:sz w:val="136"/>
          <w:shd w:fill="58CC02" w:val="clear"/>
        </w:rPr>
        <w:t>letter</w:t>
      </w:r>
    </w:p>
    <w:p>
      <w:pPr>
        <w:pStyle w:val="TextBody"/>
        <w:bidi w:val="0"/>
        <w:spacing w:lineRule="auto" w:line="264" w:before="0" w:after="0"/>
        <w:jc w:val="left"/>
        <w:rPr>
          <w:rFonts w:ascii="Feather Bold;serif" w:hAnsi="Feather Bold;serif"/>
          <w:b/>
          <w:color w:val="A5ED6E"/>
          <w:sz w:val="120"/>
          <w:shd w:fill="58CC02" w:val="clear"/>
        </w:rPr>
      </w:pPr>
      <w:r>
        <w:rPr>
          <w:rFonts w:ascii="Feather Bold;serif" w:hAnsi="Feather Bold;serif"/>
          <w:b/>
          <w:color w:val="A5ED6E"/>
          <w:sz w:val="120"/>
          <w:shd w:fill="58CC02" w:val="clear"/>
        </w:rPr>
        <w:t>Q4 / FY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746" w:type="dxa"/>
        <w:jc w:val="left"/>
        <w:tblInd w:w="0" w:type="dxa"/>
        <w:tblLayout w:type="fixed"/>
        <w:tblCellMar>
          <w:top w:w="28" w:type="dxa"/>
          <w:left w:w="28" w:type="dxa"/>
          <w:bottom w:w="28" w:type="dxa"/>
          <w:right w:w="28" w:type="dxa"/>
        </w:tblCellMar>
      </w:tblPr>
      <w:tblGrid>
        <w:gridCol w:w="1200"/>
        <w:gridCol w:w="1055"/>
        <w:gridCol w:w="1491"/>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4292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our mission is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to develop the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best education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in the world </w:t>
      </w:r>
    </w:p>
    <w:p>
      <w:pPr>
        <w:pStyle w:val="TextBody"/>
        <w:bidi w:val="0"/>
        <w:spacing w:lineRule="auto" w:line="264" w:before="0" w:after="0"/>
        <w:jc w:val="left"/>
        <w:rPr>
          <w:shd w:fill="FFFFFF" w:val="clear"/>
        </w:rPr>
      </w:pPr>
      <w:r>
        <w:rPr>
          <w:rFonts w:ascii="Feather Bold;serif" w:hAnsi="Feather Bold;serif"/>
          <w:b/>
          <w:color w:val="58CC02"/>
          <w:sz w:val="120"/>
          <w:shd w:fill="FFFFFF" w:val="clear"/>
        </w:rPr>
        <w:t>and make it universally available.</w:t>
      </w:r>
      <w:r>
        <w:rPr>
          <w:color w:val="000000"/>
          <w:shd w:fill="FFFFFF" w:val="clear"/>
        </w:rPr>
        <w:t xml:space="preserve">      </w:t>
      </w:r>
    </w:p>
    <w:tbl>
      <w:tblPr>
        <w:tblW w:w="5138" w:type="dxa"/>
        <w:jc w:val="left"/>
        <w:tblInd w:w="0" w:type="dxa"/>
        <w:tblLayout w:type="fixed"/>
        <w:tblCellMar>
          <w:top w:w="28" w:type="dxa"/>
          <w:left w:w="28" w:type="dxa"/>
          <w:bottom w:w="28" w:type="dxa"/>
          <w:right w:w="28" w:type="dxa"/>
        </w:tblCellMar>
      </w:tblPr>
      <w:tblGrid>
        <w:gridCol w:w="124"/>
        <w:gridCol w:w="109"/>
        <w:gridCol w:w="109"/>
        <w:gridCol w:w="1405"/>
        <w:gridCol w:w="1405"/>
        <w:gridCol w:w="19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962275" cy="2686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962275" cy="26860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25730"/>
                <wp:effectExtent l="0" t="0" r="0" b="0"/>
                <wp:wrapNone/>
                <wp:docPr id="7" name="Frame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36"/>
        </w:rPr>
      </w:pPr>
      <w:r>
        <w:rPr>
          <w:rFonts w:ascii="DIN Next Rounded LT Pro;sans-serif" w:hAnsi="DIN Next Rounded LT Pro;sans-serif"/>
          <w:b/>
          <w:color w:val="4B4B4B"/>
          <w:sz w:val="36"/>
        </w:rPr>
        <w:t>Q4 and FY25 Highlights</w:t>
      </w:r>
    </w:p>
    <w:p>
      <w:pPr>
        <w:pStyle w:val="TextBody"/>
        <w:bidi w:val="0"/>
        <w:spacing w:before="0" w:after="0"/>
        <w:jc w:val="left"/>
        <w:rPr/>
      </w:pPr>
      <w:r>
        <w:rPr/>
      </w:r>
    </w:p>
    <w:tbl>
      <w:tblPr>
        <w:tblW w:w="5369" w:type="dxa"/>
        <w:jc w:val="left"/>
        <w:tblInd w:w="0" w:type="dxa"/>
        <w:tblLayout w:type="fixed"/>
        <w:tblCellMar>
          <w:top w:w="28" w:type="dxa"/>
          <w:left w:w="28" w:type="dxa"/>
          <w:bottom w:w="28" w:type="dxa"/>
          <w:right w:w="28" w:type="dxa"/>
        </w:tblCellMar>
      </w:tblPr>
      <w:tblGrid>
        <w:gridCol w:w="821"/>
        <w:gridCol w:w="720"/>
        <w:gridCol w:w="724"/>
        <w:gridCol w:w="454"/>
        <w:gridCol w:w="454"/>
        <w:gridCol w:w="458"/>
        <w:gridCol w:w="109"/>
        <w:gridCol w:w="109"/>
        <w:gridCol w:w="109"/>
        <w:gridCol w:w="413"/>
        <w:gridCol w:w="413"/>
        <w:gridCol w:w="585"/>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0" w:space="0" w:color="E5E5E5"/>
              <w:left w:val="single" w:sz="10" w:space="0" w:color="E5E5E5"/>
            </w:tcBorders>
            <w:shd w:fill="F7F7F7" w:val="clear"/>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User Metrics</w:t>
            </w:r>
          </w:p>
        </w:tc>
        <w:tc>
          <w:tcPr>
            <w:tcW w:w="1366" w:type="dxa"/>
            <w:gridSpan w:val="3"/>
            <w:tcBorders>
              <w:top w:val="single" w:sz="10" w:space="0" w:color="E5E5E5"/>
            </w:tcBorders>
            <w:shd w:fill="F7F7F7" w:val="clear"/>
            <w:tcMar>
              <w:top w:w="3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Q4 2024</w:t>
            </w:r>
          </w:p>
        </w:tc>
        <w:tc>
          <w:tcPr>
            <w:tcW w:w="327" w:type="dxa"/>
            <w:gridSpan w:val="3"/>
            <w:tcBorders>
              <w:top w:val="single" w:sz="10" w:space="0" w:color="E5E5E5"/>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0" w:space="0" w:color="E5E5E5"/>
              <w:right w:val="single" w:sz="10" w:space="0" w:color="E5E5E5"/>
            </w:tcBorders>
            <w:shd w:fill="F7F7F7" w:val="clear"/>
            <w:tcMar>
              <w:top w:w="30" w:type="dxa"/>
              <w:left w:w="0" w:type="dxa"/>
              <w:bottom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Q4 2025</w:t>
            </w:r>
          </w:p>
        </w:tc>
      </w:tr>
      <w:tr>
        <w:trPr/>
        <w:tc>
          <w:tcPr>
            <w:tcW w:w="2265"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Daily Active Users</w:t>
            </w:r>
          </w:p>
        </w:tc>
        <w:tc>
          <w:tcPr>
            <w:tcW w:w="13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40.5M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52.7M</w:t>
            </w:r>
          </w:p>
        </w:tc>
      </w:tr>
      <w:tr>
        <w:trPr/>
        <w:tc>
          <w:tcPr>
            <w:tcW w:w="2265"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right w:val="single" w:sz="10" w:space="0" w:color="E5E5E5"/>
            </w:tcBorders>
            <w:tcMar>
              <w:top w:w="0" w:type="dxa"/>
              <w:left w:w="0" w:type="dxa"/>
              <w:bottom w:w="0" w:type="dxa"/>
            </w:tcMar>
            <w:vAlign w:val="center"/>
          </w:tcPr>
          <w:p>
            <w:pPr>
              <w:pStyle w:val="TableContents"/>
              <w:bidi w:val="0"/>
              <w:spacing w:lineRule="auto" w:line="336"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30% YoY</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Paid Subscribers</w:t>
            </w:r>
          </w:p>
        </w:tc>
        <w:tc>
          <w:tcPr>
            <w:tcW w:w="13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9.5M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12.2M</w:t>
            </w:r>
          </w:p>
        </w:tc>
      </w:tr>
      <w:tr>
        <w:trPr/>
        <w:tc>
          <w:tcPr>
            <w:tcW w:w="2265" w:type="dxa"/>
            <w:gridSpan w:val="3"/>
            <w:tcBorders>
              <w:left w:val="single" w:sz="10" w:space="0" w:color="E5E5E5"/>
              <w:bottom w:val="single" w:sz="10" w:space="0" w:color="E5E5E5"/>
            </w:tcBorders>
            <w:tcMar>
              <w:top w:w="0" w:type="dxa"/>
              <w:left w:w="260" w:type="dxa"/>
              <w:bottom w:w="30" w:type="dxa"/>
              <w:right w:w="0" w:type="dxa"/>
            </w:tcMar>
            <w:vAlign w:val="center"/>
          </w:tcPr>
          <w:p>
            <w:pPr>
              <w:pStyle w:val="TableContents"/>
              <w:bidi w:val="0"/>
              <w:spacing w:lineRule="auto" w:line="288" w:before="0" w:after="283"/>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at period end</w:t>
            </w:r>
          </w:p>
        </w:tc>
        <w:tc>
          <w:tcPr>
            <w:tcW w:w="1366"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10" w:space="0" w:color="E5E5E5"/>
              <w:right w:val="single" w:sz="10" w:space="0" w:color="E5E5E5"/>
            </w:tcBorders>
            <w:tcMar>
              <w:top w:w="0" w:type="dxa"/>
              <w:left w:w="0" w:type="dxa"/>
              <w:bottom w:w="3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28% YoY</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733" w:type="dxa"/>
        <w:jc w:val="left"/>
        <w:tblInd w:w="0" w:type="dxa"/>
        <w:tblLayout w:type="fixed"/>
        <w:tblCellMar>
          <w:top w:w="28" w:type="dxa"/>
          <w:left w:w="28" w:type="dxa"/>
          <w:bottom w:w="28" w:type="dxa"/>
          <w:right w:w="28" w:type="dxa"/>
        </w:tblCellMar>
      </w:tblPr>
      <w:tblGrid>
        <w:gridCol w:w="2059"/>
        <w:gridCol w:w="1810"/>
        <w:gridCol w:w="1815"/>
        <w:gridCol w:w="554"/>
        <w:gridCol w:w="554"/>
        <w:gridCol w:w="558"/>
        <w:gridCol w:w="109"/>
        <w:gridCol w:w="109"/>
        <w:gridCol w:w="109"/>
        <w:gridCol w:w="600"/>
        <w:gridCol w:w="600"/>
        <w:gridCol w:w="856"/>
      </w:tblGrid>
      <w:tr>
        <w:trPr/>
        <w:tc>
          <w:tcPr>
            <w:tcW w:w="205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10" w:space="0" w:color="E5E5E5"/>
              <w:left w:val="single" w:sz="12" w:space="0" w:color="E5E5E5"/>
            </w:tcBorders>
            <w:shd w:fill="F7F7F7" w:val="clear"/>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Financial Metrics</w:t>
            </w:r>
          </w:p>
        </w:tc>
        <w:tc>
          <w:tcPr>
            <w:tcW w:w="1666" w:type="dxa"/>
            <w:gridSpan w:val="3"/>
            <w:tcBorders>
              <w:top w:val="single" w:sz="10" w:space="0" w:color="E5E5E5"/>
            </w:tcBorders>
            <w:shd w:fill="F7F7F7" w:val="clear"/>
            <w:tcMar>
              <w:top w:w="30" w:type="dxa"/>
              <w:left w:w="0" w:type="dxa"/>
              <w:bottom w:w="0" w:type="dxa"/>
              <w:right w:w="0" w:type="dxa"/>
            </w:tcMar>
            <w:vAlign w:val="center"/>
          </w:tcPr>
          <w:p>
            <w:pPr>
              <w:pStyle w:val="TableContents"/>
              <w:bidi w:val="0"/>
              <w:spacing w:lineRule="auto" w:line="324" w:before="0" w:after="0"/>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Q4 2025</w:t>
            </w:r>
          </w:p>
        </w:tc>
        <w:tc>
          <w:tcPr>
            <w:tcW w:w="327" w:type="dxa"/>
            <w:gridSpan w:val="3"/>
            <w:tcBorders>
              <w:top w:val="single" w:sz="10" w:space="0" w:color="E5E5E5"/>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shd w:fill="F7F7F7" w:val="clear"/>
            <w:tcMar>
              <w:top w:w="30" w:type="dxa"/>
              <w:left w:w="0" w:type="dxa"/>
              <w:bottom w:w="0" w:type="dxa"/>
            </w:tcMar>
            <w:vAlign w:val="center"/>
          </w:tcPr>
          <w:p>
            <w:pPr>
              <w:pStyle w:val="TableContents"/>
              <w:bidi w:val="0"/>
              <w:spacing w:lineRule="auto" w:line="324" w:before="0" w:after="0"/>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FY 2025</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Revenue</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$282.9M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$1,037.6M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35%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39% YoY</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Total Bookings</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$336.8M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$1,158.4M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24%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33% YoY</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Net Income (1)</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$42.0M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$414.1M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Adjusted EBITDA</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$84.3M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$305.9M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29.8%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29.5% margin</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Net cash provided by operating activities</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$107.3M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$387.8M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Free cash flow (2)</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$93.7M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$360.4M</w:t>
            </w:r>
          </w:p>
        </w:tc>
      </w:tr>
      <w:tr>
        <w:trPr/>
        <w:tc>
          <w:tcPr>
            <w:tcW w:w="5684" w:type="dxa"/>
            <w:gridSpan w:val="3"/>
            <w:tcBorders>
              <w:left w:val="single" w:sz="10" w:space="0" w:color="E5E5E5"/>
              <w:bottom w:val="single" w:sz="10" w:space="0" w:color="E5E5E5"/>
            </w:tcBorders>
            <w:tcMar>
              <w:top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bottom w:val="single" w:sz="10" w:space="0" w:color="E5E5E5"/>
              <w:right w:val="single" w:sz="10" w:space="0" w:color="E5E5E5"/>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The prior period has been recast to conform to current period presentation.     See the definition of Free Cash Flow below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5730"/>
                <wp:effectExtent l="0" t="0" r="0" b="0"/>
                <wp:wrapNone/>
                <wp:docPr id="8" name="Frame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3</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36"/>
        </w:rPr>
      </w:pPr>
      <w:r>
        <w:rPr>
          <w:rFonts w:ascii="DIN Next Rounded LT Pro;sans-serif" w:hAnsi="DIN Next Rounded LT Pro;sans-serif"/>
          <w:b/>
          <w:color w:val="4B4B4B"/>
          <w:sz w:val="36"/>
        </w:rPr>
        <w:t xml:space="preserve">Dear shareholders,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 2025, we surpassed 50 million daily active users (DAUs), and generated over $1 billion in bookings, over $400 million in net income, and over $300 million in Adjusted EBITDA. And this follows several years of strong financial results that I’ve been proud to deliver alongside our talented team.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What we’ve accomplished so far is impressive, but I am more convinced than ever that the accelerating advances in AI will fundamentally change the way people learn. This creates an enormous opportunity for us: we are the most popular education app in the world and we intend to lead this shift. By leaning into this moment, we believe we can redefine the future of learning while generating exceptional value for our shareholders over the long term.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In 2026, we’re adopting a strategy that will set us up to grow users more rapidly and build a larger, category-defining business, but that will lower our financial results in the short term.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While our DAU growth over the past several years has been nothing short of phenomenal (from Q2 2022 to Q2 2025, we did not have a single quarter with year-over-year DAU growth below 40%), it decelerated throughout 2025, and we expect 2026 DAU growth to be about 20%. Some of this deceleration is natural as we scale; and some of it, we believe, is a function of our increased focus on monetization in recent years. Given the opportunity to teach billions of people and the unique time we live in, we are now making a more deliberate shift in how we operate the business to prioritize teaching better and user growth.</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Here’s our plan:</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Teach languages better</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Video Call: </w:t>
      </w:r>
      <w:r>
        <w:rPr>
          <w:rFonts w:ascii="DIN Next Rounded LT Pro;sans-serif" w:hAnsi="DIN Next Rounded LT Pro;sans-serif"/>
          <w:b w:val="false"/>
          <w:color w:val="4B4B4B"/>
          <w:sz w:val="21"/>
        </w:rPr>
        <w:t>We’ve been at the forefront of integrating AI into our product and have seen significant success with Duolingo Max and its core feature, Video Call with Lily. Outside of the frontier model companies, we have created one of the most commercially successful consumer AI products. And yet, to lead the transformation we see possible, we will move Video Call to be part of the Super Duolingo tier and experiment with changes to our top subscription tier, Duolingo Max. This will give access to a critical learning feature, conversation practice, to about ten times as many learners.</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More AI-powered speaking:</w:t>
      </w:r>
      <w:r>
        <w:rPr>
          <w:color w:val="4B4B4B"/>
        </w:rPr>
        <w:t xml:space="preserve"> </w:t>
      </w:r>
      <w:r>
        <w:rPr>
          <w:rFonts w:ascii="DIN Next Rounded LT Pro;sans-serif" w:hAnsi="DIN Next Rounded LT Pro;sans-serif"/>
          <w:b w:val="false"/>
          <w:color w:val="4B4B4B"/>
          <w:sz w:val="21"/>
        </w:rPr>
        <w:t>In addition to Video Call, we’re going to provide significantly more speaking practice to all learners, free and paid, by allowing them to answer most exercises with voice instead of tapping or typing. We will also introduce a new free AI-powered lesson type called Speaking Adventures. More speaking practice is particularly important for English learners.</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advanced content: </w:t>
      </w:r>
      <w:r>
        <w:rPr>
          <w:rFonts w:ascii="DIN Next Rounded LT Pro;sans-serif" w:hAnsi="DIN Next Rounded LT Pro;sans-serif"/>
          <w:b w:val="false"/>
          <w:color w:val="4B4B4B"/>
          <w:sz w:val="21"/>
        </w:rPr>
        <w:t>We will continue to invest in advanced content so that all our courses teaching the 9 most learned languages (English, Spanish, French, German, Italian, Japanese, Korean, Chinese, and Portuguese) have content up to Duolingo Score 129 (B2 in the CEFR scale). This is a major milestone because 129 is the level at which learners can get a knowledge job in that language.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5730"/>
                <wp:effectExtent l="0" t="0" r="0" b="0"/>
                <wp:wrapNone/>
                <wp:docPr id="9" name="Frame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4</w:t>
                      </w:r>
                    </w:p>
                  </w:txbxContent>
                </v:textbox>
                <w10:wrap type="none"/>
              </v:rect>
            </w:pict>
          </mc:Fallback>
        </mc:AlternateContent>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Reinvest in our free user value proposition</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Less friction: </w:t>
      </w:r>
      <w:r>
        <w:rPr>
          <w:rFonts w:ascii="DIN Next Rounded LT Pro;sans-serif" w:hAnsi="DIN Next Rounded LT Pro;sans-serif"/>
          <w:b w:val="false"/>
          <w:color w:val="4B4B4B"/>
          <w:sz w:val="21"/>
        </w:rPr>
        <w:t>Up until now, the main way we’ve increased bookings per user is by adding small amounts of friction to encourage more people to subscribe, for example by increasing ad load or subscription upsells. Unfortunately, we believe that this extra friction is part of the reason our DAU growth has slowed, so we’ve decided to prioritize user growth over monetization. To quantify this tradeoff, we estimate we’re investing more than $50M of foregone bookings from friction (or about 5 points of year-over-year bookings growth) into the free user experience to drive word of mouth and user growth.</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word of mouth: </w:t>
      </w:r>
      <w:r>
        <w:rPr>
          <w:rFonts w:ascii="DIN Next Rounded LT Pro;sans-serif" w:hAnsi="DIN Next Rounded LT Pro;sans-serif"/>
          <w:b w:val="false"/>
          <w:color w:val="4B4B4B"/>
          <w:sz w:val="21"/>
        </w:rPr>
        <w:t>Word of mouth has always been our primary growth driver. So we’ve repurposed part of the monetization team to work full-time on top-of-funnel user growth instead of getting more people to subscribe. They will have to create new metrics and new ways of experimenting to do this, but I am excited to see how much they innovate here.</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user-friendly monetization: </w:t>
      </w:r>
      <w:r>
        <w:rPr>
          <w:rFonts w:ascii="DIN Next Rounded LT Pro;sans-serif" w:hAnsi="DIN Next Rounded LT Pro;sans-serif"/>
          <w:b w:val="false"/>
          <w:color w:val="4B4B4B"/>
          <w:sz w:val="21"/>
        </w:rPr>
        <w:t>Finally, we’re working on additional monetization initiatives that aren’t at odds with DAU growth, such as selling avatar customizations and our own native ad format. Both of these benefit from a larger active user base and provide joy and delight to the experience.</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Feed our next user growth engines</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Chess: </w:t>
      </w:r>
      <w:r>
        <w:rPr>
          <w:rFonts w:ascii="DIN Next Rounded LT Pro;sans-serif" w:hAnsi="DIN Next Rounded LT Pro;sans-serif"/>
          <w:b w:val="false"/>
          <w:color w:val="4B4B4B"/>
          <w:sz w:val="21"/>
        </w:rPr>
        <w:t xml:space="preserve">I am very excited to devote more resources to Chess, our fastest-growing subject, which has reached more than seven million DAUs in less than a year. We are working on additional product features, such as game review and practice for openings, and will increase dedicated marketing efforts. </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Math: </w:t>
      </w:r>
      <w:r>
        <w:rPr>
          <w:rFonts w:ascii="DIN Next Rounded LT Pro;sans-serif" w:hAnsi="DIN Next Rounded LT Pro;sans-serif"/>
          <w:b w:val="false"/>
          <w:color w:val="4B4B4B"/>
          <w:sz w:val="21"/>
        </w:rPr>
        <w:t>I believe that we will soon have the best tutor app for K-12 math. I’m particularly keen on the opportunity, as roughly one billion people are learning K-12 math globally. Other than languages, I don’t know of another subject with as large an audience.</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Music:</w:t>
      </w:r>
      <w:r>
        <w:rPr>
          <w:color w:val="4B4B4B"/>
        </w:rPr>
        <w:t xml:space="preserve"> </w:t>
      </w:r>
      <w:r>
        <w:rPr>
          <w:rFonts w:ascii="DIN Next Rounded LT Pro;sans-serif" w:hAnsi="DIN Next Rounded LT Pro;sans-serif"/>
          <w:b w:val="false"/>
          <w:color w:val="4B4B4B"/>
          <w:sz w:val="21"/>
        </w:rPr>
        <w:t xml:space="preserve">Our music course is getting a full revamp to make it more fun and game-like, thanks to our acquisition of the team behind </w:t>
      </w:r>
      <w:r>
        <w:rPr>
          <w:rFonts w:ascii="DIN Next Rounded LT Pro;sans-serif" w:hAnsi="DIN Next Rounded LT Pro;sans-serif"/>
          <w:b/>
          <w:color w:val="1CB0F6"/>
          <w:sz w:val="21"/>
        </w:rPr>
        <w:t>NextBeat Gaming Studio</w:t>
      </w:r>
      <w:r>
        <w:rPr>
          <w:color w:val="4B4B4B"/>
        </w:rPr>
        <w:t xml:space="preserve"> </w:t>
      </w:r>
      <w:r>
        <w:rPr>
          <w:rFonts w:ascii="DIN Next Rounded LT Pro;sans-serif" w:hAnsi="DIN Next Rounded LT Pro;sans-serif"/>
          <w:b w:val="false"/>
          <w:color w:val="4B4B4B"/>
          <w:sz w:val="21"/>
        </w:rPr>
        <w:t>last summer.</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The medium-term goal of this strategy is to reach 100 million DAUs in 2028. If we succeed in doubling our DAUs, the payoff would be huge: a more resilient brand; a business with meaningfully higher bookings and profit; and most importantly, a company that reaches and teaches far more people around the world.</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But the short-term implication is that this year will see slower bookings growth and lower profitability. We expect bookings growth of around 11% in 2026, compared to the nearly 20% we believe we could achieve if we operated like we have in past years. Additionally, because we will offer AI features to more users and have slightly higher marketing spend, we expect our Adjusted EBITDA margin will decrease to about 25%.</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 believe this is the right course to take. We could also reach higher bookings in 2028 with the strategy that we’ve employed until now, but we believe the result would be a smaller and less valuable business in the long run. In that scenario, we would likely have fewer DAUs and make more money per user, but would have less total impact and our position as the leading education app in the world would be less defensible.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5730"/>
                <wp:effectExtent l="0" t="0" r="0" b="0"/>
                <wp:wrapNone/>
                <wp:docPr id="10" name="Frame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5</w:t>
                      </w:r>
                    </w:p>
                  </w:txbxContent>
                </v:textbox>
                <w10:wrap type="none"/>
              </v:rect>
            </w:pict>
          </mc:Fallback>
        </mc:AlternateContent>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Staying true to our mission</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 don’t take this decision lightly, and I know it may come as a surprise to some investors, but it’s fundamentally aligned with what I said to shareholders in my very first letter:</w:t>
      </w:r>
    </w:p>
    <w:p>
      <w:pPr>
        <w:pStyle w:val="TextBody"/>
        <w:bidi w:val="0"/>
        <w:spacing w:before="0" w:after="0"/>
        <w:jc w:val="left"/>
        <w:rPr/>
      </w:pPr>
      <w:r>
        <w:rPr/>
      </w:r>
    </w:p>
    <w:p>
      <w:pPr>
        <w:pStyle w:val="TextBody"/>
        <w:bidi w:val="0"/>
        <w:spacing w:lineRule="auto" w:line="360" w:before="0" w:after="0"/>
        <w:jc w:val="left"/>
        <w:rPr>
          <w:color w:val="4B4B4B"/>
        </w:rPr>
      </w:pPr>
      <w:r>
        <w:rPr>
          <w:color w:val="4B4B4B"/>
        </w:rPr>
        <w:t>“</w:t>
      </w:r>
      <w:r>
        <w:rPr>
          <w:rFonts w:ascii="DIN Next Rounded LT Pro;sans-serif" w:hAnsi="DIN Next Rounded LT Pro;sans-serif"/>
          <w:b w:val="false"/>
          <w:color w:val="4B4B4B"/>
          <w:sz w:val="21"/>
        </w:rPr>
        <w:t xml:space="preserve">Dear potential investors,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The main thing you need to know is that I plan to dedicate my life to building a future in which, through technology, every person on this planet has access to the best quality of education. And not only that, but a future in which people want to spend their time learning. Duolingo is the platform for building that future, and we are just getting started.”</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I strongly believe that the best days of Duolingo are ahead of us.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581025" cy="81915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581025" cy="819150"/>
                    </a:xfrm>
                    <a:prstGeom prst="rect">
                      <a:avLst/>
                    </a:prstGeom>
                  </pic:spPr>
                </pic:pic>
              </a:graphicData>
            </a:graphic>
          </wp:inline>
        </w:drawing>
      </w:r>
      <w:r>
        <w:rPr>
          <w:color w:val="000000"/>
        </w:rPr>
        <w:t xml:space="preserve"> </w:t>
      </w:r>
    </w:p>
    <w:tbl>
      <w:tblPr>
        <w:tblW w:w="2384" w:type="dxa"/>
        <w:jc w:val="lef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4476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143000" cy="447675"/>
                          </a:xfrm>
                          <a:prstGeom prst="rect">
                            <a:avLst/>
                          </a:prstGeom>
                        </pic:spPr>
                      </pic:pic>
                    </a:graphicData>
                  </a:graphic>
                </wp:inline>
              </w:drawing>
            </w:r>
          </w:p>
        </w:tc>
      </w:tr>
      <w:tr>
        <w:trPr/>
        <w:tc>
          <w:tcPr>
            <w:tcW w:w="238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Luis von Ahn</w:t>
            </w:r>
          </w:p>
        </w:tc>
      </w:tr>
      <w:tr>
        <w:trPr/>
        <w:tc>
          <w:tcPr>
            <w:tcW w:w="238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CEO and Co-Founder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5730"/>
                <wp:effectExtent l="0" t="0" r="0" b="0"/>
                <wp:wrapNone/>
                <wp:docPr id="13" name="Frame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6</w:t>
                      </w:r>
                    </w:p>
                  </w:txbxContent>
                </v:textbox>
                <w10:wrap type="none"/>
              </v:rect>
            </w:pict>
          </mc:Fallback>
        </mc:AlternateContent>
      </w:r>
    </w:p>
    <w:p>
      <w:pPr>
        <w:pStyle w:val="TextBody"/>
        <w:bidi w:val="0"/>
        <w:spacing w:lineRule="auto" w:line="288" w:before="0" w:after="0"/>
        <w:jc w:val="left"/>
        <w:rPr>
          <w:rFonts w:ascii="Feather Bold;serif" w:hAnsi="Feather Bold;serif"/>
          <w:b/>
          <w:color w:val="FFFFFF"/>
          <w:sz w:val="120"/>
          <w:shd w:fill="58CC02" w:val="clear"/>
        </w:rPr>
      </w:pPr>
      <w:r>
        <w:rPr>
          <w:rFonts w:ascii="Feather Bold;serif" w:hAnsi="Feather Bold;serif"/>
          <w:b/>
          <w:color w:val="FFFFFF"/>
          <w:sz w:val="120"/>
          <w:shd w:fill="58CC02" w:val="clear"/>
        </w:rPr>
        <w:t>financial performance and outlook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01040"/>
                <wp:effectExtent l="0" t="0" r="0" b="0"/>
                <wp:wrapNone/>
                <wp:docPr id="14" name="Frame1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3"/>
        <w:gridCol w:w="838"/>
        <w:gridCol w:w="823"/>
        <w:gridCol w:w="586"/>
        <w:gridCol w:w="430"/>
        <w:gridCol w:w="430"/>
        <w:gridCol w:w="586"/>
        <w:gridCol w:w="430"/>
        <w:gridCol w:w="430"/>
        <w:gridCol w:w="584"/>
        <w:gridCol w:w="430"/>
        <w:gridCol w:w="447"/>
        <w:gridCol w:w="279"/>
        <w:gridCol w:w="279"/>
        <w:gridCol w:w="283"/>
        <w:gridCol w:w="343"/>
        <w:gridCol w:w="343"/>
        <w:gridCol w:w="350"/>
        <w:gridCol w:w="302"/>
        <w:gridCol w:w="302"/>
        <w:gridCol w:w="437"/>
      </w:tblGrid>
      <w:tr>
        <w:trPr/>
        <w:tc>
          <w:tcPr>
            <w:tcW w:w="127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287"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Summary of Financial and Key Operating Metrics</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millions)</w:t>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2024</w:t>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2025</w:t>
            </w:r>
          </w:p>
        </w:tc>
        <w:tc>
          <w:tcPr>
            <w:tcW w:w="14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YoY</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User Metrics</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Monthly active users (MAUs)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116.7</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133.1</w:t>
            </w:r>
          </w:p>
        </w:tc>
        <w:tc>
          <w:tcPr>
            <w:tcW w:w="146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Daily active users (DAUs)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40.5</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52.7</w:t>
            </w:r>
          </w:p>
        </w:tc>
        <w:tc>
          <w:tcPr>
            <w:tcW w:w="146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Paid subscribers (period end)</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9.5</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12.2</w:t>
            </w:r>
          </w:p>
        </w:tc>
        <w:tc>
          <w:tcPr>
            <w:tcW w:w="146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2024</w:t>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2025</w:t>
            </w:r>
          </w:p>
        </w:tc>
        <w:tc>
          <w:tcPr>
            <w:tcW w:w="14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YoY</w:t>
            </w:r>
          </w:p>
        </w:tc>
        <w:tc>
          <w:tcPr>
            <w:tcW w:w="8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10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sans-serif" w:hAnsi="DIN Next Rounded LT Pro;sans-serif"/>
                <w:b/>
                <w:color w:val="58CC02"/>
                <w:sz w:val="21"/>
              </w:rPr>
            </w:pPr>
            <w:r>
              <w:rPr>
                <w:rFonts w:ascii="DIN Next Rounded LT Pro;sans-serif" w:hAnsi="DIN Next Rounded LT Pro;sans-serif"/>
                <w:b/>
                <w:color w:val="58CC02"/>
                <w:sz w:val="21"/>
              </w:rPr>
              <w:t>YoY</w:t>
            </w:r>
          </w:p>
        </w:tc>
      </w:tr>
      <w:tr>
        <w:trPr/>
        <w:tc>
          <w:tcPr>
            <w:tcW w:w="2934" w:type="dxa"/>
            <w:gridSpan w:val="3"/>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Operating Metrics</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Subscription bookings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$236.5</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$296.6</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$730.7</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$996.3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w:t>
            </w:r>
          </w:p>
        </w:tc>
      </w:tr>
      <w:tr>
        <w:trPr/>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Total bookings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$271.6</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$336.8</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$870.6</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$1,158.4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GAAP Financial Measures</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$209.6</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$282.9</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$748.0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$1,037.6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39%</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profit</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$150.6</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$205.9</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$544.4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$749.5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margin (%)</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71.9%</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72.8%</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~90 bps</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72.8%</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~(50) bps</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(1)</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$13.9</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$42.0</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&gt;100%</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$88.6</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$414.1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&gt;100%</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cash from operating activities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$83.3</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$107.3</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$285.5</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$387.8</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6"/>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Non-GAAP Financial Measures (2)</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$52.3</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$84.3</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$191.9</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$305.9</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59%</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 margin</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25.0%</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29.8%</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~490 bps</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25.7%</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~380 bps</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Free cash flow (3)</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$80.9</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$264.4</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$360.4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Free cash flow margin</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38.6%</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33.1%</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~(550) bps</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35.3%</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34.7%</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~(60) bps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 xml:space="preserve">(2) Please refer to the Appendix at the end of this letter for a reconciliation of these non-GAAP financial measures to the most directly comparable GAAP financial measure. </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(3) The prior period has been recast to conform to current period presentation.     See the definition of Free Cash Flow below for additional information.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Amounts reported in millions are computed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5730"/>
                <wp:effectExtent l="0" t="0" r="0" b="0"/>
                <wp:wrapNone/>
                <wp:docPr id="15" name="Frame1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8</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Fourth Quarter 2025 Highlights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ended 2025 with strong results in Q4. DAUs grew 30% year over year in Q4, despite lapping 51% growth in Q4 2024. Total bookings increased 24% year over year, or 20% on a constant-currency basis, reflecting continued subscriber growth and healthy conversion. Revenue grew 35% year over year, or approximately 33% on a constant currency basis. We generated net income of $42.0 million, and $84.3 million in Adjusted EBITDA, with margin expanding nearly five percentage points year over year to 29.8%.</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margin expanded approximately 90 basis points year over year to 72.8%. This improvement was primarily driven by increasing subscription margins and a greater mix of revenue coming from subscriptions. GAAP operating expenses increased 19% year over year. On non-GAAP operating expenses, we achieved leverage on R&amp;D and G&amp;A, but saw slight deleverage in S&amp;M as we continue to invest in marketing to grow users. Non-GAAP operating expenses increased 26% year over year.</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Balance sheet and cash flow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ended the year with $1.04 billion in cash and cash equivalents. During Q4, free cash flow (FCF) grew 16% year over year to $93.7 million (33.1% FCF margin), bringing total FCF to $360.4 million for the year.</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Share repurchase authorization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Duolingo’s Board of Directors has authorized a share repurchase program of up to $400 million. The program reflects the Company’s commitment to capital allocation, including returning capital to stockholders and managing dilution, while maintaining flexibility to invest in long-term growth. Repurchases under the program may be made from time to time in the open market, through privately negotiated transactions or otherwise.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5730"/>
                <wp:effectExtent l="0" t="0" r="0" b="0"/>
                <wp:wrapNone/>
                <wp:docPr id="16" name="Frame1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9</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Q1 and FY 2026 Guidance</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Duolingo is providing the following guidance for the first quarter ending March 31, 2026, and the full year ending December 31, 2026</w:t>
      </w:r>
      <w:r>
        <w:rPr>
          <w:rFonts w:ascii="DIN Next Rounded LT Pro;sans-serif" w:hAnsi="DIN Next Rounded LT Pro;sans-serif"/>
          <w:b w:val="false"/>
          <w:color w:val="4B4B4B"/>
          <w:sz w:val="14"/>
        </w:rPr>
        <w:t>(1)</w:t>
      </w:r>
      <w:r>
        <w:rPr>
          <w:rFonts w:ascii="DIN Next Rounded LT Pro;sans-serif" w:hAnsi="DIN Next Rounded LT Pro;sans-serif"/>
          <w:b w:val="false"/>
          <w:color w:val="4B4B4B"/>
          <w:sz w:val="21"/>
        </w:rPr>
        <w:t xml:space="preserve">. </w:t>
      </w:r>
    </w:p>
    <w:p>
      <w:pPr>
        <w:pStyle w:val="TextBody"/>
        <w:bidi w:val="0"/>
        <w:spacing w:before="0" w:after="0"/>
        <w:jc w:val="left"/>
        <w:rPr/>
      </w:pPr>
      <w:r>
        <w:rPr/>
      </w:r>
    </w:p>
    <w:tbl>
      <w:tblPr>
        <w:tblW w:w="6928" w:type="dxa"/>
        <w:jc w:val="left"/>
        <w:tblInd w:w="0" w:type="dxa"/>
        <w:tblLayout w:type="fixed"/>
        <w:tblCellMar>
          <w:top w:w="28" w:type="dxa"/>
          <w:left w:w="28" w:type="dxa"/>
          <w:bottom w:w="28" w:type="dxa"/>
          <w:right w:w="28" w:type="dxa"/>
        </w:tblCellMar>
      </w:tblPr>
      <w:tblGrid>
        <w:gridCol w:w="1248"/>
        <w:gridCol w:w="1096"/>
        <w:gridCol w:w="1105"/>
        <w:gridCol w:w="334"/>
        <w:gridCol w:w="334"/>
        <w:gridCol w:w="336"/>
        <w:gridCol w:w="109"/>
        <w:gridCol w:w="109"/>
        <w:gridCol w:w="109"/>
        <w:gridCol w:w="662"/>
        <w:gridCol w:w="662"/>
        <w:gridCol w:w="670"/>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millions)</w:t>
            </w:r>
          </w:p>
        </w:tc>
        <w:tc>
          <w:tcPr>
            <w:tcW w:w="100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FY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Bookings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$1,274 - $1,298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YoY Bookings Growth</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 - 12%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Revenues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$288.5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$1,197 - $1,221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YoY Revenue Growth</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 - 18%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(2)</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$299 - $305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margin (2)</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312"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Our guidance in the table above assumes foreign exchange rates as of February 20, 2026. On a constant currency basis, assuming the average foreign exchange rates for Q1 2025 remained constant for Q1 2026, we estimate our Q1 2026 year-over-year growth for bookings and revenue at 6% and 21%, respectively. On a constant currency basis, assuming the average foreign exchange rates for full-year 2025 remained constant for full-year 2026, we estimate our full-year 2026 year-over-year growth for bookings and revenue at 8% to 10% and 14% to 16%, respectively.</w:t>
      </w:r>
    </w:p>
    <w:p>
      <w:pPr>
        <w:pStyle w:val="TextBody"/>
        <w:bidi w:val="0"/>
        <w:spacing w:before="0" w:after="0"/>
        <w:jc w:val="left"/>
        <w:rPr/>
      </w:pPr>
      <w:r>
        <w:rPr/>
      </w:r>
    </w:p>
    <w:p>
      <w:pPr>
        <w:pStyle w:val="TextBody"/>
        <w:bidi w:val="0"/>
        <w:spacing w:lineRule="auto" w:line="312"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With regards to the non-GAAP Adjusted EBITDA and Adjusted EBITDA margin outlook provided above, a reconciliation to GAAP net income, the most directly comparable financial measure presented in accordance with GAAP, has not been provided as the quantification of certain items included in the calculation of GAAP net income cannot be calculated or predicted at this time without unreasonable efforts. For example, the non-GAAP adjustment for stock-based compensation expenses related to equity awards requires additional inputs such as number of shares granted and market price that are not currently ascertainable, and the non-GAAP adjustment for certain legal, tax and regulatory reserves and expenses depends on the timing and magnitude of these expenses and cannot be accurately forecasted. For the same reasons, we are unable to address the probable significance of the unavailable information, which could have a potentially unpredictable, and potentially significant, impact on our future GAAP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 xml:space="preserve">2026 Outlook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Our guidance reflects the shift Luis outlined above and our planned allocation of capital towards accelerating user growth and engagement.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are entering 2026 from a position of financial strength, with healthy profitability, a strong cash position, no debt, and the expectation of generating over $350 million of free cash flow this year.</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For </w:t>
      </w:r>
      <w:r>
        <w:rPr>
          <w:rFonts w:ascii="DIN Next Rounded LT Pro;sans-serif" w:hAnsi="DIN Next Rounded LT Pro;sans-serif"/>
          <w:b/>
          <w:color w:val="4B4B4B"/>
          <w:sz w:val="21"/>
        </w:rPr>
        <w:t>bookings</w:t>
      </w:r>
      <w:r>
        <w:rPr>
          <w:rFonts w:ascii="DIN Next Rounded LT Pro;sans-serif" w:hAnsi="DIN Next Rounded LT Pro;sans-serif"/>
          <w:b w:val="false"/>
          <w:color w:val="4B4B4B"/>
          <w:sz w:val="21"/>
        </w:rPr>
        <w:t xml:space="preserve">, we expect FY 2026 to grow 10-12% year over year and Q1 to grow approximately 11%, or about 9% at the midpoint of FY 2026 and 6% for Q1 on a constant currency basis. For </w:t>
      </w:r>
      <w:r>
        <w:rPr>
          <w:rFonts w:ascii="DIN Next Rounded LT Pro;sans-serif" w:hAnsi="DIN Next Rounded LT Pro;sans-serif"/>
          <w:b/>
          <w:color w:val="4B4B4B"/>
          <w:sz w:val="21"/>
        </w:rPr>
        <w:t>revenue</w:t>
      </w:r>
      <w:r>
        <w:rPr>
          <w:rFonts w:ascii="DIN Next Rounded LT Pro;sans-serif" w:hAnsi="DIN Next Rounded LT Pro;sans-serif"/>
          <w:b w:val="false"/>
          <w:color w:val="4B4B4B"/>
          <w:sz w:val="21"/>
        </w:rPr>
        <w:t xml:space="preserve">, we expect FY 2026 to grow about 15-18% year over year and Q1 to grow approximately 25%, or about 15% at the midpoint for FY 2026 and 21% for Q1 on a constant currency basis. </w:t>
      </w:r>
    </w:p>
    <w:p>
      <w:pPr>
        <w:pStyle w:val="TextBody"/>
        <w:bidi w:val="0"/>
        <w:spacing w:before="0" w:after="0"/>
        <w:jc w:val="left"/>
        <w:rPr/>
      </w:pPr>
      <w:r>
        <w:rPr/>
      </w:r>
    </w:p>
    <w:p>
      <w:pPr>
        <w:pStyle w:val="TextBody"/>
        <w:bidi w:val="0"/>
        <w:spacing w:lineRule="auto" w:line="36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We believe our Q2 year-over-year bookings growth rate will lower slightly more than three points from Q1 before rising in the second half of 2026, assuming modest early returns from our investments. We believe our year-over-year revenue growth rates step down sequentially in Q2 and Q3 before stabilizing in Q4.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5730"/>
                <wp:effectExtent l="0" t="0" r="0" b="0"/>
                <wp:wrapNone/>
                <wp:docPr id="17" name="Frame1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10</w:t>
                      </w:r>
                    </w:p>
                  </w:txbxContent>
                </v:textbox>
                <w10:wrap type="none"/>
              </v:rect>
            </w:pict>
          </mc:Fallback>
        </mc:AlternateConten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Our outlook reflects exchange rates as of the end of February. As a reminder, over half of our bookings come from outside the US. So, every 1% change in the dollar versus our currency basket equates to about an $8 million impact on full-year bookings.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We expect our </w:t>
      </w:r>
      <w:r>
        <w:rPr>
          <w:rFonts w:ascii="DIN Next Rounded LT Pro;sans-serif" w:hAnsi="DIN Next Rounded LT Pro;sans-serif"/>
          <w:b/>
          <w:color w:val="4B4B4B"/>
          <w:sz w:val="21"/>
        </w:rPr>
        <w:t>gross margin</w:t>
      </w:r>
      <w:r>
        <w:rPr>
          <w:color w:val="4B4B4B"/>
        </w:rPr>
        <w:t xml:space="preserve"> </w:t>
      </w:r>
      <w:r>
        <w:rPr>
          <w:rFonts w:ascii="DIN Next Rounded LT Pro;sans-serif" w:hAnsi="DIN Next Rounded LT Pro;sans-serif"/>
          <w:b w:val="false"/>
          <w:color w:val="4B4B4B"/>
          <w:sz w:val="21"/>
        </w:rPr>
        <w:t>percentage to be approximately 71% in Q1 and roughly 69% for the rest of the year, driven primarily by expanding access to AI-powered features for all users.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In 2026, we expect non-GAAP operating expenses to grow faster year over year than revenue in all categories, with the exception of G&amp;A, and expect a full-year 2026</w:t>
      </w:r>
      <w:r>
        <w:rPr>
          <w:color w:val="4B4B4B"/>
        </w:rPr>
        <w:t xml:space="preserve"> </w:t>
      </w:r>
      <w:r>
        <w:rPr>
          <w:rFonts w:ascii="DIN Next Rounded LT Pro;sans-serif" w:hAnsi="DIN Next Rounded LT Pro;sans-serif"/>
          <w:b/>
          <w:color w:val="4B4B4B"/>
          <w:sz w:val="21"/>
        </w:rPr>
        <w:t>adjusted EBITDA margin</w:t>
      </w:r>
      <w:r>
        <w:rPr>
          <w:color w:val="4B4B4B"/>
        </w:rPr>
        <w:t xml:space="preserve"> </w:t>
      </w:r>
      <w:r>
        <w:rPr>
          <w:rFonts w:ascii="DIN Next Rounded LT Pro;sans-serif" w:hAnsi="DIN Next Rounded LT Pro;sans-serif"/>
          <w:b w:val="false"/>
          <w:color w:val="4B4B4B"/>
          <w:sz w:val="21"/>
        </w:rPr>
        <w:t>of approximately 25%. We expect adjusted EBITDA margin to decline roughly three points sequentially in Q2, then improve through the back half of the year, with Q4 being our highest margin quarter in 2026.</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2026</w:t>
      </w:r>
      <w:r>
        <w:rPr>
          <w:color w:val="4B4B4B"/>
        </w:rPr>
        <w:t xml:space="preserve"> </w:t>
      </w:r>
      <w:r>
        <w:rPr>
          <w:rFonts w:ascii="DIN Next Rounded LT Pro;sans-serif" w:hAnsi="DIN Next Rounded LT Pro;sans-serif"/>
          <w:b/>
          <w:color w:val="4B4B4B"/>
          <w:sz w:val="21"/>
        </w:rPr>
        <w:t>stock based compensation</w:t>
      </w:r>
      <w:r>
        <w:rPr>
          <w:color w:val="4B4B4B"/>
        </w:rPr>
        <w:t xml:space="preserve"> </w:t>
      </w:r>
      <w:r>
        <w:rPr>
          <w:rFonts w:ascii="DIN Next Rounded LT Pro;sans-serif" w:hAnsi="DIN Next Rounded LT Pro;sans-serif"/>
          <w:b w:val="false"/>
          <w:color w:val="4B4B4B"/>
          <w:sz w:val="21"/>
        </w:rPr>
        <w:t xml:space="preserve">is expected to be almost 15% of revenue (compared to 13% of revenue last year), with absolute expense levels growing through the year. We currently expect fully-diluted share count to increase approximately 3.5-4% in 2026 applying share price levels from earlier this week. This does not include the impact of any buyback activity. This reflects ongoing equity compensation grants to attract and retain talent. On a trailing three-year basis, average net dilution from share grants is expected to be slightly less than 2% a year, reflecting our disciplined approach to long-term capital allocation.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currently believe you should assume an effective tax benefit of approximately 6% in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5730"/>
                <wp:effectExtent l="0" t="0" r="0" b="0"/>
                <wp:wrapNone/>
                <wp:docPr id="18" name="Frame1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11</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Dilutive Securities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 has various dilutive securities outstanding. The table below details these securities:</w:t>
      </w:r>
    </w:p>
    <w:tbl>
      <w:tblPr>
        <w:tblW w:w="10205" w:type="dxa"/>
        <w:jc w:val="left"/>
        <w:tblInd w:w="0" w:type="dxa"/>
        <w:tblLayout w:type="fixed"/>
        <w:tblCellMar>
          <w:top w:w="28" w:type="dxa"/>
          <w:left w:w="28" w:type="dxa"/>
          <w:bottom w:w="28" w:type="dxa"/>
          <w:right w:w="28" w:type="dxa"/>
        </w:tblCellMar>
      </w:tblPr>
      <w:tblGrid>
        <w:gridCol w:w="1305"/>
        <w:gridCol w:w="951"/>
        <w:gridCol w:w="956"/>
        <w:gridCol w:w="831"/>
        <w:gridCol w:w="831"/>
        <w:gridCol w:w="832"/>
        <w:gridCol w:w="109"/>
        <w:gridCol w:w="109"/>
        <w:gridCol w:w="109"/>
        <w:gridCol w:w="964"/>
        <w:gridCol w:w="964"/>
        <w:gridCol w:w="966"/>
        <w:gridCol w:w="109"/>
        <w:gridCol w:w="109"/>
        <w:gridCol w:w="109"/>
        <w:gridCol w:w="277"/>
        <w:gridCol w:w="277"/>
        <w:gridCol w:w="397"/>
      </w:tblGrid>
      <w:tr>
        <w:trPr/>
        <w:tc>
          <w:tcPr>
            <w:tcW w:w="130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(Amounts in millions, except share price)</w:t>
            </w:r>
          </w:p>
        </w:tc>
        <w:tc>
          <w:tcPr>
            <w:tcW w:w="2494" w:type="dxa"/>
            <w:gridSpan w:val="3"/>
            <w:tcBorders/>
            <w:tcMar>
              <w:top w:w="0" w:type="dxa"/>
              <w:left w:w="0" w:type="dxa"/>
              <w:bottom w:w="0" w:type="dxa"/>
              <w:right w:w="0" w:type="dxa"/>
            </w:tcMar>
            <w:vAlign w:val="center"/>
          </w:tcPr>
          <w:p>
            <w:pPr>
              <w:pStyle w:val="TableContents"/>
              <w:bidi w:val="0"/>
              <w:spacing w:lineRule="auto" w:line="336" w:before="0" w:after="0"/>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Price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Shares</w:t>
            </w:r>
          </w:p>
        </w:tc>
      </w:tr>
      <w:tr>
        <w:trPr/>
        <w:tc>
          <w:tcPr>
            <w:tcW w:w="3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Share price</w:t>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Common stock outstanding as of December 31, 2025</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46.6</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Founder awards (1)</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Dilutive effect of stock options outstanding (2)</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$18.38 </w:t>
            </w:r>
          </w:p>
        </w:tc>
        <w:tc>
          <w:tcPr>
            <w:tcW w:w="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0.8</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RSUs outstanding</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estimated diluted shares outstanding</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36"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49.8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Video Webcast</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Duolingo will host a video webcast to discuss its fourth quarter and full year results today, February 26, 2026, at 5:30 p.m. ET. This live webcast and related materials will be publicly available and can be accessed at </w:t>
      </w:r>
      <w:r>
        <w:rPr>
          <w:rFonts w:ascii="DIN Next Rounded LT Pro;sans-serif" w:hAnsi="DIN Next Rounded LT Pro;sans-serif"/>
          <w:b/>
          <w:color w:val="1CB0F6"/>
          <w:sz w:val="21"/>
        </w:rPr>
        <w:t>investors.duolingo.com</w:t>
      </w:r>
      <w:r>
        <w:rPr>
          <w:rFonts w:ascii="DIN Next Rounded LT Pro;sans-serif" w:hAnsi="DIN Next Rounded LT Pro;sans-serif"/>
          <w:b w:val="false"/>
          <w:color w:val="4B4B4B"/>
          <w:sz w:val="21"/>
        </w:rPr>
        <w:t>. A replay will be available on the Investor Relations website two hours following completion of the webcast and will remain available for a period of one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About Duolingo</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remaining committed to its mission to develop the best education in the world and make it universally available.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(1)Includes 0.6 million underlying performance-based Restricted Stock Units ("RSUs") where performance criteria have not been satisfied.</w:t>
      </w:r>
    </w:p>
    <w:p>
      <w:pPr>
        <w:pStyle w:val="TextBody"/>
        <w:bidi w:val="0"/>
        <w:spacing w:lineRule="auto" w:line="336"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(2)The Company has 0.9 million options outstanding as of December 31, 2025. The estimated dilutive effect is calculated as the number of shares expected to be issued upon vesting or exercise, adjusted for the strike price proceeds that are received by the Company and assumed to be used to repurchase shares of Duolingo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5730"/>
                <wp:effectExtent l="0" t="0" r="0" b="0"/>
                <wp:wrapNone/>
                <wp:docPr id="19" name="Frame1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12</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Definitions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Monthly Active Users (MAUs).</w:t>
      </w:r>
      <w:r>
        <w:rPr>
          <w:color w:val="4B4B4B"/>
        </w:rPr>
        <w:t xml:space="preserve"> </w:t>
      </w:r>
      <w:r>
        <w:rPr>
          <w:rFonts w:ascii="DIN Next Rounded LT Pro;sans-serif" w:hAnsi="DIN Next Rounded LT Pro;sans-serif"/>
          <w:b w:val="false"/>
          <w:color w:val="4B4B4B"/>
          <w:sz w:val="20"/>
        </w:rPr>
        <w:t>MAUs are defined as unique users who engage with our Duolingo App or the learning section of our website each month. MAUs are reported for a measurement period by taking the average of the MAUs for each calendar month in that measurement period. The measurement period for MAUs is the three months ended December 31, 2025 and the same period in the prior year where applicable, and the analysis of results is based on those periods. MAUs are a measure of the size of our global active user community on Duolingo.</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Daily Active Users (DAUs).</w:t>
      </w:r>
      <w:r>
        <w:rPr>
          <w:color w:val="4B4B4B"/>
        </w:rPr>
        <w:t xml:space="preserve"> </w:t>
      </w:r>
      <w:r>
        <w:rPr>
          <w:rFonts w:ascii="DIN Next Rounded LT Pro;sans-serif" w:hAnsi="DIN Next Rounded LT Pro;sans-serif"/>
          <w:b w:val="false"/>
          <w:color w:val="4B4B4B"/>
          <w:sz w:val="20"/>
        </w:rPr>
        <w:t>DAUs are defined as unique users who engage with our Duolingo App or the learning section of our website each calendar day. DAUs are reported for a measurement period by taking the average of the DAUs for each day in that measurement period. The measurement period for DAUs is the three months ended December 31, 2025 and the same period in the prior year where applicable, and the analysis of results is based on those periods. DAUs are a measure of the consistent engagement of our global user community on Duolingo.</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Paid Subscribers.</w:t>
      </w:r>
      <w:r>
        <w:rPr>
          <w:color w:val="4B4B4B"/>
        </w:rPr>
        <w:t xml:space="preserve"> </w:t>
      </w:r>
      <w:r>
        <w:rPr>
          <w:rFonts w:ascii="DIN Next Rounded LT Pro;sans-serif" w:hAnsi="DIN Next Rounded LT Pro;sans-serif"/>
          <w:b w:val="false"/>
          <w:color w:val="4B4B4B"/>
          <w:sz w:val="20"/>
        </w:rPr>
        <w:t xml:space="preserve">Paid subscribers are defined as users who pay for access to any Duolingo subscription offering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 </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Subscription Bookings and Total Bookings.</w:t>
      </w:r>
      <w:r>
        <w:rPr>
          <w:color w:val="4B4B4B"/>
        </w:rPr>
        <w:t xml:space="preserve"> </w:t>
      </w:r>
      <w:r>
        <w:rPr>
          <w:rFonts w:ascii="DIN Next Rounded LT Pro;sans-serif" w:hAnsi="DIN Next Rounded LT Pro;sans-serif"/>
          <w:b w:val="false"/>
          <w:color w:val="4B4B4B"/>
          <w:sz w:val="20"/>
        </w:rPr>
        <w:t>Subscription bookings represent the amounts we receive from a purchase of any Duolingo subscription offering. Total bookings include subscription bookings, income from advertising networks for advertisements served to our users, purchases of the Duolingo English Test, and in-app purchases of virtual goods ("IAPs").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Limitation of Key Operating Metrics and Other Data</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We manage our business by tracking several operating metrics, including MAUs, DAUs, paid subscribers, and subscription and total bookings. 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 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Other companies, including companies in our industry, may calculate these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5730"/>
                <wp:effectExtent l="0" t="0" r="0" b="0"/>
                <wp:wrapNone/>
                <wp:docPr id="20" name="Frame1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13</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 xml:space="preserve">Non-GAAP Financial Measures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 xml:space="preserve">We use certain non-GAAP financial measures to supplement our Consolidated Financial Statements, which are presented in accordance with GAAP. Non-GAAP financial measures include Adjusted EBITDA, Adjusted EBITDA margin, constant currency measures, non-GAAP R&amp;D expense, non-GAAP S&amp;M expense and non-GAAP G&amp;A expense (collectively, the “non-GAAP operating expenses”), free cash flow, and free cash flow margin. Please refer to the definitions and reconciliation at the end of this letter. We use these non-GAAP financial measures for financial and operational decision-making and as a means to evaluate period-to-period comparisons. By excluding certain items that may not be indicative of our recurring core operating results, we believe that these non-GAAP financial measures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The effect of currency exchange rates on our business is an important factor in understanding period to period comparisons. We use non-GAAP percentage change in constant 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 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5730"/>
                <wp:effectExtent l="0" t="0" r="0" b="0"/>
                <wp:wrapNone/>
                <wp:docPr id="21" name="Frame1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14</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Forward-Looking Statements</w:t>
      </w:r>
    </w:p>
    <w:p>
      <w:pPr>
        <w:pStyle w:val="TextBody"/>
        <w:bidi w:val="0"/>
        <w:spacing w:before="0" w:after="0"/>
        <w:jc w:val="left"/>
        <w:rPr/>
      </w:pPr>
      <w:r>
        <w:rPr/>
      </w:r>
    </w:p>
    <w:p>
      <w:pPr>
        <w:pStyle w:val="TextBody"/>
        <w:bidi w:val="0"/>
        <w:spacing w:lineRule="auto" w:line="336" w:before="0" w:after="0"/>
        <w:jc w:val="left"/>
        <w:rPr/>
      </w:pPr>
      <w:r>
        <w:rPr>
          <w:rFonts w:ascii="DIN Next Rounded LT Pro;sans-serif" w:hAnsi="DIN Next Rounded LT Pro;sans-serif"/>
          <w:b w:val="false"/>
          <w:color w:val="4B4B4B"/>
          <w:sz w:val="20"/>
        </w:rPr>
        <w:t xml:space="preserve">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letter, including without limitation, statements regarding our business model and strategic priorities for growth, product enhancement, and monetization, including the expected benefits and efficacy of new products and product innovation for user growth and retention, our share repurchase program, our use of AI features, and our financial outlook and guidance, are forward-looking statements. 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or increase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 ended December 31, 2025, as any such factors may be updated from time to time in our other filings with the Securities and Exchange Commission (“SEC”), accessible on the SEC’s website at www.sec.gov and the Investor Relations section of the Company’s website at </w:t>
      </w:r>
      <w:r>
        <w:rPr>
          <w:rFonts w:ascii="DIN Next Rounded LT Pro;sans-serif" w:hAnsi="DIN Next Rounded LT Pro;sans-serif"/>
          <w:b/>
          <w:color w:val="1CB0F6"/>
          <w:sz w:val="20"/>
        </w:rPr>
        <w:t>investors.duolingo.com</w:t>
      </w:r>
      <w:r>
        <w:rPr>
          <w:rFonts w:ascii="DIN Next Rounded LT Pro;sans-serif" w:hAnsi="DIN Next Rounded LT Pro;sans-serif"/>
          <w:b w:val="false"/>
          <w:color w:val="4B4B4B"/>
          <w:sz w:val="20"/>
        </w:rPr>
        <w:t>. All forward-looking statements speak only as of the date of this letter. While we may elect to update such forward-looking statements at some point in the future, unless required by applicable law, we disclaim any obligation to do so, even if subsequent events cause our views to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Website Information</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0"/>
        </w:rPr>
        <w:t xml:space="preserve">We routinely post important information for investors on the Investor Relations section of our website, </w:t>
      </w:r>
      <w:r>
        <w:rPr>
          <w:rFonts w:ascii="DIN Next Rounded LT Pro;sans-serif" w:hAnsi="DIN Next Rounded LT Pro;sans-serif"/>
          <w:b/>
          <w:color w:val="1CB0F6"/>
          <w:sz w:val="20"/>
        </w:rPr>
        <w:t>investors.duolingo.com</w:t>
      </w:r>
      <w:r>
        <w:rPr>
          <w:rFonts w:ascii="DIN Next Rounded LT Pro;sans-serif" w:hAnsi="DIN Next Rounded LT Pro;sans-serif"/>
          <w:b w:val="false"/>
          <w:color w:val="4B4B4B"/>
          <w:sz w:val="20"/>
        </w:rPr>
        <w:t>, and also from time to time may use social media channels, including our X account</w:t>
      </w:r>
      <w:r>
        <w:rPr>
          <w:color w:val="1CB0F6"/>
        </w:rPr>
        <w:t xml:space="preserve"> </w:t>
      </w:r>
      <w:r>
        <w:rPr>
          <w:rFonts w:ascii="DIN Next Rounded LT Pro;sans-serif" w:hAnsi="DIN Next Rounded LT Pro;sans-serif"/>
          <w:b/>
          <w:color w:val="1CB0F6"/>
          <w:sz w:val="20"/>
        </w:rPr>
        <w:t>x.com/duolingo</w:t>
      </w:r>
      <w:r>
        <w:rPr>
          <w:color w:val="4B4B4B"/>
        </w:rPr>
        <w:t xml:space="preserve"> </w:t>
      </w:r>
      <w:r>
        <w:rPr>
          <w:rFonts w:ascii="DIN Next Rounded LT Pro;sans-serif" w:hAnsi="DIN Next Rounded LT Pro;sans-serif"/>
          <w:b w:val="false"/>
          <w:color w:val="4B4B4B"/>
          <w:sz w:val="20"/>
        </w:rPr>
        <w:t xml:space="preserve">and our LinkedIn account </w:t>
      </w:r>
      <w:r>
        <w:rPr>
          <w:rFonts w:ascii="DIN Next Rounded LT Pro;sans-serif" w:hAnsi="DIN Next Rounded LT Pro;sans-serif"/>
          <w:b/>
          <w:color w:val="1CB0F6"/>
          <w:sz w:val="20"/>
        </w:rPr>
        <w:t>linkedin.com/company/duolingo</w:t>
      </w:r>
      <w:r>
        <w:rPr>
          <w:rFonts w:ascii="DIN Next Rounded LT Pro;sans-serif" w:hAnsi="DIN Next Rounded LT Pro;sans-serif"/>
          <w:b w:val="false"/>
          <w:color w:val="4B4B4B"/>
          <w:sz w:val="20"/>
        </w:rPr>
        <w:t>, as an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in addition to following our press releases, SEC filings, public conference calls, presentations, and webcasts. The information contained on, or that may be accessed through, our website and our social media channels is not incorporated by reference into, and is not a part of,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5730"/>
                <wp:effectExtent l="0" t="0" r="0" b="0"/>
                <wp:wrapNone/>
                <wp:docPr id="22" name="Frame1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68"/>
        <w:gridCol w:w="1434"/>
        <w:gridCol w:w="1388"/>
        <w:gridCol w:w="757"/>
        <w:gridCol w:w="759"/>
        <w:gridCol w:w="525"/>
        <w:gridCol w:w="458"/>
        <w:gridCol w:w="458"/>
        <w:gridCol w:w="458"/>
        <w:gridCol w:w="758"/>
        <w:gridCol w:w="758"/>
        <w:gridCol w:w="684"/>
      </w:tblGrid>
      <w:tr>
        <w:trPr/>
        <w:tc>
          <w:tcPr>
            <w:tcW w:w="176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(in thousands)</w:t>
            </w:r>
          </w:p>
        </w:tc>
        <w:tc>
          <w:tcPr>
            <w:tcW w:w="204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br/>
              <w:t>2024</w:t>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br/>
              <w:t>2025</w:t>
            </w:r>
          </w:p>
        </w:tc>
      </w:tr>
      <w:tr>
        <w:trPr/>
        <w:tc>
          <w:tcPr>
            <w:tcW w:w="4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ASSETS</w:t>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and cash equivalents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$785,791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$1,036,389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Short-term investments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91,854 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104,078 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Accounts receivable</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128,923 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162,827 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cost of revenues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80,162 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102,663 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Prepaid expenses and other current assets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14,858 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30,649 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Noncurrent assets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200,140 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555,576 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assets</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$1,301,728</w:t>
            </w:r>
            <w:r>
              <w:rPr>
                <w:color w:val="4B4B4B"/>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$1,992,182</w:t>
            </w:r>
            <w:r>
              <w:rPr>
                <w:color w:val="4B4B4B"/>
              </w:rPr>
              <w:t>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LIABILITIES AND STOCKHOLDERS’ EQUITY</w:t>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revenues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372,884 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496,205 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Accounts payable</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6,381 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7,998 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Other current liabilities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42,966 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46,945 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Long-term obligation under operating leases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54,656 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93,779 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tax liabilities, net</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291 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liabilities</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477,178</w:t>
            </w:r>
            <w:r>
              <w:rPr>
                <w:color w:val="4B4B4B"/>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645,176</w:t>
            </w:r>
            <w:r>
              <w:rPr>
                <w:color w:val="4B4B4B"/>
              </w:rPr>
              <w:t>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stockholders’ equity</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824,550</w:t>
            </w:r>
            <w:r>
              <w:rPr>
                <w:color w:val="4B4B4B"/>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1,347,006</w:t>
            </w:r>
            <w:r>
              <w:rPr>
                <w:color w:val="4B4B4B"/>
              </w:rPr>
              <w:t>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liabilities and stockholders' equity</w:t>
            </w:r>
          </w:p>
        </w:tc>
        <w:tc>
          <w:tcPr>
            <w:tcW w:w="1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$1,301,728</w:t>
            </w:r>
            <w:r>
              <w:rPr>
                <w:color w:val="4B4B4B"/>
              </w:rPr>
              <w:t> </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$1,992,182</w:t>
            </w:r>
            <w:r>
              <w:rPr>
                <w:color w:val="4B4B4B"/>
              </w:rPr>
              <w:t> </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5730"/>
                <wp:effectExtent l="0" t="0" r="0" b="0"/>
                <wp:wrapNone/>
                <wp:docPr id="23" name="Frame1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50"/>
        <w:gridCol w:w="743"/>
        <w:gridCol w:w="746"/>
        <w:gridCol w:w="933"/>
        <w:gridCol w:w="289"/>
        <w:gridCol w:w="195"/>
        <w:gridCol w:w="195"/>
        <w:gridCol w:w="195"/>
        <w:gridCol w:w="195"/>
        <w:gridCol w:w="933"/>
        <w:gridCol w:w="289"/>
        <w:gridCol w:w="195"/>
        <w:gridCol w:w="178"/>
        <w:gridCol w:w="178"/>
        <w:gridCol w:w="178"/>
        <w:gridCol w:w="798"/>
        <w:gridCol w:w="373"/>
        <w:gridCol w:w="178"/>
        <w:gridCol w:w="178"/>
        <w:gridCol w:w="178"/>
        <w:gridCol w:w="178"/>
        <w:gridCol w:w="931"/>
        <w:gridCol w:w="435"/>
        <w:gridCol w:w="264"/>
      </w:tblGrid>
      <w:tr>
        <w:trPr/>
        <w:tc>
          <w:tcPr>
            <w:tcW w:w="125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 xml:space="preserve">CONDENSED CONSOLIDATED STATEMENTS OF OPERATIONS AND </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COMPREHENSIVE INCOME</w:t>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December 31,</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Year Ended</w:t>
            </w:r>
          </w:p>
          <w:p>
            <w:pPr>
              <w:pStyle w:val="TableContents"/>
              <w:bidi w:val="0"/>
              <w:spacing w:lineRule="auto" w:line="264" w:before="0" w:after="0"/>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December 31,</w:t>
            </w:r>
          </w:p>
        </w:tc>
      </w:tr>
      <w:tr>
        <w:trPr/>
        <w:tc>
          <w:tcPr>
            <w:tcW w:w="27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r>
      <w:tr>
        <w:trPr/>
        <w:tc>
          <w:tcPr>
            <w:tcW w:w="2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$209,550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$282,868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$748,024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$1,037,589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Cost of revenues</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58,925 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76,999 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203,645 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288,132 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profit</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150,625 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205,869 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544,379 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749,457 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Operating expenses:</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Research and development</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66,395 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79,556 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235,298 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306,323 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Sales and marketing</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24,815 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34,371 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90,494 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125,677 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General and administrative</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45,533 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48,488 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155,992 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181,887 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Total operating expenses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136,743 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162,415 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481,784 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613,887 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from operations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13,882 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43,454 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62,595 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135,570 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Other (expense) income, net</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(2,227)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(549)</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(2,986)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1,609 </w:t>
            </w:r>
          </w:p>
        </w:tc>
        <w:tc>
          <w:tcPr>
            <w:tcW w:w="2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before interest income and income taxes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11,655 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42,905 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59,609 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137,179 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Interest income</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10,697 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11,596 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42,697 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45,231 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before income taxes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22,352 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54,501 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102,306 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182,410 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Provision for (benefit from) income taxes (1)</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8,445 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12,547 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13,732 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(231,655)</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and comprehensive income (1)</w:t>
            </w:r>
          </w:p>
        </w:tc>
        <w:tc>
          <w:tcPr>
            <w:tcW w:w="12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$13,907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$41,954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$88,574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$414,065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5730"/>
                <wp:effectExtent l="0" t="0" r="0" b="0"/>
                <wp:wrapNone/>
                <wp:docPr id="24" name="Frame2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08"/>
        <w:gridCol w:w="1567"/>
        <w:gridCol w:w="1440"/>
        <w:gridCol w:w="610"/>
        <w:gridCol w:w="603"/>
        <w:gridCol w:w="365"/>
        <w:gridCol w:w="365"/>
        <w:gridCol w:w="365"/>
        <w:gridCol w:w="365"/>
        <w:gridCol w:w="690"/>
        <w:gridCol w:w="676"/>
        <w:gridCol w:w="1051"/>
      </w:tblGrid>
      <w:tr>
        <w:trPr/>
        <w:tc>
          <w:tcPr>
            <w:tcW w:w="210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283"/>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CONDENSED CONSOLIDATED STATEMENTS OF CASH FLOWS</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Year Ended</w:t>
            </w:r>
          </w:p>
          <w:p>
            <w:pPr>
              <w:pStyle w:val="TableContents"/>
              <w:bidi w:val="0"/>
              <w:spacing w:lineRule="auto" w:line="264" w:before="0" w:after="0"/>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5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flows from operating activities:</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color w:val="4B4B4B"/>
              </w:rPr>
            </w:pPr>
            <w:r>
              <w:rPr>
                <w:color w:val="4B4B4B"/>
              </w:rPr>
              <w:t>   </w:t>
            </w:r>
            <w:r>
              <w:rPr>
                <w:rFonts w:ascii="DIN Next Rounded LT Pro;sans-serif" w:hAnsi="DIN Next Rounded LT Pro;sans-serif"/>
                <w:b w:val="false"/>
                <w:color w:val="4B4B4B"/>
                <w:sz w:val="21"/>
              </w:rPr>
              <w:t>Net income (1)</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$88,574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$414,065 </w:t>
            </w:r>
          </w:p>
        </w:tc>
        <w:tc>
          <w:tcPr>
            <w:tcW w:w="10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Adjustments to reconcile net income to net cash provided by operating activities:</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income taxes</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(225,185)</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Depreciation and amortization</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10,854 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14,391 </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Stock-based compensation expense</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110,477 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137,437 </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Accretion on marketable securities, net</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(551)</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(1,851)</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Impairment of capitalized software</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Changes in assets and liabilities:</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75,921 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48,966 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operating activities</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285,513</w:t>
            </w:r>
            <w:r>
              <w:rPr>
                <w:color w:val="4B4B4B"/>
              </w:rPr>
              <w:t>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387,823</w:t>
            </w:r>
            <w:r>
              <w:rPr>
                <w:color w:val="4B4B4B"/>
              </w:rPr>
              <w:t> </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used for investing activities</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(217,330)</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(107,678)</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used for financing activities</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(30,002)</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(29,547)</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increase in cash, cash equivalents and restricted cash</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38,181 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250,598 </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cash equivalents and restricted cash - Beginning of period</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750,345 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788,526 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cash equivalents and restricted cash - End of period</w:t>
            </w:r>
          </w:p>
        </w:tc>
        <w:tc>
          <w:tcPr>
            <w:tcW w:w="121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$788,526 </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$1,039,124 </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5730"/>
                <wp:effectExtent l="0" t="0" r="0" b="0"/>
                <wp:wrapNone/>
                <wp:docPr id="25" name="Frame2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18</w:t>
                      </w:r>
                    </w:p>
                  </w:txbxContent>
                </v:textbox>
                <w10:wrap type="none"/>
              </v:rect>
            </w:pict>
          </mc:Fallback>
        </mc:AlternateContent>
      </w:r>
    </w:p>
    <w:p>
      <w:pPr>
        <w:pStyle w:val="TextBody"/>
        <w:bidi w:val="0"/>
        <w:spacing w:lineRule="auto" w:line="264" w:before="0" w:after="0"/>
        <w:jc w:val="left"/>
        <w:rPr>
          <w:rFonts w:ascii="Feather Bold;serif" w:hAnsi="Feather Bold;serif"/>
          <w:b/>
          <w:color w:val="FFFFFF"/>
          <w:sz w:val="120"/>
          <w:shd w:fill="58CC02" w:val="clear"/>
        </w:rPr>
      </w:pPr>
      <w:r>
        <w:rPr>
          <w:rFonts w:ascii="Feather Bold;serif" w:hAnsi="Feather Bold;serif"/>
          <w:b/>
          <w:color w:val="FFFFFF"/>
          <w:sz w:val="120"/>
          <w:shd w:fill="58CC02" w:val="clear"/>
        </w:rPr>
        <w:t>appendix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58CC02"/>
          <w:sz w:val="24"/>
          <w:shd w:fill="58CC02" w:val="clear"/>
        </w:rPr>
      </w:pPr>
      <w:r>
        <w:rPr>
          <w:rFonts w:ascii="Arial;sans-serif" w:hAnsi="Arial;sans-serif"/>
          <w:b w:val="false"/>
          <w:color w:val="58CC02"/>
          <w:sz w:val="24"/>
          <w:shd w:fill="58CC02" w:val="clear"/>
        </w:rPr>
        <w:t>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Adjusted EBITDA and Adjusted EBITDA Margin and GAAP Operating Expenses and Non-GAAP Operating Expenses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 is defined as net income excluding interest income, income taxes, depreciation and amortization, stock-based compensation expenses related to equity awards, transaction costs related to acquisitions, acquisition earn-out costs and impairment of capitalized software. Beginning in the third quarter of 2025, we updated our definition of Adjusted EBITDA to include integration costs related to acquisitions. We did not incur integration costs in periods prior to 2025. Adjusted EBITDA margin is defined as Adjusted EBITDA as a percentage of revenues. GAAP operating expenses consist of research and development, sales and marketing, and general and administrative expenses. Non-GAAP operating expenses are defined as the respective GAAP operating expenses excluding depreciation and amortization, stock-based compensation expenses related to equity awards, and, as applicable, transaction costs related to acquisitions, acquisition earn-out costs and impairment of capitalized software. These non-GAAP financial measures are used by management to evaluate the financial performance of our business and we present these non-GAAP financial measures because we believe that they are helpful in highlighting trends in our operating results and that they are frequently used by analysts, investors and other interested parties to evaluate companies in our industry. The following tables present a reconciliation of our net income and GAAP operating expenses, the most directly comparable financial measures presented in accordance with GAAP, to Adjusted EBITDA and Adjusted EBITDA margin and non-GAAP operating expenses, respectively.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1"/>
        <w:gridCol w:w="1187"/>
        <w:gridCol w:w="1195"/>
        <w:gridCol w:w="584"/>
        <w:gridCol w:w="587"/>
        <w:gridCol w:w="294"/>
        <w:gridCol w:w="584"/>
        <w:gridCol w:w="587"/>
        <w:gridCol w:w="294"/>
        <w:gridCol w:w="644"/>
        <w:gridCol w:w="647"/>
        <w:gridCol w:w="236"/>
        <w:gridCol w:w="682"/>
        <w:gridCol w:w="684"/>
        <w:gridCol w:w="409"/>
      </w:tblGrid>
      <w:tr>
        <w:trPr/>
        <w:tc>
          <w:tcPr>
            <w:tcW w:w="159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77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r>
      <w:tr>
        <w:trPr/>
        <w:tc>
          <w:tcPr>
            <w:tcW w:w="3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income (1)</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$13,907</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$41,954</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$88,574</w:t>
            </w:r>
            <w:r>
              <w:rPr>
                <w:color w:val="4B4B4B"/>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$414,065</w:t>
            </w:r>
            <w:r>
              <w:rPr>
                <w:color w:val="4B4B4B"/>
              </w:rPr>
              <w:t>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Add (deduct):</w:t>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Interest income</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(10,697)</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(11,596)</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(42,697)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(45,231)</w:t>
            </w:r>
          </w:p>
        </w:tc>
        <w:tc>
          <w:tcPr>
            <w:tcW w:w="409"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Provision for (benefit from) income taxes (1)</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8,445 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12,547 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13,732 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(231,655)</w:t>
            </w:r>
          </w:p>
        </w:tc>
        <w:tc>
          <w:tcPr>
            <w:tcW w:w="409"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Depreciation and amortization</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3,661 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3,808 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10,854 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14,391 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Stock-based compensation expenses related to equity awards (2)</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36,620 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37,229 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120,267 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148,643 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Acquisition transaction and integration costs (3)</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774 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4,847 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Acquisition earn-out costs (4)</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818 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Impairment of capitalized software (5)</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$52,312</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$84,348</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$191,942</w:t>
            </w:r>
            <w:r>
              <w:rPr>
                <w:color w:val="4B4B4B"/>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$305,878</w:t>
            </w:r>
            <w:r>
              <w:rPr>
                <w:color w:val="4B4B4B"/>
              </w:rPr>
              <w:t>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17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$209,550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$282,868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$748,024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$1,037,589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77" w:type="dxa"/>
        <w:jc w:val="left"/>
        <w:tblInd w:w="0" w:type="dxa"/>
        <w:tblLayout w:type="fixed"/>
        <w:tblCellMar>
          <w:top w:w="28" w:type="dxa"/>
          <w:left w:w="28" w:type="dxa"/>
          <w:bottom w:w="28" w:type="dxa"/>
          <w:right w:w="28" w:type="dxa"/>
        </w:tblCellMar>
      </w:tblPr>
      <w:tblGrid>
        <w:gridCol w:w="1102"/>
        <w:gridCol w:w="970"/>
        <w:gridCol w:w="972"/>
        <w:gridCol w:w="315"/>
        <w:gridCol w:w="316"/>
        <w:gridCol w:w="316"/>
        <w:gridCol w:w="315"/>
        <w:gridCol w:w="316"/>
        <w:gridCol w:w="316"/>
        <w:gridCol w:w="315"/>
        <w:gridCol w:w="316"/>
        <w:gridCol w:w="316"/>
        <w:gridCol w:w="315"/>
        <w:gridCol w:w="316"/>
        <w:gridCol w:w="361"/>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margin</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25.0</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29.8</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25.7</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29.5</w:t>
            </w:r>
          </w:p>
        </w:tc>
        <w:tc>
          <w:tcPr>
            <w:tcW w:w="361"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5730"/>
                <wp:effectExtent l="0" t="0" r="0" b="0"/>
                <wp:wrapNone/>
                <wp:docPr id="27" name="Frame2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20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17"/>
        <w:gridCol w:w="881"/>
        <w:gridCol w:w="881"/>
        <w:gridCol w:w="860"/>
        <w:gridCol w:w="555"/>
        <w:gridCol w:w="424"/>
        <w:gridCol w:w="860"/>
        <w:gridCol w:w="555"/>
        <w:gridCol w:w="438"/>
        <w:gridCol w:w="645"/>
        <w:gridCol w:w="646"/>
        <w:gridCol w:w="236"/>
        <w:gridCol w:w="645"/>
        <w:gridCol w:w="646"/>
        <w:gridCol w:w="316"/>
      </w:tblGrid>
      <w:tr>
        <w:trPr/>
        <w:tc>
          <w:tcPr>
            <w:tcW w:w="1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7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Operating Expense</w:t>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134" w:type="dxa"/>
            <w:gridSpan w:val="6"/>
            <w:tcBorders/>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Operating Expense</w:t>
            </w:r>
          </w:p>
        </w:tc>
        <w:tc>
          <w:tcPr>
            <w:tcW w:w="1415"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$136,743</w:t>
            </w:r>
            <w:r>
              <w:rPr>
                <w:color w:val="4B4B4B"/>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$162,415</w:t>
            </w:r>
            <w:r>
              <w:rPr>
                <w:color w:val="4B4B4B"/>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$481,784</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$613,887</w:t>
            </w:r>
            <w:r>
              <w:rPr>
                <w:color w:val="4B4B4B"/>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(1,540)</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(1,449)</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(5,544)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(5,733)</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(36,606)</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(37,205)</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(120,199)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(148,547)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 (4) (5)</w:t>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(376)</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(406)</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(1,212)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(5,665)</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Operating Expense</w:t>
            </w:r>
          </w:p>
        </w:tc>
        <w:tc>
          <w:tcPr>
            <w:tcW w:w="141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$98,221</w:t>
            </w:r>
            <w:r>
              <w:rPr>
                <w:color w:val="4B4B4B"/>
              </w:rPr>
              <w:t> </w:t>
            </w:r>
          </w:p>
        </w:tc>
        <w:tc>
          <w:tcPr>
            <w:tcW w:w="4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$123,355</w:t>
            </w:r>
            <w:r>
              <w:rPr>
                <w:color w:val="4B4B4B"/>
              </w:rPr>
              <w:t> </w:t>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$354,829</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$453,942</w:t>
            </w:r>
            <w:r>
              <w:rPr>
                <w:color w:val="4B4B4B"/>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9"/>
        <w:gridCol w:w="1020"/>
        <w:gridCol w:w="1020"/>
        <w:gridCol w:w="892"/>
        <w:gridCol w:w="616"/>
        <w:gridCol w:w="618"/>
        <w:gridCol w:w="570"/>
        <w:gridCol w:w="571"/>
        <w:gridCol w:w="278"/>
        <w:gridCol w:w="645"/>
        <w:gridCol w:w="646"/>
        <w:gridCol w:w="236"/>
        <w:gridCol w:w="645"/>
        <w:gridCol w:w="646"/>
        <w:gridCol w:w="313"/>
      </w:tblGrid>
      <w:tr>
        <w:trPr/>
        <w:tc>
          <w:tcPr>
            <w:tcW w:w="148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6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R&amp;D 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131" w:type="dxa"/>
            <w:gridSpan w:val="6"/>
            <w:tcBorders/>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R&amp;D Expense</w:t>
            </w:r>
          </w:p>
        </w:tc>
        <w:tc>
          <w:tcPr>
            <w:tcW w:w="1508"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$66,395</w:t>
            </w:r>
            <w:r>
              <w:rPr>
                <w:color w:val="4B4B4B"/>
              </w:rPr>
              <w:t> </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$79,556</w:t>
            </w:r>
            <w:r>
              <w:rPr>
                <w:color w:val="4B4B4B"/>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$235,298</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$306,323</w:t>
            </w:r>
            <w:r>
              <w:rPr>
                <w:color w:val="4B4B4B"/>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(770)</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(877)</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(2,358)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(3,328)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(17,574)</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(24,272)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(62,394)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(89,132)</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 (5)</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(2,798)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R&amp;D Expense</w:t>
            </w:r>
          </w:p>
        </w:tc>
        <w:tc>
          <w:tcPr>
            <w:tcW w:w="15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$47,813</w:t>
            </w:r>
            <w:r>
              <w:rPr>
                <w:color w:val="4B4B4B"/>
              </w:rPr>
              <w:t> </w:t>
            </w:r>
          </w:p>
        </w:tc>
        <w:tc>
          <w:tcPr>
            <w:tcW w:w="6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$54,407</w:t>
            </w:r>
            <w:r>
              <w:rPr>
                <w:color w:val="4B4B4B"/>
              </w:rPr>
              <w:t>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$170,308</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$211,065</w:t>
            </w:r>
            <w:r>
              <w:rPr>
                <w:color w:val="4B4B4B"/>
              </w:rPr>
              <w:t>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1"/>
        <w:gridCol w:w="1057"/>
        <w:gridCol w:w="1057"/>
        <w:gridCol w:w="901"/>
        <w:gridCol w:w="632"/>
        <w:gridCol w:w="633"/>
        <w:gridCol w:w="570"/>
        <w:gridCol w:w="571"/>
        <w:gridCol w:w="280"/>
        <w:gridCol w:w="570"/>
        <w:gridCol w:w="571"/>
        <w:gridCol w:w="236"/>
        <w:gridCol w:w="645"/>
        <w:gridCol w:w="646"/>
        <w:gridCol w:w="315"/>
      </w:tblGrid>
      <w:tr>
        <w:trPr/>
        <w:tc>
          <w:tcPr>
            <w:tcW w:w="152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S&amp;M Expense</w:t>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2983" w:type="dxa"/>
            <w:gridSpan w:val="6"/>
            <w:tcBorders/>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S&amp;M Expense</w:t>
            </w:r>
          </w:p>
        </w:tc>
        <w:tc>
          <w:tcPr>
            <w:tcW w:w="1533"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$24,815</w:t>
            </w:r>
            <w:r>
              <w:rPr>
                <w:color w:val="4B4B4B"/>
              </w:rPr>
              <w:t>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$34,371</w:t>
            </w:r>
            <w:r>
              <w:rPr>
                <w:color w:val="4B4B4B"/>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$90,494</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$125,677</w:t>
            </w:r>
            <w:r>
              <w:rPr>
                <w:color w:val="4B4B4B"/>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3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(214)</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(224)</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(860)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53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(1,401)</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(1,728)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(5,042)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(6,595)</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w:t>
            </w:r>
          </w:p>
        </w:tc>
        <w:tc>
          <w:tcPr>
            <w:tcW w:w="1533"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S&amp;M Expense</w:t>
            </w:r>
          </w:p>
        </w:tc>
        <w:tc>
          <w:tcPr>
            <w:tcW w:w="153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$23,200</w:t>
            </w:r>
            <w:r>
              <w:rPr>
                <w:color w:val="4B4B4B"/>
              </w:rPr>
              <w:t> </w:t>
            </w:r>
          </w:p>
        </w:tc>
        <w:tc>
          <w:tcPr>
            <w:tcW w:w="6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$32,418</w:t>
            </w:r>
            <w:r>
              <w:rPr>
                <w:color w:val="4B4B4B"/>
              </w:rPr>
              <w:t> </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$84,592</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$118,012</w:t>
            </w:r>
            <w:r>
              <w:rPr>
                <w:color w:val="4B4B4B"/>
              </w:rPr>
              <w:t>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9"/>
        <w:gridCol w:w="1020"/>
        <w:gridCol w:w="1020"/>
        <w:gridCol w:w="892"/>
        <w:gridCol w:w="616"/>
        <w:gridCol w:w="618"/>
        <w:gridCol w:w="570"/>
        <w:gridCol w:w="571"/>
        <w:gridCol w:w="278"/>
        <w:gridCol w:w="645"/>
        <w:gridCol w:w="646"/>
        <w:gridCol w:w="236"/>
        <w:gridCol w:w="645"/>
        <w:gridCol w:w="646"/>
        <w:gridCol w:w="313"/>
      </w:tblGrid>
      <w:tr>
        <w:trPr/>
        <w:tc>
          <w:tcPr>
            <w:tcW w:w="148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6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G&amp;A 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131" w:type="dxa"/>
            <w:gridSpan w:val="6"/>
            <w:tcBorders/>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G&amp;A Expense</w:t>
            </w:r>
          </w:p>
        </w:tc>
        <w:tc>
          <w:tcPr>
            <w:tcW w:w="1508"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$45,533</w:t>
            </w:r>
            <w:r>
              <w:rPr>
                <w:color w:val="4B4B4B"/>
              </w:rPr>
              <w:t> </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$48,488</w:t>
            </w:r>
            <w:r>
              <w:rPr>
                <w:color w:val="4B4B4B"/>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$155,992</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$181,887</w:t>
            </w:r>
            <w:r>
              <w:rPr>
                <w:color w:val="4B4B4B"/>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(556)</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(348)</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(2,326)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(1,468)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(17,631)</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(11,205)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(52,763)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(52,820)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 (4)</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(138)</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(974)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(2,734)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G&amp;A Expense</w:t>
            </w:r>
          </w:p>
        </w:tc>
        <w:tc>
          <w:tcPr>
            <w:tcW w:w="15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$27,208</w:t>
            </w:r>
            <w:r>
              <w:rPr>
                <w:color w:val="4B4B4B"/>
              </w:rPr>
              <w:t> </w:t>
            </w:r>
          </w:p>
        </w:tc>
        <w:tc>
          <w:tcPr>
            <w:tcW w:w="6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$36,529</w:t>
            </w:r>
            <w:r>
              <w:rPr>
                <w:color w:val="4B4B4B"/>
              </w:rPr>
              <w:t>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$99,929</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$124,865</w:t>
            </w:r>
            <w:r>
              <w:rPr>
                <w:color w:val="4B4B4B"/>
              </w:rPr>
              <w:t>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5730"/>
                <wp:effectExtent l="0" t="0" r="0" b="0"/>
                <wp:wrapNone/>
                <wp:docPr id="28" name="Frame2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21    </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Free Cash Flow and Free Cash Flow Margin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Free cash flow is defined as net cash provided by operating activities, less capitalized software development costs and purchases of property and equipment. Prior to the first quarter of 2025, free cash flow added back taxes paid related to stock-based compensation equity awards, acquisition transaction costs, and acquisition earn-out payments. Beginning in Q1 2025, we have aligned our calculation of free cash flow to this definition, and prior periods in this letter have been recast to conform to this presentation. Free cash flow margin is defined as Free cash flow as a percentage of revenues.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8"/>
        <w:gridCol w:w="1156"/>
        <w:gridCol w:w="1163"/>
        <w:gridCol w:w="584"/>
        <w:gridCol w:w="587"/>
        <w:gridCol w:w="279"/>
        <w:gridCol w:w="645"/>
        <w:gridCol w:w="646"/>
        <w:gridCol w:w="279"/>
        <w:gridCol w:w="645"/>
        <w:gridCol w:w="646"/>
        <w:gridCol w:w="236"/>
        <w:gridCol w:w="682"/>
        <w:gridCol w:w="684"/>
        <w:gridCol w:w="445"/>
      </w:tblGrid>
      <w:tr>
        <w:trPr/>
        <w:tc>
          <w:tcPr>
            <w:tcW w:w="152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338" w:type="dxa"/>
            <w:gridSpan w:val="6"/>
            <w:tcBorders/>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operating activities</w:t>
            </w:r>
          </w:p>
        </w:tc>
        <w:tc>
          <w:tcPr>
            <w:tcW w:w="117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$83,344</w:t>
            </w:r>
            <w:r>
              <w:rPr>
                <w:color w:val="4B4B4B"/>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$107,278</w:t>
            </w:r>
            <w:r>
              <w:rPr>
                <w:color w:val="4B4B4B"/>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$285,513</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$387,823</w:t>
            </w:r>
            <w:r>
              <w:rPr>
                <w:color w:val="4B4B4B"/>
              </w:rPr>
              <w:t> </w:t>
            </w:r>
          </w:p>
        </w:tc>
        <w:tc>
          <w:tcPr>
            <w:tcW w:w="44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Capitalized software development costs and purchases of intangible assets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(479)</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(2,819)</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(9,024)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(9,303)</w:t>
            </w:r>
          </w:p>
        </w:tc>
        <w:tc>
          <w:tcPr>
            <w:tcW w:w="445"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Purchases of property and equipment</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(1,961)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(10,727)</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(12,116)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(18,096)</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Free cash flow (6)</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$80,904</w:t>
            </w:r>
            <w:r>
              <w:rPr>
                <w:color w:val="4B4B4B"/>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$93,732</w:t>
            </w:r>
            <w:r>
              <w:rPr>
                <w:color w:val="4B4B4B"/>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$264,373</w:t>
            </w:r>
            <w:r>
              <w:rPr>
                <w:color w:val="4B4B4B"/>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$360,424</w:t>
            </w:r>
            <w:r>
              <w:rPr>
                <w:color w:val="4B4B4B"/>
              </w:rPr>
              <w:t>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$209,550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$282,868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$748,024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$1,037,589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62" w:type="dxa"/>
        <w:jc w:val="left"/>
        <w:tblInd w:w="0" w:type="dxa"/>
        <w:tblLayout w:type="fixed"/>
        <w:tblCellMar>
          <w:top w:w="28" w:type="dxa"/>
          <w:left w:w="28" w:type="dxa"/>
          <w:bottom w:w="28" w:type="dxa"/>
          <w:right w:w="28" w:type="dxa"/>
        </w:tblCellMar>
      </w:tblPr>
      <w:tblGrid>
        <w:gridCol w:w="988"/>
        <w:gridCol w:w="869"/>
        <w:gridCol w:w="872"/>
        <w:gridCol w:w="315"/>
        <w:gridCol w:w="316"/>
        <w:gridCol w:w="316"/>
        <w:gridCol w:w="315"/>
        <w:gridCol w:w="316"/>
        <w:gridCol w:w="316"/>
        <w:gridCol w:w="315"/>
        <w:gridCol w:w="316"/>
        <w:gridCol w:w="316"/>
        <w:gridCol w:w="315"/>
        <w:gridCol w:w="316"/>
        <w:gridCol w:w="36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Free cash flow margin</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38.6</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33.1</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35.3</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34.7</w:t>
            </w:r>
          </w:p>
        </w:tc>
        <w:tc>
          <w:tcPr>
            <w:tcW w:w="361"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In addition to stock-based compensation expense of $29.8 million and $36.3 million for the three months ended December 31, 2024 and 2025, respectively, and $110.5 million and $137.4 million for the year ended December 31, 2024 and 2025, respectively, this includes costs incurred related to taxes paid on equity transactions.</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(3) Represents costs incurred related to acquisitions.</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(4) Represents costs incurred related to the earn-out payment on an acquisition.</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(5) Represents impairment of capitalized software.</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(6) The prior period has been recast to conform to current period presentation of free cash flow. See the definition of Free Cash Flow above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5730"/>
                <wp:effectExtent l="0" t="0" r="0" b="0"/>
                <wp:wrapNone/>
                <wp:docPr id="29" name="Frame2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22    </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Contacts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Investor Relations: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Deborah Belevan, VP of Investor Relations </w:t>
      </w:r>
    </w:p>
    <w:p>
      <w:pPr>
        <w:pStyle w:val="TextBody"/>
        <w:bidi w:val="0"/>
        <w:spacing w:lineRule="auto" w:line="360" w:before="0" w:after="0"/>
        <w:jc w:val="left"/>
        <w:rPr>
          <w:rFonts w:ascii="DIN Next Rounded LT Pro;sans-serif" w:hAnsi="DIN Next Rounded LT Pro;sans-serif"/>
          <w:b/>
          <w:color w:val="1CB0F6"/>
          <w:sz w:val="21"/>
        </w:rPr>
      </w:pPr>
      <w:r>
        <w:rPr>
          <w:rFonts w:ascii="DIN Next Rounded LT Pro;sans-serif" w:hAnsi="DIN Next Rounded LT Pro;sans-serif"/>
          <w:b/>
          <w:color w:val="1CB0F6"/>
          <w:sz w:val="21"/>
        </w:rPr>
        <w:t>ir@duolingo.com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Press: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Monica Earle, Director of Public Relations</w:t>
      </w:r>
    </w:p>
    <w:p>
      <w:pPr>
        <w:pStyle w:val="TextBody"/>
        <w:bidi w:val="0"/>
        <w:spacing w:lineRule="auto" w:line="360" w:before="0" w:after="0"/>
        <w:jc w:val="left"/>
        <w:rPr>
          <w:rFonts w:ascii="DIN Next Rounded LT Pro;sans-serif" w:hAnsi="DIN Next Rounded LT Pro;sans-serif"/>
          <w:b/>
          <w:color w:val="1CB0F6"/>
          <w:sz w:val="21"/>
        </w:rPr>
      </w:pPr>
      <w:r>
        <w:rPr>
          <w:rFonts w:ascii="DIN Next Rounded LT Pro;sans-serif" w:hAnsi="DIN Next Rounded LT Pro;sans-serif"/>
          <w:b/>
          <w:color w:val="1CB0F6"/>
          <w:sz w:val="21"/>
        </w:rPr>
        <w:t>press@duolingo.com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5730"/>
                <wp:effectExtent l="0" t="0" r="0" b="0"/>
                <wp:wrapNone/>
                <wp:docPr id="30" name="Frame2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23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shd w:fill="58CC02" w:val="clear"/>
        </w:rPr>
      </w:pPr>
      <w:r>
        <w:rPr>
          <w:shd w:fill="58CC02" w:val="clear"/>
        </w:rPr>
        <w:drawing>
          <wp:inline distT="0" distB="0" distL="0" distR="0">
            <wp:extent cx="847725" cy="819150"/>
            <wp:effectExtent l="0" t="0" r="0" b="0"/>
            <wp:docPr id="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
                    <pic:cNvPicPr>
                      <a:picLocks noChangeAspect="1" noChangeArrowheads="1"/>
                    </pic:cNvPicPr>
                  </pic:nvPicPr>
                  <pic:blipFill>
                    <a:blip r:embed="rId6"/>
                    <a:stretch>
                      <a:fillRect/>
                    </a:stretch>
                  </pic:blipFill>
                  <pic:spPr bwMode="auto">
                    <a:xfrm>
                      <a:off x="0" y="0"/>
                      <a:ext cx="847725" cy="8191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Feather Bold">
    <w:altName w:val="serif"/>
    <w:charset w:val="01"/>
    <w:family w:val="auto"/>
    <w:pitch w:val="default"/>
  </w:font>
  <w:font w:name="DIN Next Rounded LT Pro">
    <w:altName w:val="sans-serif"/>
    <w:charset w:val="01"/>
    <w:family w:val="auto"/>
    <w:pitch w:val="default"/>
  </w:font>
  <w:font w:name="DIN Next Rounded LT Pro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6722</Words>
  <Characters>36898</Characters>
  <CharactersWithSpaces>43838</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