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w:t>
      </w: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Duolingo,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26603R106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565"/>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jc w:val="both"/>
        <w:ind w:left="580" w:right="9020" w:hanging="5"/>
        <w:spacing w:after="0" w:line="225" w:lineRule="exact"/>
        <w:tabs>
          <w:tab w:leader="none" w:pos="114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3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3"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72"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26603R106</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88"/>
              </w:rPr>
              <w:t>Page 2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General Atlantic, L.P.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160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160" w:hanging="1125"/>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1,849,286</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2" w:name="page3"/>
    <w:bookmarkEnd w:id="2"/>
    <w:p>
      <w:pPr>
        <w:spacing w:after="0" w:line="196" w:lineRule="auto"/>
        <w:framePr w:w="180" w:h="160" w:wrap="auto" w:vAnchor="page" w:hAnchor="page" w:x="2560" w:y="6028"/>
        <w:rPr>
          <w:rFonts w:ascii="Arial" w:cs="Arial" w:eastAsia="Arial" w:hAnsi="Arial"/>
          <w:sz w:val="17"/>
          <w:szCs w:val="17"/>
          <w:color w:val="auto"/>
        </w:rPr>
      </w:pPr>
      <w:r>
        <w:rPr>
          <w:rFonts w:ascii="Arial" w:cs="Arial" w:eastAsia="Arial" w:hAnsi="Arial"/>
          <w:sz w:val="17"/>
          <w:szCs w:val="17"/>
          <w:color w:val="auto"/>
        </w:rPr>
        <w:t>0</w:t>
      </w: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26603R106</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88"/>
              </w:rPr>
              <w:t>Page 3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General Atlantic (SPV) GP, LLC</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160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rFonts w:ascii="Arial" w:cs="Arial" w:eastAsia="Arial" w:hAnsi="Arial"/>
          <w:sz w:val="17"/>
          <w:szCs w:val="17"/>
          <w:color w:val="auto"/>
        </w:rPr>
      </w:pPr>
    </w:p>
    <w:p>
      <w:pPr>
        <w:spacing w:after="0" w:line="210" w:lineRule="exact"/>
        <w:rPr>
          <w:rFonts w:ascii="Arial" w:cs="Arial" w:eastAsia="Arial" w:hAnsi="Arial"/>
          <w:sz w:val="17"/>
          <w:szCs w:val="17"/>
          <w:color w:val="auto"/>
        </w:rPr>
      </w:pPr>
    </w:p>
    <w:p>
      <w:pPr>
        <w:ind w:left="1160" w:hanging="1125"/>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7"/>
          <w:szCs w:val="17"/>
          <w:color w:val="auto"/>
        </w:rPr>
      </w:pPr>
    </w:p>
    <w:p>
      <w:pPr>
        <w:ind w:left="1160"/>
        <w:spacing w:after="0"/>
        <w:rPr>
          <w:sz w:val="20"/>
          <w:szCs w:val="20"/>
          <w:color w:val="auto"/>
        </w:rPr>
      </w:pPr>
      <w:r>
        <w:rPr>
          <w:rFonts w:ascii="Arial" w:cs="Arial" w:eastAsia="Arial" w:hAnsi="Arial"/>
          <w:sz w:val="17"/>
          <w:szCs w:val="17"/>
          <w:color w:val="auto"/>
        </w:rPr>
        <w:t>Delaware</w:t>
      </w:r>
    </w:p>
    <w:p>
      <w:pPr>
        <w:spacing w:after="0" w:line="48" w:lineRule="exact"/>
        <w:rPr>
          <w:rFonts w:ascii="Arial" w:cs="Arial" w:eastAsia="Arial" w:hAnsi="Arial"/>
          <w:sz w:val="17"/>
          <w:szCs w:val="17"/>
          <w:color w:val="auto"/>
        </w:rPr>
      </w:pPr>
    </w:p>
    <w:p>
      <w:pPr>
        <w:ind w:left="2280" w:hanging="328"/>
        <w:spacing w:after="0"/>
        <w:tabs>
          <w:tab w:leader="none" w:pos="2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83" w:lineRule="exact"/>
        <w:rPr>
          <w:rFonts w:ascii="Arial" w:cs="Arial" w:eastAsia="Arial" w:hAnsi="Arial"/>
          <w:sz w:val="17"/>
          <w:szCs w:val="17"/>
          <w:color w:val="auto"/>
        </w:rPr>
      </w:pPr>
    </w:p>
    <w:p>
      <w:pPr>
        <w:ind w:left="2280"/>
        <w:spacing w:after="0"/>
        <w:rPr>
          <w:sz w:val="20"/>
          <w:szCs w:val="20"/>
          <w:color w:val="auto"/>
        </w:rPr>
      </w:pPr>
      <w:r>
        <w:rPr>
          <w:rFonts w:ascii="Arial" w:cs="Arial" w:eastAsia="Arial" w:hAnsi="Arial"/>
          <w:sz w:val="18"/>
          <w:szCs w:val="18"/>
          <w:color w:val="auto"/>
        </w:rPr>
        <w:t>0</w:t>
      </w:r>
    </w:p>
    <w:p>
      <w:pPr>
        <w:ind w:left="460"/>
        <w:spacing w:after="0" w:line="191" w:lineRule="auto"/>
        <w:tabs>
          <w:tab w:leader="none" w:pos="1940" w:val="left"/>
          <w:tab w:leader="none" w:pos="2260" w:val="left"/>
        </w:tabs>
        <w:rPr>
          <w:sz w:val="20"/>
          <w:szCs w:val="20"/>
          <w:color w:val="auto"/>
        </w:rPr>
      </w:pPr>
      <w:r>
        <w:rPr>
          <w:rFonts w:ascii="Arial" w:cs="Arial" w:eastAsia="Arial" w:hAnsi="Arial"/>
          <w:sz w:val="25"/>
          <w:szCs w:val="25"/>
          <w:color w:val="auto"/>
          <w:vertAlign w:val="superscript"/>
        </w:rPr>
        <w:t>NUMBER OF</w:t>
      </w:r>
      <w:r>
        <w:rPr>
          <w:sz w:val="20"/>
          <w:szCs w:val="20"/>
          <w:color w:val="auto"/>
        </w:rPr>
        <w:tab/>
      </w:r>
      <w:r>
        <w:rPr>
          <w:rFonts w:ascii="Arial" w:cs="Arial" w:eastAsia="Arial" w:hAnsi="Arial"/>
          <w:sz w:val="15"/>
          <w:szCs w:val="15"/>
          <w:color w:val="auto"/>
        </w:rPr>
        <w:t>6</w:t>
      </w:r>
      <w:r>
        <w:rPr>
          <w:sz w:val="20"/>
          <w:szCs w:val="20"/>
          <w:color w:val="auto"/>
        </w:rPr>
        <w:tab/>
      </w:r>
      <w:r>
        <w:rPr>
          <w:rFonts w:ascii="Arial" w:cs="Arial" w:eastAsia="Arial" w:hAnsi="Arial"/>
          <w:sz w:val="15"/>
          <w:szCs w:val="15"/>
          <w:color w:val="auto"/>
        </w:rPr>
        <w:t>SHARED VOTING POWER</w:t>
      </w:r>
    </w:p>
    <w:p>
      <w:pPr>
        <w:ind w:left="640"/>
        <w:spacing w:after="0"/>
        <w:rPr>
          <w:sz w:val="20"/>
          <w:szCs w:val="20"/>
          <w:color w:val="auto"/>
        </w:rPr>
      </w:pPr>
      <w:r>
        <w:rPr>
          <w:rFonts w:ascii="Arial" w:cs="Arial" w:eastAsia="Arial" w:hAnsi="Arial"/>
          <w:sz w:val="18"/>
          <w:szCs w:val="18"/>
          <w:color w:val="auto"/>
        </w:rPr>
        <w:t>SHARES</w:t>
      </w:r>
    </w:p>
    <w:p>
      <w:pPr>
        <w:ind w:left="340"/>
        <w:spacing w:after="0" w:line="180" w:lineRule="auto"/>
        <w:tabs>
          <w:tab w:leader="none" w:pos="2260" w:val="left"/>
        </w:tabs>
        <w:rPr>
          <w:sz w:val="20"/>
          <w:szCs w:val="20"/>
          <w:color w:val="auto"/>
        </w:rPr>
      </w:pPr>
      <w:r>
        <w:rPr>
          <w:rFonts w:ascii="Arial" w:cs="Arial" w:eastAsia="Arial" w:hAnsi="Arial"/>
          <w:sz w:val="15"/>
          <w:szCs w:val="15"/>
          <w:color w:val="auto"/>
        </w:rPr>
        <w:t>BENEFICIALLY</w:t>
      </w:r>
      <w:r>
        <w:rPr>
          <w:sz w:val="20"/>
          <w:szCs w:val="20"/>
          <w:color w:val="auto"/>
        </w:rPr>
        <w:tab/>
      </w:r>
      <w:r>
        <w:rPr>
          <w:rFonts w:ascii="Arial" w:cs="Arial" w:eastAsia="Arial" w:hAnsi="Arial"/>
          <w:sz w:val="26"/>
          <w:szCs w:val="26"/>
          <w:color w:val="auto"/>
          <w:vertAlign w:val="subscript"/>
        </w:rPr>
        <w:t>1,849,286</w:t>
      </w:r>
    </w:p>
    <w:p>
      <w:pPr>
        <w:ind w:left="640"/>
        <w:spacing w:after="0" w:line="196" w:lineRule="auto"/>
        <w:rPr>
          <w:sz w:val="20"/>
          <w:szCs w:val="20"/>
          <w:color w:val="auto"/>
        </w:rPr>
      </w:pPr>
      <w:r>
        <w:rPr>
          <w:rFonts w:ascii="Arial" w:cs="Arial" w:eastAsia="Arial" w:hAnsi="Arial"/>
          <w:sz w:val="13"/>
          <w:szCs w:val="13"/>
          <w:color w:val="auto"/>
        </w:rPr>
        <w:t>OWNED</w:t>
      </w:r>
    </w:p>
    <w:p>
      <w:pPr>
        <w:ind w:left="60"/>
        <w:spacing w:after="0"/>
        <w:tabs>
          <w:tab w:leader="none" w:pos="2260" w:val="left"/>
        </w:tabs>
        <w:rPr>
          <w:sz w:val="20"/>
          <w:szCs w:val="20"/>
          <w:color w:val="auto"/>
        </w:rPr>
      </w:pPr>
      <w:r>
        <w:rPr>
          <w:rFonts w:ascii="Arial" w:cs="Arial" w:eastAsia="Arial" w:hAnsi="Arial"/>
          <w:sz w:val="35"/>
          <w:szCs w:val="35"/>
          <w:color w:val="auto"/>
          <w:vertAlign w:val="subscript"/>
        </w:rPr>
        <w:t>BY EACH REPORTING</w:t>
      </w:r>
      <w:r>
        <w:rPr>
          <w:rFonts w:ascii="Arial" w:cs="Arial" w:eastAsia="Arial" w:hAnsi="Arial"/>
          <w:sz w:val="18"/>
          <w:szCs w:val="18"/>
          <w:color w:val="auto"/>
        </w:rPr>
        <w:t xml:space="preserve"> 7</w:t>
      </w:r>
      <w:r>
        <w:rPr>
          <w:sz w:val="20"/>
          <w:szCs w:val="20"/>
          <w:color w:val="auto"/>
        </w:rPr>
        <w:tab/>
      </w:r>
      <w:r>
        <w:rPr>
          <w:rFonts w:ascii="Arial" w:cs="Arial" w:eastAsia="Arial" w:hAnsi="Arial"/>
          <w:sz w:val="17"/>
          <w:szCs w:val="17"/>
          <w:color w:val="auto"/>
        </w:rPr>
        <w:t>SOLE DISPOSITIVE POWER</w:t>
      </w:r>
    </w:p>
    <w:p>
      <w:pPr>
        <w:ind w:left="640"/>
        <w:spacing w:after="0"/>
        <w:rPr>
          <w:sz w:val="20"/>
          <w:szCs w:val="20"/>
          <w:color w:val="auto"/>
        </w:rPr>
      </w:pPr>
      <w:r>
        <w:rPr>
          <w:rFonts w:ascii="Arial" w:cs="Arial" w:eastAsia="Arial" w:hAnsi="Arial"/>
          <w:sz w:val="18"/>
          <w:szCs w:val="18"/>
          <w:color w:val="auto"/>
        </w:rPr>
        <w:t>PERSON</w:t>
      </w:r>
    </w:p>
    <w:p>
      <w:pPr>
        <w:ind w:left="740"/>
        <w:spacing w:after="0" w:line="184" w:lineRule="auto"/>
        <w:rPr>
          <w:sz w:val="20"/>
          <w:szCs w:val="20"/>
          <w:color w:val="auto"/>
        </w:rPr>
      </w:pPr>
      <w:r>
        <w:rPr>
          <w:rFonts w:ascii="Arial" w:cs="Arial" w:eastAsia="Arial" w:hAnsi="Arial"/>
          <w:sz w:val="18"/>
          <w:szCs w:val="18"/>
          <w:color w:val="auto"/>
        </w:rPr>
        <w:t>WITH</w:t>
      </w:r>
    </w:p>
    <w:p>
      <w:pPr>
        <w:ind w:left="2280" w:right="6420" w:hanging="328"/>
        <w:spacing w:after="0" w:line="386" w:lineRule="auto"/>
        <w:tabs>
          <w:tab w:leader="none" w:pos="2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1,849,286</w:t>
      </w:r>
    </w:p>
    <w:tbl>
      <w:tblPr>
        <w:tblLayout w:type="fixed"/>
        <w:tblInd w:w="0" w:type="dxa"/>
        <w:tblCellMar>
          <w:top w:w="0" w:type="dxa"/>
          <w:left w:w="0" w:type="dxa"/>
          <w:bottom w:w="0" w:type="dxa"/>
          <w:right w:w="0" w:type="dxa"/>
        </w:tblCellMar>
      </w:tblPr>
      <w:tr>
        <w:trPr>
          <w:trHeight w:val="218"/>
        </w:trPr>
        <w:tc>
          <w:tcPr>
            <w:tcW w:w="11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top w:val="single" w:sz="8" w:color="auto"/>
            </w:tcBorders>
          </w:tcPr>
          <w:p>
            <w:pPr>
              <w:spacing w:after="0"/>
              <w:rPr>
                <w:sz w:val="18"/>
                <w:szCs w:val="18"/>
                <w:color w:val="auto"/>
              </w:rPr>
            </w:pPr>
          </w:p>
        </w:tc>
      </w:tr>
      <w:tr>
        <w:trPr>
          <w:trHeight w:val="425"/>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bottom w:val="single" w:sz="8" w:color="auto"/>
            </w:tcBorders>
          </w:tcPr>
          <w:p>
            <w:pPr>
              <w:spacing w:after="0"/>
              <w:rPr>
                <w:sz w:val="24"/>
                <w:szCs w:val="24"/>
                <w:color w:val="auto"/>
              </w:rPr>
            </w:pPr>
          </w:p>
        </w:tc>
      </w:tr>
      <w:tr>
        <w:trPr>
          <w:trHeight w:val="283"/>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20" w:type="dxa"/>
            <w:vAlign w:val="bottom"/>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r>
      <w:tr>
        <w:trPr>
          <w:trHeight w:val="372"/>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230"/>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20" w:type="dxa"/>
            <w:vAlign w:val="bottom"/>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Pr>
          <w:p>
            <w:pPr>
              <w:spacing w:after="0"/>
              <w:rPr>
                <w:sz w:val="20"/>
                <w:szCs w:val="20"/>
                <w:color w:val="auto"/>
              </w:rPr>
            </w:pPr>
          </w:p>
        </w:tc>
      </w:tr>
      <w:tr>
        <w:trPr>
          <w:trHeight w:val="425"/>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w:t>
            </w:r>
          </w:p>
        </w:tc>
        <w:tc>
          <w:tcPr>
            <w:tcW w:w="2060" w:type="dxa"/>
            <w:vAlign w:val="bottom"/>
            <w:tcBorders>
              <w:bottom w:val="single" w:sz="8" w:color="auto"/>
            </w:tcBorders>
          </w:tcPr>
          <w:p>
            <w:pPr>
              <w:spacing w:after="0"/>
              <w:rPr>
                <w:sz w:val="24"/>
                <w:szCs w:val="24"/>
                <w:color w:val="auto"/>
              </w:rPr>
            </w:pPr>
          </w:p>
        </w:tc>
      </w:tr>
      <w:tr>
        <w:trPr>
          <w:trHeight w:val="230"/>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20" w:type="dxa"/>
            <w:vAlign w:val="bottom"/>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Pr>
          <w:p>
            <w:pPr>
              <w:spacing w:after="0"/>
              <w:rPr>
                <w:sz w:val="20"/>
                <w:szCs w:val="20"/>
                <w:color w:val="auto"/>
              </w:rPr>
            </w:pPr>
          </w:p>
        </w:tc>
      </w:tr>
      <w:tr>
        <w:trPr>
          <w:trHeight w:val="425"/>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2060" w:type="dxa"/>
            <w:vAlign w:val="bottom"/>
            <w:tcBorders>
              <w:bottom w:val="single" w:sz="8" w:color="auto"/>
            </w:tcBorders>
          </w:tcPr>
          <w:p>
            <w:pPr>
              <w:spacing w:after="0"/>
              <w:rPr>
                <w:sz w:val="24"/>
                <w:szCs w:val="24"/>
                <w:color w:val="auto"/>
              </w:rPr>
            </w:pPr>
          </w:p>
        </w:tc>
      </w:tr>
      <w:tr>
        <w:trPr>
          <w:trHeight w:val="790"/>
        </w:trPr>
        <w:tc>
          <w:tcPr>
            <w:tcW w:w="116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8" w:right="339" w:bottom="1440" w:gutter="0" w:footer="0" w:header="0"/>
        </w:sectPr>
      </w:pPr>
    </w:p>
    <w:bookmarkStart w:id="3" w:name="page4"/>
    <w:bookmarkEnd w:id="3"/>
    <w:p>
      <w:pPr>
        <w:spacing w:after="0" w:line="196" w:lineRule="auto"/>
        <w:framePr w:w="180" w:h="160" w:wrap="auto" w:vAnchor="page" w:hAnchor="page" w:x="2560" w:y="6028"/>
        <w:rPr>
          <w:rFonts w:ascii="Arial" w:cs="Arial" w:eastAsia="Arial" w:hAnsi="Arial"/>
          <w:sz w:val="17"/>
          <w:szCs w:val="17"/>
          <w:color w:val="auto"/>
        </w:rPr>
      </w:pPr>
      <w:r>
        <w:rPr>
          <w:rFonts w:ascii="Arial" w:cs="Arial" w:eastAsia="Arial" w:hAnsi="Arial"/>
          <w:sz w:val="17"/>
          <w:szCs w:val="17"/>
          <w:color w:val="auto"/>
        </w:rPr>
        <w:t>0</w:t>
      </w: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26603R106</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88"/>
              </w:rPr>
              <w:t>Page 4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General Atlantic Partners 100, L.P.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160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rFonts w:ascii="Arial" w:cs="Arial" w:eastAsia="Arial" w:hAnsi="Arial"/>
          <w:sz w:val="17"/>
          <w:szCs w:val="17"/>
          <w:color w:val="auto"/>
        </w:rPr>
      </w:pPr>
    </w:p>
    <w:p>
      <w:pPr>
        <w:spacing w:after="0" w:line="210" w:lineRule="exact"/>
        <w:rPr>
          <w:rFonts w:ascii="Arial" w:cs="Arial" w:eastAsia="Arial" w:hAnsi="Arial"/>
          <w:sz w:val="17"/>
          <w:szCs w:val="17"/>
          <w:color w:val="auto"/>
        </w:rPr>
      </w:pPr>
    </w:p>
    <w:p>
      <w:pPr>
        <w:ind w:left="1160" w:hanging="1125"/>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7"/>
          <w:szCs w:val="17"/>
          <w:color w:val="auto"/>
        </w:rPr>
      </w:pPr>
    </w:p>
    <w:p>
      <w:pPr>
        <w:ind w:left="1160"/>
        <w:spacing w:after="0"/>
        <w:rPr>
          <w:sz w:val="20"/>
          <w:szCs w:val="20"/>
          <w:color w:val="auto"/>
        </w:rPr>
      </w:pPr>
      <w:r>
        <w:rPr>
          <w:rFonts w:ascii="Arial" w:cs="Arial" w:eastAsia="Arial" w:hAnsi="Arial"/>
          <w:sz w:val="17"/>
          <w:szCs w:val="17"/>
          <w:color w:val="auto"/>
        </w:rPr>
        <w:t>Delaware</w:t>
      </w:r>
    </w:p>
    <w:p>
      <w:pPr>
        <w:spacing w:after="0" w:line="48" w:lineRule="exact"/>
        <w:rPr>
          <w:rFonts w:ascii="Arial" w:cs="Arial" w:eastAsia="Arial" w:hAnsi="Arial"/>
          <w:sz w:val="17"/>
          <w:szCs w:val="17"/>
          <w:color w:val="auto"/>
        </w:rPr>
      </w:pPr>
    </w:p>
    <w:p>
      <w:pPr>
        <w:ind w:left="2280" w:hanging="328"/>
        <w:spacing w:after="0"/>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83" w:lineRule="exact"/>
        <w:rPr>
          <w:rFonts w:ascii="Arial" w:cs="Arial" w:eastAsia="Arial" w:hAnsi="Arial"/>
          <w:sz w:val="17"/>
          <w:szCs w:val="17"/>
          <w:color w:val="auto"/>
        </w:rPr>
      </w:pPr>
    </w:p>
    <w:p>
      <w:pPr>
        <w:ind w:left="2280"/>
        <w:spacing w:after="0"/>
        <w:rPr>
          <w:sz w:val="20"/>
          <w:szCs w:val="20"/>
          <w:color w:val="auto"/>
        </w:rPr>
      </w:pPr>
      <w:r>
        <w:rPr>
          <w:rFonts w:ascii="Arial" w:cs="Arial" w:eastAsia="Arial" w:hAnsi="Arial"/>
          <w:sz w:val="18"/>
          <w:szCs w:val="18"/>
          <w:color w:val="auto"/>
        </w:rPr>
        <w:t>0</w:t>
      </w:r>
    </w:p>
    <w:p>
      <w:pPr>
        <w:ind w:left="460"/>
        <w:spacing w:after="0" w:line="191" w:lineRule="auto"/>
        <w:tabs>
          <w:tab w:leader="none" w:pos="1940" w:val="left"/>
          <w:tab w:leader="none" w:pos="2260" w:val="left"/>
        </w:tabs>
        <w:rPr>
          <w:sz w:val="20"/>
          <w:szCs w:val="20"/>
          <w:color w:val="auto"/>
        </w:rPr>
      </w:pPr>
      <w:r>
        <w:rPr>
          <w:rFonts w:ascii="Arial" w:cs="Arial" w:eastAsia="Arial" w:hAnsi="Arial"/>
          <w:sz w:val="25"/>
          <w:szCs w:val="25"/>
          <w:color w:val="auto"/>
          <w:vertAlign w:val="superscript"/>
        </w:rPr>
        <w:t>NUMBER OF</w:t>
      </w:r>
      <w:r>
        <w:rPr>
          <w:sz w:val="20"/>
          <w:szCs w:val="20"/>
          <w:color w:val="auto"/>
        </w:rPr>
        <w:tab/>
      </w:r>
      <w:r>
        <w:rPr>
          <w:rFonts w:ascii="Arial" w:cs="Arial" w:eastAsia="Arial" w:hAnsi="Arial"/>
          <w:sz w:val="15"/>
          <w:szCs w:val="15"/>
          <w:color w:val="auto"/>
        </w:rPr>
        <w:t>6</w:t>
      </w:r>
      <w:r>
        <w:rPr>
          <w:sz w:val="20"/>
          <w:szCs w:val="20"/>
          <w:color w:val="auto"/>
        </w:rPr>
        <w:tab/>
      </w:r>
      <w:r>
        <w:rPr>
          <w:rFonts w:ascii="Arial" w:cs="Arial" w:eastAsia="Arial" w:hAnsi="Arial"/>
          <w:sz w:val="15"/>
          <w:szCs w:val="15"/>
          <w:color w:val="auto"/>
        </w:rPr>
        <w:t>SHARED VOTING POWER</w:t>
      </w:r>
    </w:p>
    <w:p>
      <w:pPr>
        <w:ind w:left="640"/>
        <w:spacing w:after="0"/>
        <w:rPr>
          <w:sz w:val="20"/>
          <w:szCs w:val="20"/>
          <w:color w:val="auto"/>
        </w:rPr>
      </w:pPr>
      <w:r>
        <w:rPr>
          <w:rFonts w:ascii="Arial" w:cs="Arial" w:eastAsia="Arial" w:hAnsi="Arial"/>
          <w:sz w:val="18"/>
          <w:szCs w:val="18"/>
          <w:color w:val="auto"/>
        </w:rPr>
        <w:t>SHARES</w:t>
      </w:r>
    </w:p>
    <w:p>
      <w:pPr>
        <w:ind w:left="340"/>
        <w:spacing w:after="0" w:line="180" w:lineRule="auto"/>
        <w:tabs>
          <w:tab w:leader="none" w:pos="2260" w:val="left"/>
        </w:tabs>
        <w:rPr>
          <w:sz w:val="20"/>
          <w:szCs w:val="20"/>
          <w:color w:val="auto"/>
        </w:rPr>
      </w:pPr>
      <w:r>
        <w:rPr>
          <w:rFonts w:ascii="Arial" w:cs="Arial" w:eastAsia="Arial" w:hAnsi="Arial"/>
          <w:sz w:val="15"/>
          <w:szCs w:val="15"/>
          <w:color w:val="auto"/>
        </w:rPr>
        <w:t>BENEFICIALLY</w:t>
      </w:r>
      <w:r>
        <w:rPr>
          <w:sz w:val="20"/>
          <w:szCs w:val="20"/>
          <w:color w:val="auto"/>
        </w:rPr>
        <w:tab/>
      </w:r>
      <w:r>
        <w:rPr>
          <w:rFonts w:ascii="Arial" w:cs="Arial" w:eastAsia="Arial" w:hAnsi="Arial"/>
          <w:sz w:val="26"/>
          <w:szCs w:val="26"/>
          <w:color w:val="auto"/>
          <w:vertAlign w:val="subscript"/>
        </w:rPr>
        <w:t>1,849,286</w:t>
      </w:r>
    </w:p>
    <w:p>
      <w:pPr>
        <w:ind w:left="640"/>
        <w:spacing w:after="0" w:line="196" w:lineRule="auto"/>
        <w:rPr>
          <w:sz w:val="20"/>
          <w:szCs w:val="20"/>
          <w:color w:val="auto"/>
        </w:rPr>
      </w:pPr>
      <w:r>
        <w:rPr>
          <w:rFonts w:ascii="Arial" w:cs="Arial" w:eastAsia="Arial" w:hAnsi="Arial"/>
          <w:sz w:val="13"/>
          <w:szCs w:val="13"/>
          <w:color w:val="auto"/>
        </w:rPr>
        <w:t>OWNED</w:t>
      </w:r>
    </w:p>
    <w:p>
      <w:pPr>
        <w:ind w:left="60"/>
        <w:spacing w:after="0"/>
        <w:tabs>
          <w:tab w:leader="none" w:pos="2260" w:val="left"/>
        </w:tabs>
        <w:rPr>
          <w:sz w:val="20"/>
          <w:szCs w:val="20"/>
          <w:color w:val="auto"/>
        </w:rPr>
      </w:pPr>
      <w:r>
        <w:rPr>
          <w:rFonts w:ascii="Arial" w:cs="Arial" w:eastAsia="Arial" w:hAnsi="Arial"/>
          <w:sz w:val="35"/>
          <w:szCs w:val="35"/>
          <w:color w:val="auto"/>
          <w:vertAlign w:val="subscript"/>
        </w:rPr>
        <w:t>BY EACH REPORTING</w:t>
      </w:r>
      <w:r>
        <w:rPr>
          <w:rFonts w:ascii="Arial" w:cs="Arial" w:eastAsia="Arial" w:hAnsi="Arial"/>
          <w:sz w:val="18"/>
          <w:szCs w:val="18"/>
          <w:color w:val="auto"/>
        </w:rPr>
        <w:t xml:space="preserve"> 7</w:t>
      </w:r>
      <w:r>
        <w:rPr>
          <w:sz w:val="20"/>
          <w:szCs w:val="20"/>
          <w:color w:val="auto"/>
        </w:rPr>
        <w:tab/>
      </w:r>
      <w:r>
        <w:rPr>
          <w:rFonts w:ascii="Arial" w:cs="Arial" w:eastAsia="Arial" w:hAnsi="Arial"/>
          <w:sz w:val="17"/>
          <w:szCs w:val="17"/>
          <w:color w:val="auto"/>
        </w:rPr>
        <w:t>SOLE DISPOSITIVE POWER</w:t>
      </w:r>
    </w:p>
    <w:p>
      <w:pPr>
        <w:ind w:left="640"/>
        <w:spacing w:after="0"/>
        <w:rPr>
          <w:sz w:val="20"/>
          <w:szCs w:val="20"/>
          <w:color w:val="auto"/>
        </w:rPr>
      </w:pPr>
      <w:r>
        <w:rPr>
          <w:rFonts w:ascii="Arial" w:cs="Arial" w:eastAsia="Arial" w:hAnsi="Arial"/>
          <w:sz w:val="18"/>
          <w:szCs w:val="18"/>
          <w:color w:val="auto"/>
        </w:rPr>
        <w:t>PERSON</w:t>
      </w:r>
    </w:p>
    <w:p>
      <w:pPr>
        <w:ind w:left="740"/>
        <w:spacing w:after="0" w:line="184" w:lineRule="auto"/>
        <w:rPr>
          <w:sz w:val="20"/>
          <w:szCs w:val="20"/>
          <w:color w:val="auto"/>
        </w:rPr>
      </w:pPr>
      <w:r>
        <w:rPr>
          <w:rFonts w:ascii="Arial" w:cs="Arial" w:eastAsia="Arial" w:hAnsi="Arial"/>
          <w:sz w:val="18"/>
          <w:szCs w:val="18"/>
          <w:color w:val="auto"/>
        </w:rPr>
        <w:t>WITH</w:t>
      </w:r>
    </w:p>
    <w:p>
      <w:pPr>
        <w:ind w:left="2280" w:right="6420" w:hanging="328"/>
        <w:spacing w:after="0" w:line="386" w:lineRule="auto"/>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1,849,286</w:t>
      </w:r>
    </w:p>
    <w:tbl>
      <w:tblPr>
        <w:tblLayout w:type="fixed"/>
        <w:tblInd w:w="0" w:type="dxa"/>
        <w:tblCellMar>
          <w:top w:w="0" w:type="dxa"/>
          <w:left w:w="0" w:type="dxa"/>
          <w:bottom w:w="0" w:type="dxa"/>
          <w:right w:w="0" w:type="dxa"/>
        </w:tblCellMar>
      </w:tblPr>
      <w:tr>
        <w:trPr>
          <w:trHeight w:val="218"/>
        </w:trPr>
        <w:tc>
          <w:tcPr>
            <w:tcW w:w="11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top w:val="single" w:sz="8" w:color="auto"/>
            </w:tcBorders>
          </w:tcPr>
          <w:p>
            <w:pPr>
              <w:spacing w:after="0"/>
              <w:rPr>
                <w:sz w:val="18"/>
                <w:szCs w:val="18"/>
                <w:color w:val="auto"/>
              </w:rPr>
            </w:pPr>
          </w:p>
        </w:tc>
      </w:tr>
      <w:tr>
        <w:trPr>
          <w:trHeight w:val="425"/>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bottom w:val="single" w:sz="8" w:color="auto"/>
            </w:tcBorders>
          </w:tcPr>
          <w:p>
            <w:pPr>
              <w:spacing w:after="0"/>
              <w:rPr>
                <w:sz w:val="24"/>
                <w:szCs w:val="24"/>
                <w:color w:val="auto"/>
              </w:rPr>
            </w:pPr>
          </w:p>
        </w:tc>
      </w:tr>
      <w:tr>
        <w:trPr>
          <w:trHeight w:val="283"/>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20" w:type="dxa"/>
            <w:vAlign w:val="bottom"/>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r>
      <w:tr>
        <w:trPr>
          <w:trHeight w:val="372"/>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230"/>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20" w:type="dxa"/>
            <w:vAlign w:val="bottom"/>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Pr>
          <w:p>
            <w:pPr>
              <w:spacing w:after="0"/>
              <w:rPr>
                <w:sz w:val="20"/>
                <w:szCs w:val="20"/>
                <w:color w:val="auto"/>
              </w:rPr>
            </w:pPr>
          </w:p>
        </w:tc>
      </w:tr>
      <w:tr>
        <w:trPr>
          <w:trHeight w:val="425"/>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w:t>
            </w:r>
          </w:p>
        </w:tc>
        <w:tc>
          <w:tcPr>
            <w:tcW w:w="2060" w:type="dxa"/>
            <w:vAlign w:val="bottom"/>
            <w:tcBorders>
              <w:bottom w:val="single" w:sz="8" w:color="auto"/>
            </w:tcBorders>
          </w:tcPr>
          <w:p>
            <w:pPr>
              <w:spacing w:after="0"/>
              <w:rPr>
                <w:sz w:val="24"/>
                <w:szCs w:val="24"/>
                <w:color w:val="auto"/>
              </w:rPr>
            </w:pPr>
          </w:p>
        </w:tc>
      </w:tr>
      <w:tr>
        <w:trPr>
          <w:trHeight w:val="230"/>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20" w:type="dxa"/>
            <w:vAlign w:val="bottom"/>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Pr>
          <w:p>
            <w:pPr>
              <w:spacing w:after="0"/>
              <w:rPr>
                <w:sz w:val="20"/>
                <w:szCs w:val="20"/>
                <w:color w:val="auto"/>
              </w:rPr>
            </w:pPr>
          </w:p>
        </w:tc>
      </w:tr>
      <w:tr>
        <w:trPr>
          <w:trHeight w:val="425"/>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060" w:type="dxa"/>
            <w:vAlign w:val="bottom"/>
            <w:tcBorders>
              <w:bottom w:val="single" w:sz="8" w:color="auto"/>
            </w:tcBorders>
          </w:tcPr>
          <w:p>
            <w:pPr>
              <w:spacing w:after="0"/>
              <w:rPr>
                <w:sz w:val="24"/>
                <w:szCs w:val="24"/>
                <w:color w:val="auto"/>
              </w:rPr>
            </w:pPr>
          </w:p>
        </w:tc>
      </w:tr>
      <w:tr>
        <w:trPr>
          <w:trHeight w:val="790"/>
        </w:trPr>
        <w:tc>
          <w:tcPr>
            <w:tcW w:w="116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26603R106</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88"/>
              </w:rPr>
              <w:t>Page 5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General Atlantic (DU), L.P.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160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160" w:hanging="1125"/>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1,849,286</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26603R106</w:t>
            </w:r>
          </w:p>
        </w:tc>
        <w:tc>
          <w:tcPr>
            <w:tcW w:w="2460" w:type="dxa"/>
            <w:vAlign w:val="bottom"/>
          </w:tcPr>
          <w:p>
            <w:pPr>
              <w:spacing w:after="0"/>
              <w:rPr>
                <w:sz w:val="21"/>
                <w:szCs w:val="21"/>
                <w:color w:val="auto"/>
              </w:rPr>
            </w:pPr>
          </w:p>
        </w:tc>
        <w:tc>
          <w:tcPr>
            <w:tcW w:w="430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88"/>
              </w:rPr>
              <w:t>Page 6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2"/>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408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3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w w:val="97"/>
              </w:rPr>
              <w:t>General Atlantic Partners (Bermuda) EU, L.P.</w:t>
            </w:r>
          </w:p>
        </w:tc>
        <w:tc>
          <w:tcPr>
            <w:tcW w:w="4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gridSpan w:val="2"/>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408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30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160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160" w:hanging="1125"/>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1,849,286</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26603R106</w:t>
            </w:r>
          </w:p>
        </w:tc>
        <w:tc>
          <w:tcPr>
            <w:tcW w:w="2180" w:type="dxa"/>
            <w:vAlign w:val="bottom"/>
          </w:tcPr>
          <w:p>
            <w:pPr>
              <w:spacing w:after="0"/>
              <w:rPr>
                <w:sz w:val="21"/>
                <w:szCs w:val="21"/>
                <w:color w:val="auto"/>
              </w:rPr>
            </w:pPr>
          </w:p>
        </w:tc>
        <w:tc>
          <w:tcPr>
            <w:tcW w:w="458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88"/>
              </w:rPr>
              <w:t>Page 7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80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5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General Atlantic Partners (Lux) SCSp</w:t>
            </w:r>
          </w:p>
        </w:tc>
        <w:tc>
          <w:tcPr>
            <w:tcW w:w="45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2"/>
          </w:tcPr>
          <w:p>
            <w:pPr>
              <w:spacing w:after="0"/>
              <w:rPr>
                <w:sz w:val="17"/>
                <w:szCs w:val="17"/>
                <w:color w:val="auto"/>
              </w:rPr>
            </w:pPr>
          </w:p>
        </w:tc>
        <w:tc>
          <w:tcPr>
            <w:tcW w:w="45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80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58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160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160" w:hanging="1125"/>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Luxembourg</w:t>
            </w: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1,849,286</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26603R106</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88"/>
              </w:rPr>
              <w:t>Page 8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General Atlantic GenPar, L.P.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160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160" w:hanging="1125"/>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1,849,286</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26603R106</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88"/>
              </w:rPr>
              <w:t>Page 9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GAP Coinvestments III, LLC</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160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160" w:hanging="1125"/>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1,849,286</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9" w:name="page10"/>
    <w:bookmarkEnd w:id="9"/>
    <w:p>
      <w:pPr>
        <w:spacing w:after="0" w:line="196" w:lineRule="auto"/>
        <w:framePr w:w="180" w:h="160" w:wrap="auto" w:vAnchor="page" w:hAnchor="page" w:x="2560" w:y="6028"/>
        <w:rPr>
          <w:rFonts w:ascii="Arial" w:cs="Arial" w:eastAsia="Arial" w:hAnsi="Arial"/>
          <w:sz w:val="17"/>
          <w:szCs w:val="17"/>
          <w:color w:val="auto"/>
        </w:rPr>
      </w:pPr>
      <w:r>
        <w:rPr>
          <w:rFonts w:ascii="Arial" w:cs="Arial" w:eastAsia="Arial" w:hAnsi="Arial"/>
          <w:sz w:val="17"/>
          <w:szCs w:val="17"/>
          <w:color w:val="auto"/>
        </w:rPr>
        <w:t>0</w:t>
      </w: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26603R106</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10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GAP Coinvestments IV, LLC</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160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rFonts w:ascii="Arial" w:cs="Arial" w:eastAsia="Arial" w:hAnsi="Arial"/>
          <w:sz w:val="17"/>
          <w:szCs w:val="17"/>
          <w:color w:val="auto"/>
        </w:rPr>
      </w:pPr>
    </w:p>
    <w:p>
      <w:pPr>
        <w:spacing w:after="0" w:line="210" w:lineRule="exact"/>
        <w:rPr>
          <w:rFonts w:ascii="Arial" w:cs="Arial" w:eastAsia="Arial" w:hAnsi="Arial"/>
          <w:sz w:val="17"/>
          <w:szCs w:val="17"/>
          <w:color w:val="auto"/>
        </w:rPr>
      </w:pPr>
    </w:p>
    <w:p>
      <w:pPr>
        <w:ind w:left="1160" w:hanging="1125"/>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7"/>
          <w:szCs w:val="17"/>
          <w:color w:val="auto"/>
        </w:rPr>
      </w:pPr>
    </w:p>
    <w:p>
      <w:pPr>
        <w:ind w:left="1160"/>
        <w:spacing w:after="0"/>
        <w:rPr>
          <w:sz w:val="20"/>
          <w:szCs w:val="20"/>
          <w:color w:val="auto"/>
        </w:rPr>
      </w:pPr>
      <w:r>
        <w:rPr>
          <w:rFonts w:ascii="Arial" w:cs="Arial" w:eastAsia="Arial" w:hAnsi="Arial"/>
          <w:sz w:val="18"/>
          <w:szCs w:val="18"/>
          <w:color w:val="auto"/>
        </w:rPr>
        <w:t>Delaware</w:t>
      </w:r>
    </w:p>
    <w:p>
      <w:pPr>
        <w:spacing w:after="0" w:line="36" w:lineRule="exact"/>
        <w:rPr>
          <w:rFonts w:ascii="Arial" w:cs="Arial" w:eastAsia="Arial" w:hAnsi="Arial"/>
          <w:sz w:val="17"/>
          <w:szCs w:val="17"/>
          <w:color w:val="auto"/>
        </w:rPr>
      </w:pPr>
    </w:p>
    <w:p>
      <w:pPr>
        <w:ind w:left="2280" w:hanging="328"/>
        <w:spacing w:after="0"/>
        <w:tabs>
          <w:tab w:leader="none" w:pos="2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83" w:lineRule="exact"/>
        <w:rPr>
          <w:rFonts w:ascii="Arial" w:cs="Arial" w:eastAsia="Arial" w:hAnsi="Arial"/>
          <w:sz w:val="17"/>
          <w:szCs w:val="17"/>
          <w:color w:val="auto"/>
        </w:rPr>
      </w:pPr>
    </w:p>
    <w:p>
      <w:pPr>
        <w:ind w:left="2280"/>
        <w:spacing w:after="0"/>
        <w:rPr>
          <w:sz w:val="20"/>
          <w:szCs w:val="20"/>
          <w:color w:val="auto"/>
        </w:rPr>
      </w:pPr>
      <w:r>
        <w:rPr>
          <w:rFonts w:ascii="Arial" w:cs="Arial" w:eastAsia="Arial" w:hAnsi="Arial"/>
          <w:sz w:val="18"/>
          <w:szCs w:val="18"/>
          <w:color w:val="auto"/>
        </w:rPr>
        <w:t>0</w:t>
      </w:r>
    </w:p>
    <w:p>
      <w:pPr>
        <w:ind w:left="460"/>
        <w:spacing w:after="0" w:line="191" w:lineRule="auto"/>
        <w:tabs>
          <w:tab w:leader="none" w:pos="1940" w:val="left"/>
          <w:tab w:leader="none" w:pos="2260" w:val="left"/>
        </w:tabs>
        <w:rPr>
          <w:sz w:val="20"/>
          <w:szCs w:val="20"/>
          <w:color w:val="auto"/>
        </w:rPr>
      </w:pPr>
      <w:r>
        <w:rPr>
          <w:rFonts w:ascii="Arial" w:cs="Arial" w:eastAsia="Arial" w:hAnsi="Arial"/>
          <w:sz w:val="25"/>
          <w:szCs w:val="25"/>
          <w:color w:val="auto"/>
          <w:vertAlign w:val="superscript"/>
        </w:rPr>
        <w:t>NUMBER OF</w:t>
      </w:r>
      <w:r>
        <w:rPr>
          <w:sz w:val="20"/>
          <w:szCs w:val="20"/>
          <w:color w:val="auto"/>
        </w:rPr>
        <w:tab/>
      </w:r>
      <w:r>
        <w:rPr>
          <w:rFonts w:ascii="Arial" w:cs="Arial" w:eastAsia="Arial" w:hAnsi="Arial"/>
          <w:sz w:val="15"/>
          <w:szCs w:val="15"/>
          <w:color w:val="auto"/>
        </w:rPr>
        <w:t>6</w:t>
      </w:r>
      <w:r>
        <w:rPr>
          <w:sz w:val="20"/>
          <w:szCs w:val="20"/>
          <w:color w:val="auto"/>
        </w:rPr>
        <w:tab/>
      </w:r>
      <w:r>
        <w:rPr>
          <w:rFonts w:ascii="Arial" w:cs="Arial" w:eastAsia="Arial" w:hAnsi="Arial"/>
          <w:sz w:val="15"/>
          <w:szCs w:val="15"/>
          <w:color w:val="auto"/>
        </w:rPr>
        <w:t>SHARED VOTING POWER</w:t>
      </w:r>
    </w:p>
    <w:p>
      <w:pPr>
        <w:ind w:left="640"/>
        <w:spacing w:after="0"/>
        <w:rPr>
          <w:sz w:val="20"/>
          <w:szCs w:val="20"/>
          <w:color w:val="auto"/>
        </w:rPr>
      </w:pPr>
      <w:r>
        <w:rPr>
          <w:rFonts w:ascii="Arial" w:cs="Arial" w:eastAsia="Arial" w:hAnsi="Arial"/>
          <w:sz w:val="18"/>
          <w:szCs w:val="18"/>
          <w:color w:val="auto"/>
        </w:rPr>
        <w:t>SHARES</w:t>
      </w:r>
    </w:p>
    <w:p>
      <w:pPr>
        <w:ind w:left="340"/>
        <w:spacing w:after="0" w:line="180" w:lineRule="auto"/>
        <w:tabs>
          <w:tab w:leader="none" w:pos="2260" w:val="left"/>
        </w:tabs>
        <w:rPr>
          <w:sz w:val="20"/>
          <w:szCs w:val="20"/>
          <w:color w:val="auto"/>
        </w:rPr>
      </w:pPr>
      <w:r>
        <w:rPr>
          <w:rFonts w:ascii="Arial" w:cs="Arial" w:eastAsia="Arial" w:hAnsi="Arial"/>
          <w:sz w:val="15"/>
          <w:szCs w:val="15"/>
          <w:color w:val="auto"/>
        </w:rPr>
        <w:t>BENEFICIALLY</w:t>
      </w:r>
      <w:r>
        <w:rPr>
          <w:sz w:val="20"/>
          <w:szCs w:val="20"/>
          <w:color w:val="auto"/>
        </w:rPr>
        <w:tab/>
      </w:r>
      <w:r>
        <w:rPr>
          <w:rFonts w:ascii="Arial" w:cs="Arial" w:eastAsia="Arial" w:hAnsi="Arial"/>
          <w:sz w:val="26"/>
          <w:szCs w:val="26"/>
          <w:color w:val="auto"/>
          <w:vertAlign w:val="subscript"/>
        </w:rPr>
        <w:t>1,849,286</w:t>
      </w:r>
    </w:p>
    <w:p>
      <w:pPr>
        <w:ind w:left="640"/>
        <w:spacing w:after="0" w:line="196" w:lineRule="auto"/>
        <w:rPr>
          <w:sz w:val="20"/>
          <w:szCs w:val="20"/>
          <w:color w:val="auto"/>
        </w:rPr>
      </w:pPr>
      <w:r>
        <w:rPr>
          <w:rFonts w:ascii="Arial" w:cs="Arial" w:eastAsia="Arial" w:hAnsi="Arial"/>
          <w:sz w:val="13"/>
          <w:szCs w:val="13"/>
          <w:color w:val="auto"/>
        </w:rPr>
        <w:t>OWNED</w:t>
      </w:r>
    </w:p>
    <w:p>
      <w:pPr>
        <w:ind w:left="60"/>
        <w:spacing w:after="0"/>
        <w:tabs>
          <w:tab w:leader="none" w:pos="2260" w:val="left"/>
        </w:tabs>
        <w:rPr>
          <w:sz w:val="20"/>
          <w:szCs w:val="20"/>
          <w:color w:val="auto"/>
        </w:rPr>
      </w:pPr>
      <w:r>
        <w:rPr>
          <w:rFonts w:ascii="Arial" w:cs="Arial" w:eastAsia="Arial" w:hAnsi="Arial"/>
          <w:sz w:val="35"/>
          <w:szCs w:val="35"/>
          <w:color w:val="auto"/>
          <w:vertAlign w:val="subscript"/>
        </w:rPr>
        <w:t>BY EACH REPORTING</w:t>
      </w:r>
      <w:r>
        <w:rPr>
          <w:rFonts w:ascii="Arial" w:cs="Arial" w:eastAsia="Arial" w:hAnsi="Arial"/>
          <w:sz w:val="18"/>
          <w:szCs w:val="18"/>
          <w:color w:val="auto"/>
        </w:rPr>
        <w:t xml:space="preserve"> 7</w:t>
      </w:r>
      <w:r>
        <w:rPr>
          <w:sz w:val="20"/>
          <w:szCs w:val="20"/>
          <w:color w:val="auto"/>
        </w:rPr>
        <w:tab/>
      </w:r>
      <w:r>
        <w:rPr>
          <w:rFonts w:ascii="Arial" w:cs="Arial" w:eastAsia="Arial" w:hAnsi="Arial"/>
          <w:sz w:val="17"/>
          <w:szCs w:val="17"/>
          <w:color w:val="auto"/>
        </w:rPr>
        <w:t>SOLE DISPOSITIVE POWER</w:t>
      </w:r>
    </w:p>
    <w:p>
      <w:pPr>
        <w:ind w:left="640"/>
        <w:spacing w:after="0"/>
        <w:rPr>
          <w:sz w:val="20"/>
          <w:szCs w:val="20"/>
          <w:color w:val="auto"/>
        </w:rPr>
      </w:pPr>
      <w:r>
        <w:rPr>
          <w:rFonts w:ascii="Arial" w:cs="Arial" w:eastAsia="Arial" w:hAnsi="Arial"/>
          <w:sz w:val="18"/>
          <w:szCs w:val="18"/>
          <w:color w:val="auto"/>
        </w:rPr>
        <w:t>PERSON</w:t>
      </w:r>
    </w:p>
    <w:p>
      <w:pPr>
        <w:ind w:left="740"/>
        <w:spacing w:after="0" w:line="184" w:lineRule="auto"/>
        <w:rPr>
          <w:sz w:val="20"/>
          <w:szCs w:val="20"/>
          <w:color w:val="auto"/>
        </w:rPr>
      </w:pPr>
      <w:r>
        <w:rPr>
          <w:rFonts w:ascii="Arial" w:cs="Arial" w:eastAsia="Arial" w:hAnsi="Arial"/>
          <w:sz w:val="18"/>
          <w:szCs w:val="18"/>
          <w:color w:val="auto"/>
        </w:rPr>
        <w:t>WITH</w:t>
      </w:r>
    </w:p>
    <w:p>
      <w:pPr>
        <w:ind w:left="2280" w:right="6420" w:hanging="328"/>
        <w:spacing w:after="0" w:line="386" w:lineRule="auto"/>
        <w:tabs>
          <w:tab w:leader="none" w:pos="2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DISPOSITIVE POWER 1,849,286</w:t>
      </w:r>
    </w:p>
    <w:tbl>
      <w:tblPr>
        <w:tblLayout w:type="fixed"/>
        <w:tblInd w:w="0" w:type="dxa"/>
        <w:tblCellMar>
          <w:top w:w="0" w:type="dxa"/>
          <w:left w:w="0" w:type="dxa"/>
          <w:bottom w:w="0" w:type="dxa"/>
          <w:right w:w="0" w:type="dxa"/>
        </w:tblCellMar>
      </w:tblPr>
      <w:tr>
        <w:trPr>
          <w:trHeight w:val="218"/>
        </w:trPr>
        <w:tc>
          <w:tcPr>
            <w:tcW w:w="11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top w:val="single" w:sz="8" w:color="auto"/>
            </w:tcBorders>
          </w:tcPr>
          <w:p>
            <w:pPr>
              <w:spacing w:after="0"/>
              <w:rPr>
                <w:sz w:val="18"/>
                <w:szCs w:val="18"/>
                <w:color w:val="auto"/>
              </w:rPr>
            </w:pPr>
          </w:p>
        </w:tc>
      </w:tr>
      <w:tr>
        <w:trPr>
          <w:trHeight w:val="425"/>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bottom w:val="single" w:sz="8" w:color="auto"/>
            </w:tcBorders>
          </w:tcPr>
          <w:p>
            <w:pPr>
              <w:spacing w:after="0"/>
              <w:rPr>
                <w:sz w:val="24"/>
                <w:szCs w:val="24"/>
                <w:color w:val="auto"/>
              </w:rPr>
            </w:pPr>
          </w:p>
        </w:tc>
      </w:tr>
      <w:tr>
        <w:trPr>
          <w:trHeight w:val="283"/>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20" w:type="dxa"/>
            <w:vAlign w:val="bottom"/>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r>
      <w:tr>
        <w:trPr>
          <w:trHeight w:val="372"/>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230"/>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20" w:type="dxa"/>
            <w:vAlign w:val="bottom"/>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Pr>
          <w:p>
            <w:pPr>
              <w:spacing w:after="0"/>
              <w:rPr>
                <w:sz w:val="20"/>
                <w:szCs w:val="20"/>
                <w:color w:val="auto"/>
              </w:rPr>
            </w:pPr>
          </w:p>
        </w:tc>
      </w:tr>
      <w:tr>
        <w:trPr>
          <w:trHeight w:val="425"/>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w:t>
            </w:r>
          </w:p>
        </w:tc>
        <w:tc>
          <w:tcPr>
            <w:tcW w:w="2060" w:type="dxa"/>
            <w:vAlign w:val="bottom"/>
            <w:tcBorders>
              <w:bottom w:val="single" w:sz="8" w:color="auto"/>
            </w:tcBorders>
          </w:tcPr>
          <w:p>
            <w:pPr>
              <w:spacing w:after="0"/>
              <w:rPr>
                <w:sz w:val="24"/>
                <w:szCs w:val="24"/>
                <w:color w:val="auto"/>
              </w:rPr>
            </w:pPr>
          </w:p>
        </w:tc>
      </w:tr>
      <w:tr>
        <w:trPr>
          <w:trHeight w:val="230"/>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20" w:type="dxa"/>
            <w:vAlign w:val="bottom"/>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Pr>
          <w:p>
            <w:pPr>
              <w:spacing w:after="0"/>
              <w:rPr>
                <w:sz w:val="20"/>
                <w:szCs w:val="20"/>
                <w:color w:val="auto"/>
              </w:rPr>
            </w:pPr>
          </w:p>
        </w:tc>
      </w:tr>
      <w:tr>
        <w:trPr>
          <w:trHeight w:val="425"/>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2060" w:type="dxa"/>
            <w:vAlign w:val="bottom"/>
            <w:tcBorders>
              <w:bottom w:val="single" w:sz="8" w:color="auto"/>
            </w:tcBorders>
          </w:tcPr>
          <w:p>
            <w:pPr>
              <w:spacing w:after="0"/>
              <w:rPr>
                <w:sz w:val="24"/>
                <w:szCs w:val="24"/>
                <w:color w:val="auto"/>
              </w:rPr>
            </w:pPr>
          </w:p>
        </w:tc>
      </w:tr>
      <w:tr>
        <w:trPr>
          <w:trHeight w:val="790"/>
        </w:trPr>
        <w:tc>
          <w:tcPr>
            <w:tcW w:w="116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8"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26603R106</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11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GAP Coinvestments V, LLC</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160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160" w:hanging="1125"/>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1,849,286</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11" w:name="page12"/>
    <w:bookmarkEnd w:id="11"/>
    <w:p>
      <w:pPr>
        <w:spacing w:after="0" w:line="196" w:lineRule="auto"/>
        <w:framePr w:w="180" w:h="160" w:wrap="auto" w:vAnchor="page" w:hAnchor="page" w:x="2560" w:y="6028"/>
        <w:rPr>
          <w:rFonts w:ascii="Arial" w:cs="Arial" w:eastAsia="Arial" w:hAnsi="Arial"/>
          <w:sz w:val="17"/>
          <w:szCs w:val="17"/>
          <w:color w:val="auto"/>
        </w:rPr>
      </w:pPr>
      <w:r>
        <w:rPr>
          <w:rFonts w:ascii="Arial" w:cs="Arial" w:eastAsia="Arial" w:hAnsi="Arial"/>
          <w:sz w:val="17"/>
          <w:szCs w:val="17"/>
          <w:color w:val="auto"/>
        </w:rPr>
        <w:t>0</w:t>
      </w: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26603R106</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12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GAP Coinvestments CDA, L.P.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1606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rFonts w:ascii="Arial" w:cs="Arial" w:eastAsia="Arial" w:hAnsi="Arial"/>
          <w:sz w:val="17"/>
          <w:szCs w:val="17"/>
          <w:color w:val="auto"/>
        </w:rPr>
      </w:pPr>
    </w:p>
    <w:p>
      <w:pPr>
        <w:spacing w:after="0" w:line="210" w:lineRule="exact"/>
        <w:rPr>
          <w:rFonts w:ascii="Arial" w:cs="Arial" w:eastAsia="Arial" w:hAnsi="Arial"/>
          <w:sz w:val="17"/>
          <w:szCs w:val="17"/>
          <w:color w:val="auto"/>
        </w:rPr>
      </w:pPr>
    </w:p>
    <w:p>
      <w:pPr>
        <w:ind w:left="1160" w:hanging="112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7"/>
          <w:szCs w:val="17"/>
          <w:color w:val="auto"/>
        </w:rPr>
      </w:pPr>
    </w:p>
    <w:p>
      <w:pPr>
        <w:ind w:left="1160"/>
        <w:spacing w:after="0"/>
        <w:rPr>
          <w:sz w:val="20"/>
          <w:szCs w:val="20"/>
          <w:color w:val="auto"/>
        </w:rPr>
      </w:pPr>
      <w:r>
        <w:rPr>
          <w:rFonts w:ascii="Arial" w:cs="Arial" w:eastAsia="Arial" w:hAnsi="Arial"/>
          <w:sz w:val="17"/>
          <w:szCs w:val="17"/>
          <w:color w:val="auto"/>
        </w:rPr>
        <w:t>Delaware</w:t>
      </w:r>
    </w:p>
    <w:p>
      <w:pPr>
        <w:spacing w:after="0" w:line="48" w:lineRule="exact"/>
        <w:rPr>
          <w:rFonts w:ascii="Arial" w:cs="Arial" w:eastAsia="Arial" w:hAnsi="Arial"/>
          <w:sz w:val="17"/>
          <w:szCs w:val="17"/>
          <w:color w:val="auto"/>
        </w:rPr>
      </w:pPr>
    </w:p>
    <w:p>
      <w:pPr>
        <w:ind w:left="2280" w:hanging="328"/>
        <w:spacing w:after="0"/>
        <w:tabs>
          <w:tab w:leader="none" w:pos="2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83" w:lineRule="exact"/>
        <w:rPr>
          <w:rFonts w:ascii="Arial" w:cs="Arial" w:eastAsia="Arial" w:hAnsi="Arial"/>
          <w:sz w:val="17"/>
          <w:szCs w:val="17"/>
          <w:color w:val="auto"/>
        </w:rPr>
      </w:pPr>
    </w:p>
    <w:p>
      <w:pPr>
        <w:ind w:left="2280"/>
        <w:spacing w:after="0"/>
        <w:rPr>
          <w:sz w:val="20"/>
          <w:szCs w:val="20"/>
          <w:color w:val="auto"/>
        </w:rPr>
      </w:pPr>
      <w:r>
        <w:rPr>
          <w:rFonts w:ascii="Arial" w:cs="Arial" w:eastAsia="Arial" w:hAnsi="Arial"/>
          <w:sz w:val="18"/>
          <w:szCs w:val="18"/>
          <w:color w:val="auto"/>
        </w:rPr>
        <w:t>0</w:t>
      </w:r>
    </w:p>
    <w:p>
      <w:pPr>
        <w:ind w:left="460"/>
        <w:spacing w:after="0" w:line="191" w:lineRule="auto"/>
        <w:tabs>
          <w:tab w:leader="none" w:pos="1940" w:val="left"/>
          <w:tab w:leader="none" w:pos="2260" w:val="left"/>
        </w:tabs>
        <w:rPr>
          <w:sz w:val="20"/>
          <w:szCs w:val="20"/>
          <w:color w:val="auto"/>
        </w:rPr>
      </w:pPr>
      <w:r>
        <w:rPr>
          <w:rFonts w:ascii="Arial" w:cs="Arial" w:eastAsia="Arial" w:hAnsi="Arial"/>
          <w:sz w:val="25"/>
          <w:szCs w:val="25"/>
          <w:color w:val="auto"/>
          <w:vertAlign w:val="superscript"/>
        </w:rPr>
        <w:t>NUMBER OF</w:t>
      </w:r>
      <w:r>
        <w:rPr>
          <w:sz w:val="20"/>
          <w:szCs w:val="20"/>
          <w:color w:val="auto"/>
        </w:rPr>
        <w:tab/>
      </w:r>
      <w:r>
        <w:rPr>
          <w:rFonts w:ascii="Arial" w:cs="Arial" w:eastAsia="Arial" w:hAnsi="Arial"/>
          <w:sz w:val="15"/>
          <w:szCs w:val="15"/>
          <w:color w:val="auto"/>
        </w:rPr>
        <w:t>6</w:t>
      </w:r>
      <w:r>
        <w:rPr>
          <w:sz w:val="20"/>
          <w:szCs w:val="20"/>
          <w:color w:val="auto"/>
        </w:rPr>
        <w:tab/>
      </w:r>
      <w:r>
        <w:rPr>
          <w:rFonts w:ascii="Arial" w:cs="Arial" w:eastAsia="Arial" w:hAnsi="Arial"/>
          <w:sz w:val="15"/>
          <w:szCs w:val="15"/>
          <w:color w:val="auto"/>
        </w:rPr>
        <w:t>SHARED VOTING POWER</w:t>
      </w:r>
    </w:p>
    <w:p>
      <w:pPr>
        <w:ind w:left="640"/>
        <w:spacing w:after="0"/>
        <w:rPr>
          <w:sz w:val="20"/>
          <w:szCs w:val="20"/>
          <w:color w:val="auto"/>
        </w:rPr>
      </w:pPr>
      <w:r>
        <w:rPr>
          <w:rFonts w:ascii="Arial" w:cs="Arial" w:eastAsia="Arial" w:hAnsi="Arial"/>
          <w:sz w:val="18"/>
          <w:szCs w:val="18"/>
          <w:color w:val="auto"/>
        </w:rPr>
        <w:t>SHARES</w:t>
      </w:r>
    </w:p>
    <w:p>
      <w:pPr>
        <w:ind w:left="340"/>
        <w:spacing w:after="0" w:line="180" w:lineRule="auto"/>
        <w:tabs>
          <w:tab w:leader="none" w:pos="2260" w:val="left"/>
        </w:tabs>
        <w:rPr>
          <w:sz w:val="20"/>
          <w:szCs w:val="20"/>
          <w:color w:val="auto"/>
        </w:rPr>
      </w:pPr>
      <w:r>
        <w:rPr>
          <w:rFonts w:ascii="Arial" w:cs="Arial" w:eastAsia="Arial" w:hAnsi="Arial"/>
          <w:sz w:val="15"/>
          <w:szCs w:val="15"/>
          <w:color w:val="auto"/>
        </w:rPr>
        <w:t>BENEFICIALLY</w:t>
      </w:r>
      <w:r>
        <w:rPr>
          <w:sz w:val="20"/>
          <w:szCs w:val="20"/>
          <w:color w:val="auto"/>
        </w:rPr>
        <w:tab/>
      </w:r>
      <w:r>
        <w:rPr>
          <w:rFonts w:ascii="Arial" w:cs="Arial" w:eastAsia="Arial" w:hAnsi="Arial"/>
          <w:sz w:val="26"/>
          <w:szCs w:val="26"/>
          <w:color w:val="auto"/>
          <w:vertAlign w:val="subscript"/>
        </w:rPr>
        <w:t>1,849,286</w:t>
      </w:r>
    </w:p>
    <w:p>
      <w:pPr>
        <w:ind w:left="640"/>
        <w:spacing w:after="0" w:line="196" w:lineRule="auto"/>
        <w:rPr>
          <w:sz w:val="20"/>
          <w:szCs w:val="20"/>
          <w:color w:val="auto"/>
        </w:rPr>
      </w:pPr>
      <w:r>
        <w:rPr>
          <w:rFonts w:ascii="Arial" w:cs="Arial" w:eastAsia="Arial" w:hAnsi="Arial"/>
          <w:sz w:val="13"/>
          <w:szCs w:val="13"/>
          <w:color w:val="auto"/>
        </w:rPr>
        <w:t>OWNED</w:t>
      </w:r>
    </w:p>
    <w:p>
      <w:pPr>
        <w:ind w:left="60"/>
        <w:spacing w:after="0"/>
        <w:tabs>
          <w:tab w:leader="none" w:pos="2260" w:val="left"/>
        </w:tabs>
        <w:rPr>
          <w:sz w:val="20"/>
          <w:szCs w:val="20"/>
          <w:color w:val="auto"/>
        </w:rPr>
      </w:pPr>
      <w:r>
        <w:rPr>
          <w:rFonts w:ascii="Arial" w:cs="Arial" w:eastAsia="Arial" w:hAnsi="Arial"/>
          <w:sz w:val="35"/>
          <w:szCs w:val="35"/>
          <w:color w:val="auto"/>
          <w:vertAlign w:val="subscript"/>
        </w:rPr>
        <w:t>BY EACH REPORTING</w:t>
      </w:r>
      <w:r>
        <w:rPr>
          <w:rFonts w:ascii="Arial" w:cs="Arial" w:eastAsia="Arial" w:hAnsi="Arial"/>
          <w:sz w:val="18"/>
          <w:szCs w:val="18"/>
          <w:color w:val="auto"/>
        </w:rPr>
        <w:t xml:space="preserve"> 7</w:t>
      </w:r>
      <w:r>
        <w:rPr>
          <w:sz w:val="20"/>
          <w:szCs w:val="20"/>
          <w:color w:val="auto"/>
        </w:rPr>
        <w:tab/>
      </w:r>
      <w:r>
        <w:rPr>
          <w:rFonts w:ascii="Arial" w:cs="Arial" w:eastAsia="Arial" w:hAnsi="Arial"/>
          <w:sz w:val="17"/>
          <w:szCs w:val="17"/>
          <w:color w:val="auto"/>
        </w:rPr>
        <w:t>SOLE DISPOSITIVE POWER</w:t>
      </w:r>
    </w:p>
    <w:p>
      <w:pPr>
        <w:ind w:left="640"/>
        <w:spacing w:after="0"/>
        <w:rPr>
          <w:sz w:val="20"/>
          <w:szCs w:val="20"/>
          <w:color w:val="auto"/>
        </w:rPr>
      </w:pPr>
      <w:r>
        <w:rPr>
          <w:rFonts w:ascii="Arial" w:cs="Arial" w:eastAsia="Arial" w:hAnsi="Arial"/>
          <w:sz w:val="18"/>
          <w:szCs w:val="18"/>
          <w:color w:val="auto"/>
        </w:rPr>
        <w:t>PERSON</w:t>
      </w:r>
    </w:p>
    <w:p>
      <w:pPr>
        <w:ind w:left="740"/>
        <w:spacing w:after="0" w:line="184" w:lineRule="auto"/>
        <w:rPr>
          <w:sz w:val="20"/>
          <w:szCs w:val="20"/>
          <w:color w:val="auto"/>
        </w:rPr>
      </w:pPr>
      <w:r>
        <w:rPr>
          <w:rFonts w:ascii="Arial" w:cs="Arial" w:eastAsia="Arial" w:hAnsi="Arial"/>
          <w:sz w:val="18"/>
          <w:szCs w:val="18"/>
          <w:color w:val="auto"/>
        </w:rPr>
        <w:t>WITH</w:t>
      </w:r>
    </w:p>
    <w:p>
      <w:pPr>
        <w:ind w:left="2280" w:right="6420" w:hanging="328"/>
        <w:spacing w:after="0" w:line="386" w:lineRule="auto"/>
        <w:tabs>
          <w:tab w:leader="none" w:pos="2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DISPOSITIVE POWER 1,849,286</w:t>
      </w:r>
    </w:p>
    <w:tbl>
      <w:tblPr>
        <w:tblLayout w:type="fixed"/>
        <w:tblInd w:w="0" w:type="dxa"/>
        <w:tblCellMar>
          <w:top w:w="0" w:type="dxa"/>
          <w:left w:w="0" w:type="dxa"/>
          <w:bottom w:w="0" w:type="dxa"/>
          <w:right w:w="0" w:type="dxa"/>
        </w:tblCellMar>
      </w:tblPr>
      <w:tr>
        <w:trPr>
          <w:trHeight w:val="218"/>
        </w:trPr>
        <w:tc>
          <w:tcPr>
            <w:tcW w:w="11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top w:val="single" w:sz="8" w:color="auto"/>
            </w:tcBorders>
          </w:tcPr>
          <w:p>
            <w:pPr>
              <w:spacing w:after="0"/>
              <w:rPr>
                <w:sz w:val="18"/>
                <w:szCs w:val="18"/>
                <w:color w:val="auto"/>
              </w:rPr>
            </w:pPr>
          </w:p>
        </w:tc>
      </w:tr>
      <w:tr>
        <w:trPr>
          <w:trHeight w:val="425"/>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bottom w:val="single" w:sz="8" w:color="auto"/>
            </w:tcBorders>
          </w:tcPr>
          <w:p>
            <w:pPr>
              <w:spacing w:after="0"/>
              <w:rPr>
                <w:sz w:val="24"/>
                <w:szCs w:val="24"/>
                <w:color w:val="auto"/>
              </w:rPr>
            </w:pPr>
          </w:p>
        </w:tc>
      </w:tr>
      <w:tr>
        <w:trPr>
          <w:trHeight w:val="283"/>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20" w:type="dxa"/>
            <w:vAlign w:val="bottom"/>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r>
      <w:tr>
        <w:trPr>
          <w:trHeight w:val="372"/>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230"/>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20" w:type="dxa"/>
            <w:vAlign w:val="bottom"/>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Pr>
          <w:p>
            <w:pPr>
              <w:spacing w:after="0"/>
              <w:rPr>
                <w:sz w:val="20"/>
                <w:szCs w:val="20"/>
                <w:color w:val="auto"/>
              </w:rPr>
            </w:pPr>
          </w:p>
        </w:tc>
      </w:tr>
      <w:tr>
        <w:trPr>
          <w:trHeight w:val="425"/>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w:t>
            </w:r>
          </w:p>
        </w:tc>
        <w:tc>
          <w:tcPr>
            <w:tcW w:w="2060" w:type="dxa"/>
            <w:vAlign w:val="bottom"/>
            <w:tcBorders>
              <w:bottom w:val="single" w:sz="8" w:color="auto"/>
            </w:tcBorders>
          </w:tcPr>
          <w:p>
            <w:pPr>
              <w:spacing w:after="0"/>
              <w:rPr>
                <w:sz w:val="24"/>
                <w:szCs w:val="24"/>
                <w:color w:val="auto"/>
              </w:rPr>
            </w:pPr>
          </w:p>
        </w:tc>
      </w:tr>
      <w:tr>
        <w:trPr>
          <w:trHeight w:val="230"/>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20" w:type="dxa"/>
            <w:vAlign w:val="bottom"/>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Pr>
          <w:p>
            <w:pPr>
              <w:spacing w:after="0"/>
              <w:rPr>
                <w:sz w:val="20"/>
                <w:szCs w:val="20"/>
                <w:color w:val="auto"/>
              </w:rPr>
            </w:pPr>
          </w:p>
        </w:tc>
      </w:tr>
      <w:tr>
        <w:trPr>
          <w:trHeight w:val="425"/>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060" w:type="dxa"/>
            <w:vAlign w:val="bottom"/>
            <w:tcBorders>
              <w:bottom w:val="single" w:sz="8" w:color="auto"/>
            </w:tcBorders>
          </w:tcPr>
          <w:p>
            <w:pPr>
              <w:spacing w:after="0"/>
              <w:rPr>
                <w:sz w:val="24"/>
                <w:szCs w:val="24"/>
                <w:color w:val="auto"/>
              </w:rPr>
            </w:pPr>
          </w:p>
        </w:tc>
      </w:tr>
      <w:tr>
        <w:trPr>
          <w:trHeight w:val="790"/>
        </w:trPr>
        <w:tc>
          <w:tcPr>
            <w:tcW w:w="116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8"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26603R106</w:t>
            </w:r>
          </w:p>
        </w:tc>
        <w:tc>
          <w:tcPr>
            <w:tcW w:w="2140" w:type="dxa"/>
            <w:vAlign w:val="bottom"/>
          </w:tcPr>
          <w:p>
            <w:pPr>
              <w:spacing w:after="0"/>
              <w:rPr>
                <w:sz w:val="21"/>
                <w:szCs w:val="21"/>
                <w:color w:val="auto"/>
              </w:rPr>
            </w:pPr>
          </w:p>
        </w:tc>
        <w:tc>
          <w:tcPr>
            <w:tcW w:w="4620" w:type="dxa"/>
            <w:vAlign w:val="bottom"/>
            <w:tcBorders>
              <w:right w:val="single" w:sz="8" w:color="auto"/>
            </w:tcBorders>
          </w:tcPr>
          <w:p>
            <w:pPr>
              <w:ind w:left="56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13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2"/>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6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General Atlantic GenPar (Lux) SCSp</w:t>
            </w:r>
          </w:p>
        </w:tc>
        <w:tc>
          <w:tcPr>
            <w:tcW w:w="46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2"/>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6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2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160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160" w:hanging="1125"/>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Luxembourg</w:t>
            </w: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1,849,286</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26603R106</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14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General Atlantic (Lux) S.à r.l.</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160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160" w:hanging="1125"/>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Luxembourg</w:t>
            </w: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1,849,286</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26603R106</w:t>
            </w:r>
          </w:p>
        </w:tc>
        <w:tc>
          <w:tcPr>
            <w:tcW w:w="2280" w:type="dxa"/>
            <w:vAlign w:val="bottom"/>
          </w:tcPr>
          <w:p>
            <w:pPr>
              <w:spacing w:after="0"/>
              <w:rPr>
                <w:sz w:val="21"/>
                <w:szCs w:val="21"/>
                <w:color w:val="auto"/>
              </w:rPr>
            </w:pPr>
          </w:p>
        </w:tc>
        <w:tc>
          <w:tcPr>
            <w:tcW w:w="4480" w:type="dxa"/>
            <w:vAlign w:val="bottom"/>
            <w:tcBorders>
              <w:right w:val="single" w:sz="8" w:color="auto"/>
            </w:tcBorders>
          </w:tcPr>
          <w:p>
            <w:pPr>
              <w:ind w:left="42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15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90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4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General Atlantic GenPar (Bermuda), L.P.</w:t>
            </w:r>
          </w:p>
        </w:tc>
        <w:tc>
          <w:tcPr>
            <w:tcW w:w="4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2"/>
          </w:tcPr>
          <w:p>
            <w:pPr>
              <w:spacing w:after="0"/>
              <w:rPr>
                <w:sz w:val="17"/>
                <w:szCs w:val="17"/>
                <w:color w:val="auto"/>
              </w:rPr>
            </w:pPr>
          </w:p>
        </w:tc>
        <w:tc>
          <w:tcPr>
            <w:tcW w:w="44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90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48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1606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160" w:hanging="1125"/>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1,849,286</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26603R106</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16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GAP (Bermuda) L.P.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160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160" w:hanging="1125"/>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1,849,286</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1,849,286</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26603R106</w:t>
            </w: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780" w:type="dxa"/>
            <w:vAlign w:val="bottom"/>
            <w:tcBorders>
              <w:right w:val="single" w:sz="8" w:color="auto"/>
            </w:tcBorders>
          </w:tcPr>
          <w:p>
            <w:pPr>
              <w:ind w:left="72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17 of 27</w:t>
            </w:r>
          </w:p>
        </w:tc>
      </w:tr>
      <w:tr>
        <w:trPr>
          <w:trHeight w:val="652"/>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3340" w:type="dxa"/>
            <w:vAlign w:val="bottom"/>
            <w:gridSpan w:val="4"/>
          </w:tcPr>
          <w:p>
            <w:pPr>
              <w:ind w:left="240"/>
              <w:spacing w:after="0"/>
              <w:rPr>
                <w:sz w:val="20"/>
                <w:szCs w:val="20"/>
                <w:color w:val="auto"/>
              </w:rPr>
            </w:pPr>
            <w:r>
              <w:rPr>
                <w:rFonts w:ascii="Arial" w:cs="Arial" w:eastAsia="Arial" w:hAnsi="Arial"/>
                <w:sz w:val="18"/>
                <w:szCs w:val="18"/>
                <w:b w:val="1"/>
                <w:bCs w:val="1"/>
                <w:color w:val="auto"/>
              </w:rPr>
              <w:t>(a)    NAME OF ISSUER</w:t>
            </w:r>
          </w:p>
        </w:tc>
        <w:tc>
          <w:tcPr>
            <w:tcW w:w="47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40" w:type="dxa"/>
            <w:vAlign w:val="bottom"/>
            <w:gridSpan w:val="4"/>
          </w:tcPr>
          <w:p>
            <w:pPr>
              <w:ind w:left="240"/>
              <w:spacing w:after="0"/>
              <w:rPr>
                <w:sz w:val="20"/>
                <w:szCs w:val="20"/>
                <w:color w:val="auto"/>
              </w:rPr>
            </w:pPr>
            <w:r>
              <w:rPr>
                <w:rFonts w:ascii="Arial" w:cs="Arial" w:eastAsia="Arial" w:hAnsi="Arial"/>
                <w:sz w:val="18"/>
                <w:szCs w:val="18"/>
                <w:color w:val="auto"/>
              </w:rPr>
              <w:t>Duolingo, Inc. (the “Company”).</w:t>
            </w:r>
          </w:p>
        </w:tc>
        <w:tc>
          <w:tcPr>
            <w:tcW w:w="47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700" w:hanging="558"/>
        <w:spacing w:after="0"/>
        <w:tabs>
          <w:tab w:leader="none" w:pos="17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5900 Penn Avenue, Pittsburgh, Pennsylvania 15206.</w:t>
      </w:r>
    </w:p>
    <w:p>
      <w:pPr>
        <w:spacing w:after="0" w:line="221" w:lineRule="exact"/>
        <w:rPr>
          <w:sz w:val="20"/>
          <w:szCs w:val="20"/>
          <w:color w:val="auto"/>
        </w:rPr>
      </w:pPr>
    </w:p>
    <w:p>
      <w:pPr>
        <w:spacing w:after="0"/>
        <w:tabs>
          <w:tab w:leader="none" w:pos="1120" w:val="left"/>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7"/>
          <w:szCs w:val="17"/>
          <w:b w:val="1"/>
          <w:bCs w:val="1"/>
          <w:color w:val="auto"/>
        </w:rPr>
        <w:t>NAMES OF PERSONS FILING</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This Statement is being filed on behalf of each of the following persons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225" w:lineRule="exact"/>
        <w:rPr>
          <w:sz w:val="20"/>
          <w:szCs w:val="20"/>
          <w:color w:val="auto"/>
        </w:rPr>
      </w:pPr>
    </w:p>
    <w:p>
      <w:pPr>
        <w:ind w:left="1700" w:hanging="558"/>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Atlantic, L.P.(“</w:t>
      </w:r>
      <w:r>
        <w:rPr>
          <w:rFonts w:ascii="Arial" w:cs="Arial" w:eastAsia="Arial" w:hAnsi="Arial"/>
          <w:sz w:val="18"/>
          <w:szCs w:val="18"/>
          <w:u w:val="single" w:color="auto"/>
          <w:color w:val="auto"/>
        </w:rPr>
        <w:t>GA LP</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Atlantic (SPV) GP, LLC (“</w:t>
      </w:r>
      <w:r>
        <w:rPr>
          <w:rFonts w:ascii="Arial" w:cs="Arial" w:eastAsia="Arial" w:hAnsi="Arial"/>
          <w:sz w:val="18"/>
          <w:szCs w:val="18"/>
          <w:u w:val="single" w:color="auto"/>
          <w:color w:val="auto"/>
        </w:rPr>
        <w:t>GA SPV</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Atlantic Partners 100, L.P. (“</w:t>
      </w:r>
      <w:r>
        <w:rPr>
          <w:rFonts w:ascii="Arial" w:cs="Arial" w:eastAsia="Arial" w:hAnsi="Arial"/>
          <w:sz w:val="18"/>
          <w:szCs w:val="18"/>
          <w:u w:val="single" w:color="auto"/>
          <w:color w:val="auto"/>
        </w:rPr>
        <w:t>GAP 100</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Atlantic (DU), L.P. (“</w:t>
      </w:r>
      <w:r>
        <w:rPr>
          <w:rFonts w:ascii="Arial" w:cs="Arial" w:eastAsia="Arial" w:hAnsi="Arial"/>
          <w:sz w:val="18"/>
          <w:szCs w:val="18"/>
          <w:u w:val="single" w:color="auto"/>
          <w:color w:val="auto"/>
        </w:rPr>
        <w:t>GA DU</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Atlantic Partners (Bermuda) EU, L.P. (“</w:t>
      </w:r>
      <w:r>
        <w:rPr>
          <w:rFonts w:ascii="Arial" w:cs="Arial" w:eastAsia="Arial" w:hAnsi="Arial"/>
          <w:sz w:val="18"/>
          <w:szCs w:val="18"/>
          <w:u w:val="single" w:color="auto"/>
          <w:color w:val="auto"/>
        </w:rPr>
        <w:t>GAP Bermuda EU</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Atlantic Partners (Lux) SCSp (“</w:t>
      </w:r>
      <w:r>
        <w:rPr>
          <w:rFonts w:ascii="Arial" w:cs="Arial" w:eastAsia="Arial" w:hAnsi="Arial"/>
          <w:sz w:val="18"/>
          <w:szCs w:val="18"/>
          <w:u w:val="single" w:color="auto"/>
          <w:color w:val="auto"/>
        </w:rPr>
        <w:t>GAP Lux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Atlantic GenPar, L.P. (“</w:t>
      </w:r>
      <w:r>
        <w:rPr>
          <w:rFonts w:ascii="Arial" w:cs="Arial" w:eastAsia="Arial" w:hAnsi="Arial"/>
          <w:sz w:val="18"/>
          <w:szCs w:val="18"/>
          <w:u w:val="single" w:color="auto"/>
          <w:color w:val="auto"/>
        </w:rPr>
        <w:t>GA GenPar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GAP Coinvestments III, LLC (“</w:t>
      </w:r>
      <w:r>
        <w:rPr>
          <w:rFonts w:ascii="Arial" w:cs="Arial" w:eastAsia="Arial" w:hAnsi="Arial"/>
          <w:sz w:val="18"/>
          <w:szCs w:val="18"/>
          <w:u w:val="single" w:color="auto"/>
          <w:color w:val="auto"/>
        </w:rPr>
        <w:t>GAPCO III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GAP Coinvestments IV, LLC (“</w:t>
      </w:r>
      <w:r>
        <w:rPr>
          <w:rFonts w:ascii="Arial" w:cs="Arial" w:eastAsia="Arial" w:hAnsi="Arial"/>
          <w:sz w:val="18"/>
          <w:szCs w:val="18"/>
          <w:u w:val="single" w:color="auto"/>
          <w:color w:val="auto"/>
        </w:rPr>
        <w:t>GAPCO IV</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GAP Coinvestments V, LLC (“</w:t>
      </w:r>
      <w:r>
        <w:rPr>
          <w:rFonts w:ascii="Arial" w:cs="Arial" w:eastAsia="Arial" w:hAnsi="Arial"/>
          <w:sz w:val="18"/>
          <w:szCs w:val="18"/>
          <w:u w:val="single" w:color="auto"/>
          <w:color w:val="auto"/>
        </w:rPr>
        <w:t>GAPCO V</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GAP Coinvestments CDA, L.P. (“</w:t>
      </w:r>
      <w:r>
        <w:rPr>
          <w:rFonts w:ascii="Arial" w:cs="Arial" w:eastAsia="Arial" w:hAnsi="Arial"/>
          <w:sz w:val="18"/>
          <w:szCs w:val="18"/>
          <w:u w:val="single" w:color="auto"/>
          <w:color w:val="auto"/>
        </w:rPr>
        <w:t>GAPCO CDA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Atlantic GenPar (Lux) SCSp (“</w:t>
      </w:r>
      <w:r>
        <w:rPr>
          <w:rFonts w:ascii="Arial" w:cs="Arial" w:eastAsia="Arial" w:hAnsi="Arial"/>
          <w:sz w:val="18"/>
          <w:szCs w:val="18"/>
          <w:u w:val="single" w:color="auto"/>
          <w:color w:val="auto"/>
        </w:rPr>
        <w:t>GA GenPar Lux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Atlantic (Lux) S.à r.l. (“</w:t>
      </w:r>
      <w:r>
        <w:rPr>
          <w:rFonts w:ascii="Arial" w:cs="Arial" w:eastAsia="Arial" w:hAnsi="Arial"/>
          <w:sz w:val="18"/>
          <w:szCs w:val="18"/>
          <w:u w:val="single" w:color="auto"/>
          <w:color w:val="auto"/>
        </w:rPr>
        <w:t>GA Lux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Atlantic GenPar (Bermuda), L.P. (“</w:t>
      </w:r>
      <w:r>
        <w:rPr>
          <w:rFonts w:ascii="Arial" w:cs="Arial" w:eastAsia="Arial" w:hAnsi="Arial"/>
          <w:sz w:val="18"/>
          <w:szCs w:val="18"/>
          <w:u w:val="single" w:color="auto"/>
          <w:color w:val="auto"/>
        </w:rPr>
        <w:t>GenPar Bermuda</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GAP (Bermuda) L.P. (“</w:t>
      </w:r>
      <w:r>
        <w:rPr>
          <w:rFonts w:ascii="Arial" w:cs="Arial" w:eastAsia="Arial" w:hAnsi="Arial"/>
          <w:sz w:val="18"/>
          <w:szCs w:val="18"/>
          <w:u w:val="single" w:color="auto"/>
          <w:color w:val="auto"/>
        </w:rPr>
        <w:t>GAP (Bermuda)</w:t>
      </w:r>
      <w:r>
        <w:rPr>
          <w:rFonts w:ascii="Arial" w:cs="Arial" w:eastAsia="Arial" w:hAnsi="Arial"/>
          <w:sz w:val="18"/>
          <w:szCs w:val="18"/>
          <w:color w:val="auto"/>
        </w:rPr>
        <w:t>”).</w:t>
      </w:r>
    </w:p>
    <w:p>
      <w:pPr>
        <w:spacing w:after="0" w:line="225" w:lineRule="exact"/>
        <w:rPr>
          <w:sz w:val="20"/>
          <w:szCs w:val="20"/>
          <w:color w:val="auto"/>
        </w:rPr>
      </w:pPr>
    </w:p>
    <w:p>
      <w:pPr>
        <w:ind w:left="1140" w:right="180"/>
        <w:spacing w:after="0" w:line="277" w:lineRule="auto"/>
        <w:rPr>
          <w:sz w:val="20"/>
          <w:szCs w:val="20"/>
          <w:color w:val="auto"/>
        </w:rPr>
      </w:pPr>
      <w:r>
        <w:rPr>
          <w:rFonts w:ascii="Arial" w:cs="Arial" w:eastAsia="Arial" w:hAnsi="Arial"/>
          <w:sz w:val="18"/>
          <w:szCs w:val="18"/>
          <w:color w:val="auto"/>
        </w:rPr>
        <w:t>GAP 100, GAP Bermuda EU, GAP Lux are collectively referred to as the “</w:t>
      </w:r>
      <w:r>
        <w:rPr>
          <w:rFonts w:ascii="Arial" w:cs="Arial" w:eastAsia="Arial" w:hAnsi="Arial"/>
          <w:sz w:val="18"/>
          <w:szCs w:val="18"/>
          <w:u w:val="single" w:color="auto"/>
          <w:color w:val="auto"/>
        </w:rPr>
        <w:t>GA Funds</w:t>
      </w:r>
      <w:r>
        <w:rPr>
          <w:rFonts w:ascii="Arial" w:cs="Arial" w:eastAsia="Arial" w:hAnsi="Arial"/>
          <w:sz w:val="18"/>
          <w:szCs w:val="18"/>
          <w:color w:val="auto"/>
        </w:rPr>
        <w:t>.” GAPCO III, GAPCO IV, GAPCO V and GAPCO CDA are collectively referred to as the “</w:t>
      </w:r>
      <w:r>
        <w:rPr>
          <w:rFonts w:ascii="Arial" w:cs="Arial" w:eastAsia="Arial" w:hAnsi="Arial"/>
          <w:sz w:val="18"/>
          <w:szCs w:val="18"/>
          <w:u w:val="single" w:color="auto"/>
          <w:color w:val="auto"/>
        </w:rPr>
        <w:t>Sponsor Coinvestment Funds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17" w:name="page18"/>
    <w:bookmarkEnd w:id="17"/>
    <w:p>
      <w:pPr>
        <w:spacing w:after="0"/>
        <w:tabs>
          <w:tab w:leader="none" w:pos="490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520065</wp:posOffset>
            </wp:positionV>
            <wp:extent cx="1426845" cy="167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26845" cy="167005"/>
                    </a:xfrm>
                    <a:prstGeom prst="rect">
                      <a:avLst/>
                    </a:prstGeom>
                    <a:noFill/>
                  </pic:spPr>
                </pic:pic>
              </a:graphicData>
            </a:graphic>
          </wp:anchor>
        </w:drawing>
        <w:drawing>
          <wp:anchor simplePos="0" relativeHeight="251657728" behindDoc="1" locked="0" layoutInCell="0" allowOverlap="1">
            <wp:simplePos x="0" y="0"/>
            <wp:positionH relativeFrom="page">
              <wp:posOffset>5919470</wp:posOffset>
            </wp:positionH>
            <wp:positionV relativeFrom="page">
              <wp:posOffset>520065</wp:posOffset>
            </wp:positionV>
            <wp:extent cx="1418590" cy="167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8590" cy="167005"/>
                    </a:xfrm>
                    <a:prstGeom prst="rect">
                      <a:avLst/>
                    </a:prstGeom>
                    <a:noFill/>
                  </pic:spPr>
                </pic:pic>
              </a:graphicData>
            </a:graphic>
          </wp:anchor>
        </w:drawing>
        <w:t>CUSIP No. 26603R106</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18 of 27</w:t>
      </w:r>
    </w:p>
    <w:p>
      <w:pPr>
        <w:sectPr>
          <w:pgSz w:w="11900" w:h="16838" w:orient="portrait"/>
          <w:cols w:equalWidth="0" w:num="1">
            <w:col w:w="11180"/>
          </w:cols>
          <w:pgMar w:left="360" w:top="823" w:right="3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1660" w:hanging="558"/>
        <w:spacing w:after="0"/>
        <w:tabs>
          <w:tab w:leader="none" w:pos="1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ADDRESS OR PRINCIPAL BUSINESS OFFICE OR, IF NONE, RESIDENCE</w:t>
      </w:r>
    </w:p>
    <w:p>
      <w:pPr>
        <w:spacing w:after="0" w:line="229"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The address of GAP Bermuda EU, GenPar Bermuda, and GAP (Bermuda) is Clarendon House, 2 Church Street, Hamilton HM 11, Bermuda. The address of GAP Lux, GA GenPar Lux and GA Lux is Luxembourg is 412F, Route d’Esch, L-2086 Luxembourg. The address of GAP 100, GA SPV, GA DU, GA GenPar, and GA LP and each of the Sponsor Coinvestment Funds is c/o General Atlantic Service Company, L.P., 55 East 52nd Street, 33rd Floor, New York, NY 10055.</w:t>
      </w:r>
    </w:p>
    <w:p>
      <w:pPr>
        <w:spacing w:after="0" w:line="183" w:lineRule="exact"/>
        <w:rPr>
          <w:sz w:val="20"/>
          <w:szCs w:val="20"/>
          <w:color w:val="auto"/>
        </w:rPr>
      </w:pPr>
    </w:p>
    <w:p>
      <w:pPr>
        <w:ind w:left="1660" w:hanging="558"/>
        <w:spacing w:after="0"/>
        <w:tabs>
          <w:tab w:leader="none" w:pos="1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29" w:lineRule="exact"/>
        <w:rPr>
          <w:sz w:val="20"/>
          <w:szCs w:val="20"/>
          <w:color w:val="auto"/>
        </w:rPr>
      </w:pPr>
    </w:p>
    <w:p>
      <w:pPr>
        <w:ind w:left="1660" w:hanging="558"/>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 LP - Delaware</w:t>
      </w:r>
    </w:p>
    <w:p>
      <w:pPr>
        <w:spacing w:after="0" w:line="225" w:lineRule="exact"/>
        <w:rPr>
          <w:rFonts w:ascii="Arial" w:cs="Arial" w:eastAsia="Arial" w:hAnsi="Arial"/>
          <w:sz w:val="18"/>
          <w:szCs w:val="18"/>
          <w:color w:val="auto"/>
        </w:rPr>
      </w:pPr>
    </w:p>
    <w:p>
      <w:pPr>
        <w:ind w:left="1660" w:hanging="558"/>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 SPV – Delaware</w:t>
      </w:r>
    </w:p>
    <w:p>
      <w:pPr>
        <w:spacing w:after="0" w:line="225" w:lineRule="exact"/>
        <w:rPr>
          <w:rFonts w:ascii="Arial" w:cs="Arial" w:eastAsia="Arial" w:hAnsi="Arial"/>
          <w:sz w:val="18"/>
          <w:szCs w:val="18"/>
          <w:color w:val="auto"/>
        </w:rPr>
      </w:pPr>
    </w:p>
    <w:p>
      <w:pPr>
        <w:ind w:left="1660" w:hanging="558"/>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GAP 100 - Delaware</w:t>
      </w:r>
    </w:p>
    <w:p>
      <w:pPr>
        <w:spacing w:after="0" w:line="225" w:lineRule="exact"/>
        <w:rPr>
          <w:rFonts w:ascii="Arial" w:cs="Arial" w:eastAsia="Arial" w:hAnsi="Arial"/>
          <w:sz w:val="18"/>
          <w:szCs w:val="18"/>
          <w:color w:val="auto"/>
        </w:rPr>
      </w:pPr>
    </w:p>
    <w:p>
      <w:pPr>
        <w:ind w:left="1660" w:hanging="558"/>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 DU - Delaware</w:t>
      </w:r>
    </w:p>
    <w:p>
      <w:pPr>
        <w:spacing w:after="0" w:line="225" w:lineRule="exact"/>
        <w:rPr>
          <w:rFonts w:ascii="Arial" w:cs="Arial" w:eastAsia="Arial" w:hAnsi="Arial"/>
          <w:sz w:val="18"/>
          <w:szCs w:val="18"/>
          <w:color w:val="auto"/>
        </w:rPr>
      </w:pPr>
    </w:p>
    <w:p>
      <w:pPr>
        <w:ind w:left="1660" w:hanging="558"/>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GAP Bermuda EU – Bermuda</w:t>
      </w:r>
    </w:p>
    <w:p>
      <w:pPr>
        <w:spacing w:after="0" w:line="225" w:lineRule="exact"/>
        <w:rPr>
          <w:rFonts w:ascii="Arial" w:cs="Arial" w:eastAsia="Arial" w:hAnsi="Arial"/>
          <w:sz w:val="18"/>
          <w:szCs w:val="18"/>
          <w:color w:val="auto"/>
        </w:rPr>
      </w:pPr>
    </w:p>
    <w:p>
      <w:pPr>
        <w:ind w:left="1660" w:hanging="558"/>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GAP Lux - Luxembourg</w:t>
      </w:r>
    </w:p>
    <w:p>
      <w:pPr>
        <w:spacing w:after="0" w:line="225" w:lineRule="exact"/>
        <w:rPr>
          <w:rFonts w:ascii="Arial" w:cs="Arial" w:eastAsia="Arial" w:hAnsi="Arial"/>
          <w:sz w:val="18"/>
          <w:szCs w:val="18"/>
          <w:color w:val="auto"/>
        </w:rPr>
      </w:pPr>
    </w:p>
    <w:p>
      <w:pPr>
        <w:ind w:left="1660" w:hanging="558"/>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 GenPar - Delaware</w:t>
      </w:r>
    </w:p>
    <w:p>
      <w:pPr>
        <w:spacing w:after="0" w:line="225" w:lineRule="exact"/>
        <w:rPr>
          <w:rFonts w:ascii="Arial" w:cs="Arial" w:eastAsia="Arial" w:hAnsi="Arial"/>
          <w:sz w:val="18"/>
          <w:szCs w:val="18"/>
          <w:color w:val="auto"/>
        </w:rPr>
      </w:pPr>
    </w:p>
    <w:p>
      <w:pPr>
        <w:ind w:left="1660" w:hanging="558"/>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GAPCO III - Delaware</w:t>
      </w:r>
    </w:p>
    <w:p>
      <w:pPr>
        <w:spacing w:after="0" w:line="225" w:lineRule="exact"/>
        <w:rPr>
          <w:rFonts w:ascii="Arial" w:cs="Arial" w:eastAsia="Arial" w:hAnsi="Arial"/>
          <w:sz w:val="18"/>
          <w:szCs w:val="18"/>
          <w:color w:val="auto"/>
        </w:rPr>
      </w:pPr>
    </w:p>
    <w:p>
      <w:pPr>
        <w:ind w:left="1660" w:hanging="558"/>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GAPCO IV - Delaware</w:t>
      </w:r>
    </w:p>
    <w:p>
      <w:pPr>
        <w:spacing w:after="0" w:line="225" w:lineRule="exact"/>
        <w:rPr>
          <w:rFonts w:ascii="Arial" w:cs="Arial" w:eastAsia="Arial" w:hAnsi="Arial"/>
          <w:sz w:val="18"/>
          <w:szCs w:val="18"/>
          <w:color w:val="auto"/>
        </w:rPr>
      </w:pPr>
    </w:p>
    <w:p>
      <w:pPr>
        <w:ind w:left="1660" w:hanging="558"/>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GAPCO V - Delaware</w:t>
      </w:r>
    </w:p>
    <w:p>
      <w:pPr>
        <w:spacing w:after="0" w:line="225" w:lineRule="exact"/>
        <w:rPr>
          <w:rFonts w:ascii="Arial" w:cs="Arial" w:eastAsia="Arial" w:hAnsi="Arial"/>
          <w:sz w:val="18"/>
          <w:szCs w:val="18"/>
          <w:color w:val="auto"/>
        </w:rPr>
      </w:pPr>
    </w:p>
    <w:p>
      <w:pPr>
        <w:ind w:left="1660" w:hanging="558"/>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GAPCO CDA - Delaware</w:t>
      </w:r>
    </w:p>
    <w:p>
      <w:pPr>
        <w:spacing w:after="0" w:line="225" w:lineRule="exact"/>
        <w:rPr>
          <w:rFonts w:ascii="Arial" w:cs="Arial" w:eastAsia="Arial" w:hAnsi="Arial"/>
          <w:sz w:val="18"/>
          <w:szCs w:val="18"/>
          <w:color w:val="auto"/>
        </w:rPr>
      </w:pPr>
    </w:p>
    <w:p>
      <w:pPr>
        <w:ind w:left="1660" w:hanging="558"/>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 GenPar Lux - Luxembourg</w:t>
      </w:r>
    </w:p>
    <w:p>
      <w:pPr>
        <w:spacing w:after="0" w:line="225" w:lineRule="exact"/>
        <w:rPr>
          <w:rFonts w:ascii="Arial" w:cs="Arial" w:eastAsia="Arial" w:hAnsi="Arial"/>
          <w:sz w:val="18"/>
          <w:szCs w:val="18"/>
          <w:color w:val="auto"/>
        </w:rPr>
      </w:pPr>
    </w:p>
    <w:p>
      <w:pPr>
        <w:ind w:left="1660" w:hanging="558"/>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 Lux - Luxembourg</w:t>
      </w:r>
    </w:p>
    <w:p>
      <w:pPr>
        <w:spacing w:after="0" w:line="225" w:lineRule="exact"/>
        <w:rPr>
          <w:rFonts w:ascii="Arial" w:cs="Arial" w:eastAsia="Arial" w:hAnsi="Arial"/>
          <w:sz w:val="18"/>
          <w:szCs w:val="18"/>
          <w:color w:val="auto"/>
        </w:rPr>
      </w:pPr>
    </w:p>
    <w:p>
      <w:pPr>
        <w:ind w:left="1660" w:hanging="558"/>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GenPar Bermuda - Bermuda</w:t>
      </w:r>
    </w:p>
    <w:p>
      <w:pPr>
        <w:spacing w:after="0" w:line="225" w:lineRule="exact"/>
        <w:rPr>
          <w:rFonts w:ascii="Arial" w:cs="Arial" w:eastAsia="Arial" w:hAnsi="Arial"/>
          <w:sz w:val="18"/>
          <w:szCs w:val="18"/>
          <w:color w:val="auto"/>
        </w:rPr>
      </w:pPr>
    </w:p>
    <w:p>
      <w:pPr>
        <w:ind w:left="1660" w:hanging="558"/>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GAP (Bermuda) – Bermuda</w:t>
      </w:r>
    </w:p>
    <w:p>
      <w:pPr>
        <w:spacing w:after="0" w:line="221" w:lineRule="exact"/>
        <w:rPr>
          <w:sz w:val="20"/>
          <w:szCs w:val="20"/>
          <w:color w:val="auto"/>
        </w:rPr>
      </w:pPr>
    </w:p>
    <w:p>
      <w:pPr>
        <w:ind w:left="1660" w:hanging="558"/>
        <w:spacing w:after="0"/>
        <w:tabs>
          <w:tab w:leader="none" w:pos="1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Class A common stock, par value $0.0001 per share (the “</w:t>
      </w:r>
      <w:r>
        <w:rPr>
          <w:rFonts w:ascii="Arial" w:cs="Arial" w:eastAsia="Arial" w:hAnsi="Arial"/>
          <w:sz w:val="18"/>
          <w:szCs w:val="18"/>
          <w:u w:val="single" w:color="auto"/>
          <w:color w:val="auto"/>
        </w:rPr>
        <w:t>Class A common shares</w:t>
      </w:r>
      <w:r>
        <w:rPr>
          <w:rFonts w:ascii="Arial" w:cs="Arial" w:eastAsia="Arial" w:hAnsi="Arial"/>
          <w:sz w:val="18"/>
          <w:szCs w:val="18"/>
          <w:color w:val="auto"/>
        </w:rPr>
        <w:t>”).</w:t>
      </w:r>
    </w:p>
    <w:p>
      <w:pPr>
        <w:spacing w:after="0" w:line="221" w:lineRule="exact"/>
        <w:rPr>
          <w:sz w:val="20"/>
          <w:szCs w:val="20"/>
          <w:color w:val="auto"/>
        </w:rPr>
      </w:pPr>
    </w:p>
    <w:p>
      <w:pPr>
        <w:ind w:left="1660" w:hanging="558"/>
        <w:spacing w:after="0"/>
        <w:tabs>
          <w:tab w:leader="none" w:pos="1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CUSIP NUMBER</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26603R106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357505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23" w:right="359" w:bottom="1440" w:gutter="0" w:footer="0" w:header="0"/>
          <w:type w:val="continuous"/>
        </w:sectPr>
      </w:pPr>
    </w:p>
    <w:bookmarkStart w:id="18" w:name="page19"/>
    <w:bookmarkEnd w:id="18"/>
    <w:tbl>
      <w:tblPr>
        <w:tblLayout w:type="fixed"/>
        <w:tblInd w:w="3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26603R106</w:t>
            </w:r>
          </w:p>
        </w:tc>
        <w:tc>
          <w:tcPr>
            <w:tcW w:w="676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19 of 27</w:t>
            </w:r>
          </w:p>
        </w:tc>
      </w:tr>
    </w:tbl>
    <w:p>
      <w:pPr>
        <w:spacing w:after="0" w:line="200" w:lineRule="exact"/>
        <w:rPr>
          <w:sz w:val="20"/>
          <w:szCs w:val="20"/>
          <w:color w:val="auto"/>
        </w:rPr>
      </w:pPr>
    </w:p>
    <w:p>
      <w:pPr>
        <w:spacing w:after="0" w:line="244" w:lineRule="exact"/>
        <w:rPr>
          <w:sz w:val="20"/>
          <w:szCs w:val="20"/>
          <w:color w:val="auto"/>
        </w:rPr>
      </w:pPr>
    </w:p>
    <w:p>
      <w:pPr>
        <w:ind w:left="1140" w:right="30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RULES 13d-1(b) OR 13d-2(b) OR (c), CHECK WHETHER THE PERSON FILING IS:</w:t>
      </w:r>
    </w:p>
    <w:p>
      <w:pPr>
        <w:spacing w:after="0" w:line="16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 of December 31, 2021, the Reporting Persons owned the following number of the Company’s Class A common shares:</w:t>
      </w:r>
    </w:p>
    <w:p>
      <w:pPr>
        <w:spacing w:after="0" w:line="225" w:lineRule="exact"/>
        <w:rPr>
          <w:sz w:val="20"/>
          <w:szCs w:val="20"/>
          <w:color w:val="auto"/>
        </w:rPr>
      </w:pPr>
    </w:p>
    <w:p>
      <w:pPr>
        <w:ind w:left="1700" w:hanging="558"/>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GA LP owned of record no Class A common shares or 0.0% of the issued and outstanding Class A common shares</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GA SPV owned of record no Class A common shares or 0.0% of the issued and outstanding Class A common shares</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GAP 100 owned of record no Class A common shares or 0.0% of the issued and outstanding Class A common shares</w:t>
      </w:r>
    </w:p>
    <w:p>
      <w:pPr>
        <w:spacing w:after="0" w:line="225" w:lineRule="exact"/>
        <w:rPr>
          <w:rFonts w:ascii="Arial" w:cs="Arial" w:eastAsia="Arial" w:hAnsi="Arial"/>
          <w:sz w:val="18"/>
          <w:szCs w:val="18"/>
          <w:color w:val="auto"/>
        </w:rPr>
      </w:pPr>
    </w:p>
    <w:p>
      <w:pPr>
        <w:ind w:left="1700" w:right="40" w:hanging="558"/>
        <w:spacing w:after="0" w:line="308" w:lineRule="auto"/>
        <w:tabs>
          <w:tab w:leader="none" w:pos="1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GAP DU owned of record 1,849,286 Class B common shares, each convertible at any time at the option of the holder into one Class A common share, convertible on a one-to-one basis into 10.5% of the issued and outstanding Class A common shares</w:t>
      </w:r>
    </w:p>
    <w:p>
      <w:pPr>
        <w:spacing w:after="0" w:line="146" w:lineRule="exact"/>
        <w:rPr>
          <w:rFonts w:ascii="Arial" w:cs="Arial" w:eastAsia="Arial" w:hAnsi="Arial"/>
          <w:sz w:val="17"/>
          <w:szCs w:val="17"/>
          <w:color w:val="auto"/>
        </w:rPr>
      </w:pPr>
    </w:p>
    <w:p>
      <w:pPr>
        <w:ind w:left="1700" w:hanging="558"/>
        <w:spacing w:after="0"/>
        <w:tabs>
          <w:tab w:leader="none" w:pos="1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GAP Bermuda EU owned of record no Class A common shares or 0.0% of the issued and outstanding Class A common shares</w:t>
      </w:r>
    </w:p>
    <w:p>
      <w:pPr>
        <w:spacing w:after="0" w:line="248" w:lineRule="exact"/>
        <w:rPr>
          <w:rFonts w:ascii="Arial" w:cs="Arial" w:eastAsia="Arial" w:hAnsi="Arial"/>
          <w:sz w:val="16"/>
          <w:szCs w:val="16"/>
          <w:color w:val="auto"/>
        </w:rPr>
      </w:pPr>
    </w:p>
    <w:p>
      <w:pPr>
        <w:ind w:left="1700" w:hanging="558"/>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GAP Lux owned of record no Class A common shares or 0.0% of the issued and outstanding Class A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837565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19" w:name="page20"/>
    <w:bookmarkEnd w:id="19"/>
    <w:tbl>
      <w:tblPr>
        <w:tblLayout w:type="fixed"/>
        <w:tblInd w:w="3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26603R106</w:t>
            </w:r>
          </w:p>
        </w:tc>
        <w:tc>
          <w:tcPr>
            <w:tcW w:w="676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20 of 27</w:t>
            </w:r>
          </w:p>
        </w:tc>
      </w:tr>
    </w:tbl>
    <w:p>
      <w:pPr>
        <w:spacing w:after="0" w:line="200" w:lineRule="exact"/>
        <w:rPr>
          <w:sz w:val="20"/>
          <w:szCs w:val="20"/>
          <w:color w:val="auto"/>
        </w:rPr>
      </w:pPr>
    </w:p>
    <w:p>
      <w:pPr>
        <w:spacing w:after="0" w:line="221" w:lineRule="exact"/>
        <w:rPr>
          <w:sz w:val="20"/>
          <w:szCs w:val="20"/>
          <w:color w:val="auto"/>
        </w:rPr>
      </w:pPr>
    </w:p>
    <w:p>
      <w:pPr>
        <w:ind w:left="1700" w:hanging="558"/>
        <w:spacing w:after="0"/>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GA GenPar owned of record no Class A common shares or 0.0% of the issued and outstanding Class A common shares</w:t>
      </w:r>
    </w:p>
    <w:p>
      <w:pPr>
        <w:spacing w:after="0" w:line="236" w:lineRule="exact"/>
        <w:rPr>
          <w:rFonts w:ascii="Arial" w:cs="Arial" w:eastAsia="Arial" w:hAnsi="Arial"/>
          <w:sz w:val="17"/>
          <w:szCs w:val="17"/>
          <w:color w:val="auto"/>
        </w:rPr>
      </w:pPr>
    </w:p>
    <w:p>
      <w:pPr>
        <w:ind w:left="1700" w:hanging="558"/>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GAPCO III owned of record no Class A common shares or 0.0% of the issued and outstanding Class A common shares</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GAPCO IV owned of record no Class A common shares or 0.0% of the issued and outstanding Class A common shares</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GAPCO V owned of record no Class A common shares or 0.0% of the issued and outstanding Class A common shares</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GAPCO CDA owned of record no Class A common shares or 0.0% of the issued and outstanding Class A common shares</w:t>
      </w:r>
    </w:p>
    <w:p>
      <w:pPr>
        <w:spacing w:after="0" w:line="236" w:lineRule="exact"/>
        <w:rPr>
          <w:rFonts w:ascii="Arial" w:cs="Arial" w:eastAsia="Arial" w:hAnsi="Arial"/>
          <w:sz w:val="17"/>
          <w:szCs w:val="17"/>
          <w:color w:val="auto"/>
        </w:rPr>
      </w:pPr>
    </w:p>
    <w:p>
      <w:pPr>
        <w:ind w:left="1700" w:hanging="558"/>
        <w:spacing w:after="0"/>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GA GenPar Lux owned of record no Class A common shares or 0.0% of the issued and outstanding Class A common shares</w:t>
      </w:r>
    </w:p>
    <w:p>
      <w:pPr>
        <w:spacing w:after="0" w:line="236" w:lineRule="exact"/>
        <w:rPr>
          <w:rFonts w:ascii="Arial" w:cs="Arial" w:eastAsia="Arial" w:hAnsi="Arial"/>
          <w:sz w:val="17"/>
          <w:szCs w:val="17"/>
          <w:color w:val="auto"/>
        </w:rPr>
      </w:pPr>
    </w:p>
    <w:p>
      <w:pPr>
        <w:ind w:left="1700" w:hanging="558"/>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GA Lux owned of record no Class A common shares or 0.0% of the issued and outstanding Class A common shares</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GenPar Bermuda owned of record no Class A common shares or 0.0% of the issued and outstanding Class A common shares</w:t>
      </w:r>
    </w:p>
    <w:p>
      <w:pPr>
        <w:spacing w:after="0" w:line="236" w:lineRule="exact"/>
        <w:rPr>
          <w:rFonts w:ascii="Arial" w:cs="Arial" w:eastAsia="Arial" w:hAnsi="Arial"/>
          <w:sz w:val="17"/>
          <w:szCs w:val="17"/>
          <w:color w:val="auto"/>
        </w:rPr>
      </w:pPr>
    </w:p>
    <w:p>
      <w:pPr>
        <w:ind w:left="1700" w:hanging="558"/>
        <w:spacing w:after="0"/>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GAP (Bermuda) owned of record no Class A common shares or 0.0% of the issued and outstanding Class A common shares</w:t>
      </w:r>
    </w:p>
    <w:p>
      <w:pPr>
        <w:spacing w:after="0" w:line="237" w:lineRule="exact"/>
        <w:rPr>
          <w:sz w:val="20"/>
          <w:szCs w:val="20"/>
          <w:color w:val="auto"/>
        </w:rPr>
      </w:pPr>
    </w:p>
    <w:p>
      <w:pPr>
        <w:ind w:left="1140" w:right="20"/>
        <w:spacing w:after="0" w:line="287" w:lineRule="auto"/>
        <w:rPr>
          <w:sz w:val="20"/>
          <w:szCs w:val="20"/>
          <w:color w:val="auto"/>
        </w:rPr>
      </w:pPr>
      <w:r>
        <w:rPr>
          <w:rFonts w:ascii="Arial" w:cs="Arial" w:eastAsia="Arial" w:hAnsi="Arial"/>
          <w:sz w:val="16"/>
          <w:szCs w:val="16"/>
          <w:color w:val="auto"/>
        </w:rPr>
        <w:t>The GA Funds and the Sponsor Coinvestment Funds share beneficial ownership of the Class A common shares held of record by GA DU. The general partner of GA DU is GA SPV. The general partner of GAP Lux is GA GenPar Lux, and the general partner of GA GenPar Lux is GA Lux. GA LP, which is controlled by the Management Committee of GASC MGP, LLC (the “</w:t>
      </w:r>
      <w:r>
        <w:rPr>
          <w:rFonts w:ascii="Arial" w:cs="Arial" w:eastAsia="Arial" w:hAnsi="Arial"/>
          <w:sz w:val="16"/>
          <w:szCs w:val="16"/>
          <w:u w:val="single" w:color="auto"/>
          <w:color w:val="auto"/>
        </w:rPr>
        <w:t>GA Management Committee</w:t>
      </w:r>
      <w:r>
        <w:rPr>
          <w:rFonts w:ascii="Arial" w:cs="Arial" w:eastAsia="Arial" w:hAnsi="Arial"/>
          <w:sz w:val="16"/>
          <w:szCs w:val="16"/>
          <w:color w:val="auto"/>
        </w:rPr>
        <w:t>”), is the managing member of GAPCO III, GAPCO IV, and GAPCO V, the general partner of GAPCO CDA, and is the sole member of GA SPV. The general partner of GAP Bermuda EU and the sole shareholder of GA Lux is GenPar Bermuda. GAP (Bermuda), which is also controlled by the GA Management Committee, is the general partner of GenPar Bermuda. The general partner of GAP 100 is GA GenPar, and the general partner of GA GenPar is GA LP. As of the date hereof, there are nine members of the GA Management Committee. By virtue of the foregoing, the Reporting Persons may be deemed to share voting power and the power to direct the disposition of the shares that each owns of record. Each of the members of the GA Management Committee disclaims ownership of the Class A common shares reported herein except to the extent that he has a pecuniary interest therein. The name, the address and the citizenship of each of the members of the GA Management Committee as of the date hereof is attached hereto as Schedule A and is hereby incorporated by reference.</w:t>
      </w:r>
    </w:p>
    <w:p>
      <w:pPr>
        <w:spacing w:after="0" w:line="172"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3" w:lineRule="exact"/>
        <w:rPr>
          <w:sz w:val="20"/>
          <w:szCs w:val="20"/>
          <w:color w:val="auto"/>
        </w:rPr>
      </w:pPr>
    </w:p>
    <w:p>
      <w:pPr>
        <w:ind w:left="1140" w:right="620"/>
        <w:spacing w:after="0" w:line="260" w:lineRule="auto"/>
        <w:rPr>
          <w:sz w:val="20"/>
          <w:szCs w:val="20"/>
          <w:color w:val="auto"/>
        </w:rPr>
      </w:pPr>
      <w:r>
        <w:rPr>
          <w:rFonts w:ascii="Arial" w:cs="Arial" w:eastAsia="Arial" w:hAnsi="Arial"/>
          <w:sz w:val="18"/>
          <w:szCs w:val="18"/>
          <w:color w:val="auto"/>
        </w:rPr>
        <w:t>By virtue of the relationship described above, each of the Reporting Persons may be deemed to beneficially own 1,849,286 Class A common shares.</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auto"/>
        </w:rPr>
        <w:t>Percentage Owned</w:t>
      </w:r>
      <w:r>
        <w:rPr>
          <w:rFonts w:ascii="Arial" w:cs="Arial" w:eastAsia="Arial" w:hAnsi="Arial"/>
          <w:sz w:val="18"/>
          <w:szCs w:val="18"/>
          <w:color w:val="auto"/>
        </w:rPr>
        <w: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All calculations of percentage ownership herein are based on an aggregate of 17,646,124 Class A common shares outstanding, consisting of</w:t>
      </w:r>
    </w:p>
    <w:p>
      <w:pPr>
        <w:spacing w:after="0" w:line="32" w:lineRule="exact"/>
        <w:rPr>
          <w:sz w:val="20"/>
          <w:szCs w:val="20"/>
          <w:color w:val="auto"/>
        </w:rPr>
      </w:pPr>
    </w:p>
    <w:p>
      <w:pPr>
        <w:ind w:left="1140" w:right="20" w:firstLine="2"/>
        <w:spacing w:after="0" w:line="255" w:lineRule="auto"/>
        <w:tabs>
          <w:tab w:leader="none" w:pos="13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15,796,838 Class A common shares reported by the Company to be outstanding as of November 11, 2021 in its Form 10-Q filed with the U.S. Securities and Exchange Commission on November 12, 2021 and (ii) 1,849,286 Class A common shares issuable upon conversion of the Class B common shares owned by the Reporting Persons.</w:t>
      </w:r>
    </w:p>
    <w:p>
      <w:pPr>
        <w:spacing w:after="0" w:line="190" w:lineRule="exact"/>
        <w:rPr>
          <w:sz w:val="20"/>
          <w:szCs w:val="20"/>
          <w:color w:val="auto"/>
        </w:rPr>
      </w:pPr>
    </w:p>
    <w:p>
      <w:pPr>
        <w:ind w:left="1140"/>
        <w:spacing w:after="0"/>
        <w:rPr>
          <w:sz w:val="20"/>
          <w:szCs w:val="20"/>
          <w:color w:val="auto"/>
        </w:rPr>
      </w:pPr>
      <w:r>
        <w:rPr>
          <w:rFonts w:ascii="Arial" w:cs="Arial" w:eastAsia="Arial" w:hAnsi="Arial"/>
          <w:sz w:val="16"/>
          <w:szCs w:val="16"/>
          <w:u w:val="single" w:color="auto"/>
          <w:color w:val="auto"/>
        </w:rPr>
        <w:t>Number of Shares as to Which Such Person Has Sole/Shared Power to Vote or to Direct the Vote and Sole/Shared Power to Dispose or to</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auto"/>
        </w:rPr>
        <w:t>Direct the Disposition of</w:t>
      </w:r>
      <w:r>
        <w:rPr>
          <w:rFonts w:ascii="Arial" w:cs="Arial" w:eastAsia="Arial" w:hAnsi="Arial"/>
          <w:sz w:val="18"/>
          <w:szCs w:val="18"/>
          <w:color w:val="auto"/>
        </w:rPr>
        <w:t>:</w:t>
      </w:r>
    </w:p>
    <w:p>
      <w:pPr>
        <w:spacing w:after="0" w:line="9" w:lineRule="exact"/>
        <w:rPr>
          <w:sz w:val="20"/>
          <w:szCs w:val="20"/>
          <w:color w:val="auto"/>
        </w:rPr>
      </w:pPr>
    </w:p>
    <w:p>
      <w:pPr>
        <w:ind w:left="1700" w:right="160" w:hanging="558"/>
        <w:spacing w:after="0" w:line="260" w:lineRule="auto"/>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the Reporting Persons may be deemed to have the sole power to direct the voting and dispositions of the Class A common shares as indicated on such Reporting Person’s cover page included herein.</w:t>
      </w:r>
    </w:p>
    <w:p>
      <w:pPr>
        <w:spacing w:after="0" w:line="185" w:lineRule="exact"/>
        <w:rPr>
          <w:rFonts w:ascii="Arial" w:cs="Arial" w:eastAsia="Arial" w:hAnsi="Arial"/>
          <w:sz w:val="18"/>
          <w:szCs w:val="18"/>
          <w:color w:val="auto"/>
        </w:rPr>
      </w:pPr>
    </w:p>
    <w:p>
      <w:pPr>
        <w:ind w:left="1700" w:right="320" w:hanging="558"/>
        <w:spacing w:after="0" w:line="277" w:lineRule="auto"/>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the Reporting Persons may be deemed to share the power to direct the voting and dispositions of the 1,849,286 Class A common shares that may be deemed to be owned beneficially by each of them.</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20" w:name="page21"/>
    <w:bookmarkEnd w:id="20"/>
    <w:tbl>
      <w:tblPr>
        <w:tblLayout w:type="fixed"/>
        <w:tblInd w:w="3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26603R106</w:t>
            </w:r>
          </w:p>
        </w:tc>
        <w:tc>
          <w:tcPr>
            <w:tcW w:w="676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21 of 27</w:t>
            </w:r>
          </w:p>
        </w:tc>
      </w:tr>
    </w:tbl>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140" w:right="9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See Item 4, which states the identity of the members of the group filing this Schedule 13G.</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683260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21" w:name="page22"/>
    <w:bookmarkEnd w:id="21"/>
    <w:tbl>
      <w:tblPr>
        <w:tblLayout w:type="fixed"/>
        <w:tblInd w:w="3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26603R106</w:t>
            </w:r>
          </w:p>
        </w:tc>
        <w:tc>
          <w:tcPr>
            <w:tcW w:w="676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22 of 27</w:t>
            </w: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as required by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820420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22" w:name="page23"/>
    <w:bookmarkEnd w:id="22"/>
    <w:tbl>
      <w:tblPr>
        <w:tblLayout w:type="fixed"/>
        <w:tblInd w:w="3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26603R106</w:t>
            </w:r>
          </w:p>
        </w:tc>
        <w:tc>
          <w:tcPr>
            <w:tcW w:w="676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23 of 27</w:t>
            </w:r>
          </w:p>
        </w:tc>
      </w:tr>
    </w:tbl>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11, 2022</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jc w:val="center"/>
        <w:ind w:left="308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(SPV) GP, LLC</w:t>
      </w:r>
    </w:p>
    <w:p>
      <w:pPr>
        <w:spacing w:after="0" w:line="229" w:lineRule="exact"/>
        <w:rPr>
          <w:sz w:val="20"/>
          <w:szCs w:val="20"/>
          <w:color w:val="auto"/>
        </w:rPr>
      </w:pPr>
    </w:p>
    <w:p>
      <w:pPr>
        <w:ind w:left="564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ATLANTIC, L.P., its sole member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PARTNERS 100,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8"/>
              </w:rPr>
              <w:t>GENERAL ATLANTIC GENPAR, L.P., its general</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GENERAL ATLANTIC,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Gosk</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Michael Gosk</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(DU),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7"/>
              </w:rPr>
              <w:t>GENERAL ATLANTIC (SPV) GP, LLC, its general</w:t>
            </w:r>
          </w:p>
        </w:tc>
        <w:tc>
          <w:tcPr>
            <w:tcW w:w="1120" w:type="dxa"/>
            <w:vAlign w:val="bottom"/>
          </w:tcPr>
          <w:p>
            <w:pPr>
              <w:spacing w:after="0"/>
              <w:rPr>
                <w:sz w:val="18"/>
                <w:szCs w:val="18"/>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partner</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GENERAL ATLANTIC, L.P., its sole member</w:t>
            </w:r>
          </w:p>
        </w:tc>
        <w:tc>
          <w:tcPr>
            <w:tcW w:w="112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Gosk</w:t>
            </w:r>
          </w:p>
        </w:tc>
        <w:tc>
          <w:tcPr>
            <w:tcW w:w="1120" w:type="dxa"/>
            <w:vAlign w:val="bottom"/>
          </w:tcPr>
          <w:p>
            <w:pPr>
              <w:spacing w:after="0"/>
              <w:rPr>
                <w:sz w:val="24"/>
                <w:szCs w:val="24"/>
                <w:color w:val="auto"/>
              </w:rPr>
            </w:pPr>
          </w:p>
        </w:tc>
      </w:tr>
      <w:tr>
        <w:trPr>
          <w:trHeight w:val="195"/>
        </w:trPr>
        <w:tc>
          <w:tcPr>
            <w:tcW w:w="620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Michael Gosk</w:t>
            </w:r>
          </w:p>
        </w:tc>
        <w:tc>
          <w:tcPr>
            <w:tcW w:w="112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1120" w:type="dxa"/>
            <w:vAlign w:val="bottom"/>
          </w:tcPr>
          <w:p>
            <w:pPr>
              <w:spacing w:after="0"/>
              <w:rPr>
                <w:sz w:val="20"/>
                <w:szCs w:val="20"/>
                <w:color w:val="auto"/>
              </w:rPr>
            </w:pPr>
          </w:p>
        </w:tc>
      </w:tr>
      <w:tr>
        <w:trPr>
          <w:trHeight w:val="790"/>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8" w:right="339" w:bottom="1440" w:gutter="0" w:footer="0" w:header="0"/>
        </w:sectPr>
      </w:pPr>
    </w:p>
    <w:bookmarkStart w:id="23" w:name="page24"/>
    <w:bookmarkEnd w:id="23"/>
    <w:p>
      <w:pPr>
        <w:spacing w:after="0"/>
        <w:tabs>
          <w:tab w:leader="none" w:pos="490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519430</wp:posOffset>
            </wp:positionV>
            <wp:extent cx="1426845" cy="167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26845" cy="167005"/>
                    </a:xfrm>
                    <a:prstGeom prst="rect">
                      <a:avLst/>
                    </a:prstGeom>
                    <a:noFill/>
                  </pic:spPr>
                </pic:pic>
              </a:graphicData>
            </a:graphic>
          </wp:anchor>
        </w:drawing>
        <w:drawing>
          <wp:anchor simplePos="0" relativeHeight="251657728" behindDoc="1" locked="0" layoutInCell="0" allowOverlap="1">
            <wp:simplePos x="0" y="0"/>
            <wp:positionH relativeFrom="page">
              <wp:posOffset>5919470</wp:posOffset>
            </wp:positionH>
            <wp:positionV relativeFrom="page">
              <wp:posOffset>519430</wp:posOffset>
            </wp:positionV>
            <wp:extent cx="1418590" cy="167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8590" cy="167005"/>
                    </a:xfrm>
                    <a:prstGeom prst="rect">
                      <a:avLst/>
                    </a:prstGeom>
                    <a:noFill/>
                  </pic:spPr>
                </pic:pic>
              </a:graphicData>
            </a:graphic>
          </wp:anchor>
        </w:drawing>
        <w:t>CUSIP No. 26603R106</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24 of 27</w:t>
      </w:r>
    </w:p>
    <w:p>
      <w:pPr>
        <w:sectPr>
          <w:pgSz w:w="11900" w:h="16838" w:orient="portrait"/>
          <w:cols w:equalWidth="0" w:num="1">
            <w:col w:w="11180"/>
          </w:cols>
          <w:pgMar w:left="360" w:top="823"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GENERAL ATLANTIC PARTNERS (BERMUDA) EU,</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tbl>
      <w:tblPr>
        <w:tblLayout w:type="fixed"/>
        <w:tblInd w:w="560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GENERAL ATLANTIC GENPAR (BERMUDA),</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GAP (BERMUDA)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5"/>
              </w:rPr>
              <w:t>GAP (BERMUDA) GP LIMITED,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Gosk</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Michael Gosk</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200" w:lineRule="exact"/>
        <w:rPr>
          <w:sz w:val="20"/>
          <w:szCs w:val="20"/>
          <w:color w:val="auto"/>
        </w:rPr>
      </w:pP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GENERAL ATLANTIC PARTNERS (LUX) SCSP</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9"/>
              </w:rPr>
              <w:t>GENERAL ATLANTIC GENPAR (LUX) SCSP, its</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8"/>
              </w:rPr>
              <w:t>GENERAL ATLANTIC (LUX) S.À R.L., its general</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Ingrid van der Hoorn</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Ingrid van der Hoorn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Manager A</w:t>
            </w:r>
          </w:p>
        </w:tc>
      </w:tr>
      <w:tr>
        <w:trPr>
          <w:trHeight w:val="432"/>
        </w:trPr>
        <w:tc>
          <w:tcPr>
            <w:tcW w:w="56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 Dalrymple</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Gregor Dalrymple</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Manager B</w:t>
            </w:r>
          </w:p>
        </w:tc>
      </w:tr>
    </w:tbl>
    <w:p>
      <w:pPr>
        <w:spacing w:after="0" w:line="198"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GENERAL ATLANTIC GENPAR, L.P.</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ATLANTIC, L.P., its general partner</w:t>
      </w:r>
    </w:p>
    <w:p>
      <w:pPr>
        <w:spacing w:after="0" w:line="225"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24860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520065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23" w:right="359" w:bottom="1440" w:gutter="0" w:footer="0" w:header="0"/>
          <w:type w:val="continuous"/>
        </w:sectPr>
      </w:pPr>
    </w:p>
    <w:bookmarkStart w:id="24" w:name="page25"/>
    <w:bookmarkEnd w:id="24"/>
    <w:p>
      <w:pPr>
        <w:spacing w:after="0"/>
        <w:tabs>
          <w:tab w:leader="none" w:pos="490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519430</wp:posOffset>
            </wp:positionV>
            <wp:extent cx="1426845" cy="167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26845" cy="167005"/>
                    </a:xfrm>
                    <a:prstGeom prst="rect">
                      <a:avLst/>
                    </a:prstGeom>
                    <a:noFill/>
                  </pic:spPr>
                </pic:pic>
              </a:graphicData>
            </a:graphic>
          </wp:anchor>
        </w:drawing>
        <w:drawing>
          <wp:anchor simplePos="0" relativeHeight="251657728" behindDoc="1" locked="0" layoutInCell="0" allowOverlap="1">
            <wp:simplePos x="0" y="0"/>
            <wp:positionH relativeFrom="page">
              <wp:posOffset>5919470</wp:posOffset>
            </wp:positionH>
            <wp:positionV relativeFrom="page">
              <wp:posOffset>519430</wp:posOffset>
            </wp:positionV>
            <wp:extent cx="1418590" cy="167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8590" cy="167005"/>
                    </a:xfrm>
                    <a:prstGeom prst="rect">
                      <a:avLst/>
                    </a:prstGeom>
                    <a:noFill/>
                  </pic:spPr>
                </pic:pic>
              </a:graphicData>
            </a:graphic>
          </wp:anchor>
        </w:drawing>
        <w:t>CUSIP No. 26603R106</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25 of 27</w:t>
      </w:r>
    </w:p>
    <w:p>
      <w:pPr>
        <w:sectPr>
          <w:pgSz w:w="11900" w:h="16838" w:orient="portrait"/>
          <w:cols w:equalWidth="0" w:num="1">
            <w:col w:w="11180"/>
          </w:cols>
          <w:pgMar w:left="360" w:top="823" w:right="3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GAP COINVESTMENTS III, LLC</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GENERAL ATLANTIC, L.P., its managing member</w:t>
      </w:r>
    </w:p>
    <w:p>
      <w:pPr>
        <w:spacing w:after="0" w:line="248"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24860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GAP COINVESTMENTS IV, LLC</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GENERAL ATLANTIC, L.P., its managing member</w:t>
      </w:r>
    </w:p>
    <w:p>
      <w:pPr>
        <w:spacing w:after="0" w:line="248"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24860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GAP COINVESTMENTS V, LLC</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GENERAL ATLANTIC, L.P., its managing member</w:t>
      </w:r>
    </w:p>
    <w:p>
      <w:pPr>
        <w:spacing w:after="0" w:line="248"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24860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GAP COINVESTMENTS CDA, L.P.</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ATLANTIC, L.P., its general partner</w:t>
      </w:r>
    </w:p>
    <w:p>
      <w:pPr>
        <w:spacing w:after="0" w:line="225"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24860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502920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23" w:right="359" w:bottom="1440" w:gutter="0" w:footer="0" w:header="0"/>
          <w:type w:val="continuous"/>
        </w:sectPr>
      </w:pPr>
    </w:p>
    <w:bookmarkStart w:id="25" w:name="page26"/>
    <w:bookmarkEnd w:id="25"/>
    <w:p>
      <w:pPr>
        <w:ind w:left="40"/>
        <w:spacing w:after="0"/>
        <w:tabs>
          <w:tab w:leader="none" w:pos="4940" w:val="left"/>
          <w:tab w:leader="none" w:pos="10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519430</wp:posOffset>
            </wp:positionV>
            <wp:extent cx="1426845" cy="167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26845" cy="167005"/>
                    </a:xfrm>
                    <a:prstGeom prst="rect">
                      <a:avLst/>
                    </a:prstGeom>
                    <a:noFill/>
                  </pic:spPr>
                </pic:pic>
              </a:graphicData>
            </a:graphic>
          </wp:anchor>
        </w:drawing>
        <w:drawing>
          <wp:anchor simplePos="0" relativeHeight="251657728" behindDoc="1" locked="0" layoutInCell="0" allowOverlap="1">
            <wp:simplePos x="0" y="0"/>
            <wp:positionH relativeFrom="page">
              <wp:posOffset>5919470</wp:posOffset>
            </wp:positionH>
            <wp:positionV relativeFrom="page">
              <wp:posOffset>519430</wp:posOffset>
            </wp:positionV>
            <wp:extent cx="1418590" cy="167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8590" cy="167005"/>
                    </a:xfrm>
                    <a:prstGeom prst="rect">
                      <a:avLst/>
                    </a:prstGeom>
                    <a:noFill/>
                  </pic:spPr>
                </pic:pic>
              </a:graphicData>
            </a:graphic>
          </wp:anchor>
        </w:drawing>
        <w:t>CUSIP No. 26603R106</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26 of 27</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GENPAR, (LUX) SCSP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gridSpan w:val="2"/>
          </w:tcPr>
          <w:p>
            <w:pPr>
              <w:spacing w:after="0"/>
              <w:rPr>
                <w:sz w:val="20"/>
                <w:szCs w:val="20"/>
                <w:color w:val="auto"/>
              </w:rPr>
            </w:pPr>
            <w:r>
              <w:rPr>
                <w:rFonts w:ascii="Arial" w:cs="Arial" w:eastAsia="Arial" w:hAnsi="Arial"/>
                <w:sz w:val="18"/>
                <w:szCs w:val="18"/>
                <w:color w:val="auto"/>
              </w:rPr>
              <w:t>GENERAL ATLANTIC (LUX)</w:t>
            </w:r>
          </w:p>
        </w:tc>
      </w:tr>
      <w:tr>
        <w:trPr>
          <w:trHeight w:val="230"/>
        </w:trPr>
        <w:tc>
          <w:tcPr>
            <w:tcW w:w="56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S.À R.L.,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Ingrid van der Hoorn</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Ingrid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 Dalrymple</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Gregor Dalrymple</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B</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(LUX) S.À R.L.</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Ingrid van der Hoorn</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Ingrid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 Dalrymple</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Gregor Dalrymple</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B</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GENPAR (BERMUDA),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GAP (BERMUDA) L.P., its general partner</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5"/>
              </w:rPr>
              <w:t>GAP (BERMUDA) GP LIMITED, its general partner</w:t>
            </w:r>
          </w:p>
        </w:tc>
        <w:tc>
          <w:tcPr>
            <w:tcW w:w="112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Gosk</w:t>
            </w:r>
          </w:p>
        </w:tc>
        <w:tc>
          <w:tcPr>
            <w:tcW w:w="1120" w:type="dxa"/>
            <w:vAlign w:val="bottom"/>
          </w:tcPr>
          <w:p>
            <w:pPr>
              <w:spacing w:after="0"/>
              <w:rPr>
                <w:sz w:val="24"/>
                <w:szCs w:val="24"/>
                <w:color w:val="auto"/>
              </w:rPr>
            </w:pPr>
          </w:p>
        </w:tc>
      </w:tr>
      <w:tr>
        <w:trPr>
          <w:trHeight w:val="195"/>
        </w:trPr>
        <w:tc>
          <w:tcPr>
            <w:tcW w:w="620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Michael Gosk</w:t>
            </w:r>
          </w:p>
        </w:tc>
        <w:tc>
          <w:tcPr>
            <w:tcW w:w="112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1120" w:type="dxa"/>
            <w:vAlign w:val="bottom"/>
          </w:tcPr>
          <w:p>
            <w:pPr>
              <w:spacing w:after="0"/>
              <w:rPr>
                <w:sz w:val="20"/>
                <w:szCs w:val="20"/>
                <w:color w:val="auto"/>
              </w:rPr>
            </w:pPr>
          </w:p>
        </w:tc>
      </w:tr>
      <w:tr>
        <w:trPr>
          <w:trHeight w:val="763"/>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type w:val="continuous"/>
        </w:sectPr>
      </w:pPr>
    </w:p>
    <w:bookmarkStart w:id="26" w:name="page27"/>
    <w:bookmarkEnd w:id="26"/>
    <w:p>
      <w:pPr>
        <w:spacing w:after="0"/>
        <w:tabs>
          <w:tab w:leader="none" w:pos="490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519430</wp:posOffset>
            </wp:positionV>
            <wp:extent cx="1426845" cy="167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26845" cy="167005"/>
                    </a:xfrm>
                    <a:prstGeom prst="rect">
                      <a:avLst/>
                    </a:prstGeom>
                    <a:noFill/>
                  </pic:spPr>
                </pic:pic>
              </a:graphicData>
            </a:graphic>
          </wp:anchor>
        </w:drawing>
        <w:drawing>
          <wp:anchor simplePos="0" relativeHeight="251657728" behindDoc="1" locked="0" layoutInCell="0" allowOverlap="1">
            <wp:simplePos x="0" y="0"/>
            <wp:positionH relativeFrom="page">
              <wp:posOffset>5919470</wp:posOffset>
            </wp:positionH>
            <wp:positionV relativeFrom="page">
              <wp:posOffset>519430</wp:posOffset>
            </wp:positionV>
            <wp:extent cx="1418590" cy="167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8590" cy="167005"/>
                    </a:xfrm>
                    <a:prstGeom prst="rect">
                      <a:avLst/>
                    </a:prstGeom>
                    <a:noFill/>
                  </pic:spPr>
                </pic:pic>
              </a:graphicData>
            </a:graphic>
          </wp:anchor>
        </w:drawing>
        <w:t>CUSIP No. 26603R106</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27 of 27</w:t>
      </w:r>
    </w:p>
    <w:p>
      <w:pPr>
        <w:sectPr>
          <w:pgSz w:w="11900" w:h="16838" w:orient="portrait"/>
          <w:cols w:equalWidth="0" w:num="1">
            <w:col w:w="11180"/>
          </w:cols>
          <w:pgMar w:left="360" w:top="823"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GAP (BERMUDA) L.P.</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GAP (BERMUDA) GP LIMITED, its general partner</w:t>
      </w:r>
    </w:p>
    <w:p>
      <w:pPr>
        <w:spacing w:after="0" w:line="237"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24860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520065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23" w:right="359" w:bottom="1440" w:gutter="0" w:footer="0" w:header="0"/>
          <w:type w:val="continuous"/>
        </w:sectPr>
      </w:pPr>
    </w:p>
    <w:bookmarkStart w:id="27" w:name="page28"/>
    <w:bookmarkEnd w:id="27"/>
    <w:tbl>
      <w:tblPr>
        <w:tblLayout w:type="fixed"/>
        <w:tblInd w:w="10" w:type="dxa"/>
        <w:tblCellMar>
          <w:top w:w="0" w:type="dxa"/>
          <w:left w:w="0" w:type="dxa"/>
          <w:bottom w:w="0" w:type="dxa"/>
          <w:right w:w="0" w:type="dxa"/>
        </w:tblCellMar>
      </w:tblPr>
      <w:tr>
        <w:trPr>
          <w:trHeight w:val="207"/>
        </w:trPr>
        <w:tc>
          <w:tcPr>
            <w:tcW w:w="2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5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9"/>
              </w:rPr>
              <w:t>SCHEDULE A</w:t>
            </w:r>
          </w:p>
        </w:tc>
        <w:tc>
          <w:tcPr>
            <w:tcW w:w="3680" w:type="dxa"/>
            <w:vAlign w:val="bottom"/>
          </w:tcPr>
          <w:p>
            <w:pPr>
              <w:spacing w:after="0"/>
              <w:rPr>
                <w:sz w:val="17"/>
                <w:szCs w:val="17"/>
                <w:color w:val="auto"/>
              </w:rPr>
            </w:pPr>
          </w:p>
        </w:tc>
      </w:tr>
      <w:tr>
        <w:trPr>
          <w:trHeight w:val="20"/>
        </w:trPr>
        <w:tc>
          <w:tcPr>
            <w:tcW w:w="25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r>
      <w:tr>
        <w:trPr>
          <w:trHeight w:val="453"/>
        </w:trPr>
        <w:tc>
          <w:tcPr>
            <w:tcW w:w="2500" w:type="dxa"/>
            <w:vAlign w:val="bottom"/>
          </w:tcPr>
          <w:p>
            <w:pPr>
              <w:spacing w:after="0"/>
              <w:rPr>
                <w:sz w:val="24"/>
                <w:szCs w:val="24"/>
                <w:color w:val="auto"/>
              </w:rPr>
            </w:pPr>
          </w:p>
        </w:tc>
        <w:tc>
          <w:tcPr>
            <w:tcW w:w="8740" w:type="dxa"/>
            <w:vAlign w:val="bottom"/>
            <w:gridSpan w:val="5"/>
          </w:tcPr>
          <w:p>
            <w:pPr>
              <w:jc w:val="center"/>
              <w:ind w:right="2410"/>
              <w:spacing w:after="0"/>
              <w:rPr>
                <w:sz w:val="20"/>
                <w:szCs w:val="20"/>
                <w:color w:val="auto"/>
              </w:rPr>
            </w:pPr>
            <w:r>
              <w:rPr>
                <w:rFonts w:ascii="Arial" w:cs="Arial" w:eastAsia="Arial" w:hAnsi="Arial"/>
                <w:sz w:val="18"/>
                <w:szCs w:val="18"/>
                <w:b w:val="1"/>
                <w:bCs w:val="1"/>
                <w:i w:val="1"/>
                <w:iCs w:val="1"/>
                <w:color w:val="auto"/>
                <w:w w:val="87"/>
              </w:rPr>
              <w:t>Members of the GA Management Committee (as of the date hereof)</w:t>
            </w:r>
          </w:p>
        </w:tc>
      </w:tr>
      <w:tr>
        <w:trPr>
          <w:trHeight w:val="223"/>
        </w:trPr>
        <w:tc>
          <w:tcPr>
            <w:tcW w:w="2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r>
      <w:tr>
        <w:trPr>
          <w:trHeight w:val="223"/>
        </w:trPr>
        <w:tc>
          <w:tcPr>
            <w:tcW w:w="2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24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Address</w:t>
            </w:r>
          </w:p>
        </w:tc>
        <w:tc>
          <w:tcPr>
            <w:tcW w:w="3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Citizenship</w:t>
            </w:r>
          </w:p>
        </w:tc>
      </w:tr>
      <w:tr>
        <w:trPr>
          <w:trHeight w:val="202"/>
        </w:trPr>
        <w:tc>
          <w:tcPr>
            <w:tcW w:w="2500" w:type="dxa"/>
            <w:vAlign w:val="bottom"/>
            <w:tcBorders>
              <w:left w:val="single" w:sz="8" w:color="auto"/>
            </w:tcBorders>
            <w:shd w:val="clear" w:color="auto" w:fill="C6F4F9"/>
          </w:tcPr>
          <w:p>
            <w:pPr>
              <w:ind w:left="40"/>
              <w:spacing w:after="0" w:line="201" w:lineRule="exact"/>
              <w:rPr>
                <w:sz w:val="20"/>
                <w:szCs w:val="20"/>
                <w:color w:val="auto"/>
              </w:rPr>
            </w:pPr>
            <w:r>
              <w:rPr>
                <w:rFonts w:ascii="Arial" w:cs="Arial" w:eastAsia="Arial" w:hAnsi="Arial"/>
                <w:sz w:val="18"/>
                <w:szCs w:val="18"/>
                <w:color w:val="auto"/>
              </w:rPr>
              <w:t>William E. Ford</w:t>
            </w:r>
          </w:p>
        </w:tc>
        <w:tc>
          <w:tcPr>
            <w:tcW w:w="1240" w:type="dxa"/>
            <w:vAlign w:val="bottom"/>
            <w:tcBorders>
              <w:right w:val="single" w:sz="8" w:color="auto"/>
            </w:tcBorders>
            <w:shd w:val="clear" w:color="auto" w:fill="C6F4F9"/>
          </w:tcPr>
          <w:p>
            <w:pPr>
              <w:spacing w:after="0"/>
              <w:rPr>
                <w:sz w:val="17"/>
                <w:szCs w:val="17"/>
                <w:color w:val="auto"/>
              </w:rPr>
            </w:pPr>
          </w:p>
        </w:tc>
        <w:tc>
          <w:tcPr>
            <w:tcW w:w="3820" w:type="dxa"/>
            <w:vAlign w:val="bottom"/>
            <w:tcBorders>
              <w:right w:val="single" w:sz="8" w:color="auto"/>
            </w:tcBorders>
            <w:gridSpan w:val="3"/>
            <w:shd w:val="clear" w:color="auto" w:fill="C6F4F9"/>
          </w:tcPr>
          <w:p>
            <w:pPr>
              <w:spacing w:after="0" w:line="201" w:lineRule="exact"/>
              <w:rPr>
                <w:sz w:val="20"/>
                <w:szCs w:val="20"/>
                <w:color w:val="auto"/>
              </w:rPr>
            </w:pPr>
            <w:r>
              <w:rPr>
                <w:rFonts w:ascii="Arial" w:cs="Arial" w:eastAsia="Arial" w:hAnsi="Arial"/>
                <w:sz w:val="18"/>
                <w:szCs w:val="18"/>
                <w:color w:val="auto"/>
              </w:rPr>
              <w:t>55 East 52nd Street</w:t>
            </w:r>
          </w:p>
        </w:tc>
        <w:tc>
          <w:tcPr>
            <w:tcW w:w="3680" w:type="dxa"/>
            <w:vAlign w:val="bottom"/>
            <w:tcBorders>
              <w:right w:val="single" w:sz="8" w:color="auto"/>
            </w:tcBorders>
            <w:shd w:val="clear" w:color="auto" w:fill="C6F4F9"/>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500" w:type="dxa"/>
            <w:vAlign w:val="bottom"/>
            <w:tcBorders>
              <w:lef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(Chief Executive Officer)</w:t>
            </w:r>
          </w:p>
        </w:tc>
        <w:tc>
          <w:tcPr>
            <w:tcW w:w="1240" w:type="dxa"/>
            <w:vAlign w:val="bottom"/>
            <w:tcBorders>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33rd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37"/>
        </w:trPr>
        <w:tc>
          <w:tcPr>
            <w:tcW w:w="2500" w:type="dxa"/>
            <w:vAlign w:val="bottom"/>
            <w:tcBorders>
              <w:left w:val="single" w:sz="8" w:color="auto"/>
              <w:bottom w:val="single" w:sz="8" w:color="auto"/>
            </w:tcBorders>
            <w:shd w:val="clear" w:color="auto" w:fill="C6F4F9"/>
          </w:tcPr>
          <w:p>
            <w:pPr>
              <w:spacing w:after="0"/>
              <w:rPr>
                <w:sz w:val="20"/>
                <w:szCs w:val="20"/>
                <w:color w:val="auto"/>
              </w:rPr>
            </w:pPr>
          </w:p>
        </w:tc>
        <w:tc>
          <w:tcPr>
            <w:tcW w:w="1240" w:type="dxa"/>
            <w:vAlign w:val="bottom"/>
            <w:tcBorders>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New York, New York 10055</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202"/>
        </w:trPr>
        <w:tc>
          <w:tcPr>
            <w:tcW w:w="250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Gabriel Caillaux</w:t>
            </w:r>
          </w:p>
        </w:tc>
        <w:tc>
          <w:tcPr>
            <w:tcW w:w="1240" w:type="dxa"/>
            <w:vAlign w:val="bottom"/>
            <w:tcBorders>
              <w:right w:val="single" w:sz="8" w:color="auto"/>
            </w:tcBorders>
          </w:tcPr>
          <w:p>
            <w:pPr>
              <w:spacing w:after="0"/>
              <w:rPr>
                <w:sz w:val="17"/>
                <w:szCs w:val="17"/>
                <w:color w:val="auto"/>
              </w:rPr>
            </w:pPr>
          </w:p>
        </w:tc>
        <w:tc>
          <w:tcPr>
            <w:tcW w:w="382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23 Savile Row</w:t>
            </w:r>
          </w:p>
        </w:tc>
        <w:tc>
          <w:tcPr>
            <w:tcW w:w="36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France</w:t>
            </w:r>
          </w:p>
        </w:tc>
      </w:tr>
      <w:tr>
        <w:trPr>
          <w:trHeight w:val="216"/>
        </w:trPr>
        <w:tc>
          <w:tcPr>
            <w:tcW w:w="250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London W1S 2ET</w:t>
            </w:r>
          </w:p>
        </w:tc>
        <w:tc>
          <w:tcPr>
            <w:tcW w:w="3680" w:type="dxa"/>
            <w:vAlign w:val="bottom"/>
            <w:tcBorders>
              <w:right w:val="single" w:sz="8" w:color="auto"/>
            </w:tcBorders>
          </w:tcPr>
          <w:p>
            <w:pPr>
              <w:spacing w:after="0"/>
              <w:rPr>
                <w:sz w:val="18"/>
                <w:szCs w:val="18"/>
                <w:color w:val="auto"/>
              </w:rPr>
            </w:pPr>
          </w:p>
        </w:tc>
      </w:tr>
      <w:tr>
        <w:trPr>
          <w:trHeight w:val="237"/>
        </w:trPr>
        <w:tc>
          <w:tcPr>
            <w:tcW w:w="2500" w:type="dxa"/>
            <w:vAlign w:val="bottom"/>
            <w:tcBorders>
              <w:left w:val="single" w:sz="8" w:color="auto"/>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United Kingdom</w:t>
            </w:r>
          </w:p>
        </w:tc>
        <w:tc>
          <w:tcPr>
            <w:tcW w:w="3680" w:type="dxa"/>
            <w:vAlign w:val="bottom"/>
            <w:tcBorders>
              <w:bottom w:val="single" w:sz="8" w:color="auto"/>
              <w:right w:val="single" w:sz="8" w:color="auto"/>
            </w:tcBorders>
          </w:tcPr>
          <w:p>
            <w:pPr>
              <w:spacing w:after="0"/>
              <w:rPr>
                <w:sz w:val="20"/>
                <w:szCs w:val="20"/>
                <w:color w:val="auto"/>
              </w:rPr>
            </w:pPr>
          </w:p>
        </w:tc>
      </w:tr>
      <w:tr>
        <w:trPr>
          <w:trHeight w:val="202"/>
        </w:trPr>
        <w:tc>
          <w:tcPr>
            <w:tcW w:w="2500" w:type="dxa"/>
            <w:vAlign w:val="bottom"/>
            <w:tcBorders>
              <w:left w:val="single" w:sz="8" w:color="auto"/>
            </w:tcBorders>
            <w:shd w:val="clear" w:color="auto" w:fill="C6F4F9"/>
          </w:tcPr>
          <w:p>
            <w:pPr>
              <w:ind w:left="40"/>
              <w:spacing w:after="0" w:line="201" w:lineRule="exact"/>
              <w:rPr>
                <w:sz w:val="20"/>
                <w:szCs w:val="20"/>
                <w:color w:val="auto"/>
              </w:rPr>
            </w:pPr>
            <w:r>
              <w:rPr>
                <w:rFonts w:ascii="Arial" w:cs="Arial" w:eastAsia="Arial" w:hAnsi="Arial"/>
                <w:sz w:val="18"/>
                <w:szCs w:val="18"/>
                <w:color w:val="auto"/>
              </w:rPr>
              <w:t>Andrew Crawford</w:t>
            </w:r>
          </w:p>
        </w:tc>
        <w:tc>
          <w:tcPr>
            <w:tcW w:w="1240" w:type="dxa"/>
            <w:vAlign w:val="bottom"/>
            <w:tcBorders>
              <w:right w:val="single" w:sz="8" w:color="auto"/>
            </w:tcBorders>
            <w:shd w:val="clear" w:color="auto" w:fill="C6F4F9"/>
          </w:tcPr>
          <w:p>
            <w:pPr>
              <w:spacing w:after="0"/>
              <w:rPr>
                <w:sz w:val="17"/>
                <w:szCs w:val="17"/>
                <w:color w:val="auto"/>
              </w:rPr>
            </w:pPr>
          </w:p>
        </w:tc>
        <w:tc>
          <w:tcPr>
            <w:tcW w:w="3820" w:type="dxa"/>
            <w:vAlign w:val="bottom"/>
            <w:tcBorders>
              <w:right w:val="single" w:sz="8" w:color="auto"/>
            </w:tcBorders>
            <w:gridSpan w:val="3"/>
            <w:shd w:val="clear" w:color="auto" w:fill="C6F4F9"/>
          </w:tcPr>
          <w:p>
            <w:pPr>
              <w:spacing w:after="0" w:line="201" w:lineRule="exact"/>
              <w:rPr>
                <w:sz w:val="20"/>
                <w:szCs w:val="20"/>
                <w:color w:val="auto"/>
              </w:rPr>
            </w:pPr>
            <w:r>
              <w:rPr>
                <w:rFonts w:ascii="Arial" w:cs="Arial" w:eastAsia="Arial" w:hAnsi="Arial"/>
                <w:sz w:val="18"/>
                <w:szCs w:val="18"/>
                <w:color w:val="auto"/>
              </w:rPr>
              <w:t>55 East 52nd Street</w:t>
            </w:r>
          </w:p>
        </w:tc>
        <w:tc>
          <w:tcPr>
            <w:tcW w:w="3680" w:type="dxa"/>
            <w:vAlign w:val="bottom"/>
            <w:tcBorders>
              <w:right w:val="single" w:sz="8" w:color="auto"/>
            </w:tcBorders>
            <w:shd w:val="clear" w:color="auto" w:fill="C6F4F9"/>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500" w:type="dxa"/>
            <w:vAlign w:val="bottom"/>
            <w:tcBorders>
              <w:left w:val="single" w:sz="8" w:color="auto"/>
            </w:tcBorders>
            <w:shd w:val="clear" w:color="auto" w:fill="C6F4F9"/>
          </w:tcPr>
          <w:p>
            <w:pPr>
              <w:spacing w:after="0"/>
              <w:rPr>
                <w:sz w:val="18"/>
                <w:szCs w:val="18"/>
                <w:color w:val="auto"/>
              </w:rPr>
            </w:pPr>
          </w:p>
        </w:tc>
        <w:tc>
          <w:tcPr>
            <w:tcW w:w="1240" w:type="dxa"/>
            <w:vAlign w:val="bottom"/>
            <w:tcBorders>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33rd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37"/>
        </w:trPr>
        <w:tc>
          <w:tcPr>
            <w:tcW w:w="2500" w:type="dxa"/>
            <w:vAlign w:val="bottom"/>
            <w:tcBorders>
              <w:left w:val="single" w:sz="8" w:color="auto"/>
              <w:bottom w:val="single" w:sz="8" w:color="auto"/>
            </w:tcBorders>
            <w:shd w:val="clear" w:color="auto" w:fill="C6F4F9"/>
          </w:tcPr>
          <w:p>
            <w:pPr>
              <w:spacing w:after="0"/>
              <w:rPr>
                <w:sz w:val="20"/>
                <w:szCs w:val="20"/>
                <w:color w:val="auto"/>
              </w:rPr>
            </w:pPr>
          </w:p>
        </w:tc>
        <w:tc>
          <w:tcPr>
            <w:tcW w:w="1240" w:type="dxa"/>
            <w:vAlign w:val="bottom"/>
            <w:tcBorders>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New York, New York 10055</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202"/>
        </w:trPr>
        <w:tc>
          <w:tcPr>
            <w:tcW w:w="250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Martin Escobari</w:t>
            </w:r>
          </w:p>
        </w:tc>
        <w:tc>
          <w:tcPr>
            <w:tcW w:w="1240" w:type="dxa"/>
            <w:vAlign w:val="bottom"/>
            <w:tcBorders>
              <w:right w:val="single" w:sz="8" w:color="auto"/>
            </w:tcBorders>
          </w:tcPr>
          <w:p>
            <w:pPr>
              <w:spacing w:after="0"/>
              <w:rPr>
                <w:sz w:val="17"/>
                <w:szCs w:val="17"/>
                <w:color w:val="auto"/>
              </w:rPr>
            </w:pPr>
          </w:p>
        </w:tc>
        <w:tc>
          <w:tcPr>
            <w:tcW w:w="382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55 East 52nd Street</w:t>
            </w:r>
          </w:p>
        </w:tc>
        <w:tc>
          <w:tcPr>
            <w:tcW w:w="36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Bolivia and Brazil</w:t>
            </w:r>
          </w:p>
        </w:tc>
      </w:tr>
      <w:tr>
        <w:trPr>
          <w:trHeight w:val="216"/>
        </w:trPr>
        <w:tc>
          <w:tcPr>
            <w:tcW w:w="250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33rd Floor</w:t>
            </w:r>
          </w:p>
        </w:tc>
        <w:tc>
          <w:tcPr>
            <w:tcW w:w="3680" w:type="dxa"/>
            <w:vAlign w:val="bottom"/>
            <w:tcBorders>
              <w:right w:val="single" w:sz="8" w:color="auto"/>
            </w:tcBorders>
          </w:tcPr>
          <w:p>
            <w:pPr>
              <w:spacing w:after="0"/>
              <w:rPr>
                <w:sz w:val="18"/>
                <w:szCs w:val="18"/>
                <w:color w:val="auto"/>
              </w:rPr>
            </w:pPr>
          </w:p>
        </w:tc>
      </w:tr>
      <w:tr>
        <w:trPr>
          <w:trHeight w:val="237"/>
        </w:trPr>
        <w:tc>
          <w:tcPr>
            <w:tcW w:w="2500" w:type="dxa"/>
            <w:vAlign w:val="bottom"/>
            <w:tcBorders>
              <w:left w:val="single" w:sz="8" w:color="auto"/>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New York, New York 10055</w:t>
            </w:r>
          </w:p>
        </w:tc>
        <w:tc>
          <w:tcPr>
            <w:tcW w:w="3680" w:type="dxa"/>
            <w:vAlign w:val="bottom"/>
            <w:tcBorders>
              <w:bottom w:val="single" w:sz="8" w:color="auto"/>
              <w:right w:val="single" w:sz="8" w:color="auto"/>
            </w:tcBorders>
          </w:tcPr>
          <w:p>
            <w:pPr>
              <w:spacing w:after="0"/>
              <w:rPr>
                <w:sz w:val="20"/>
                <w:szCs w:val="20"/>
                <w:color w:val="auto"/>
              </w:rPr>
            </w:pPr>
          </w:p>
        </w:tc>
      </w:tr>
      <w:tr>
        <w:trPr>
          <w:trHeight w:val="202"/>
        </w:trPr>
        <w:tc>
          <w:tcPr>
            <w:tcW w:w="2500" w:type="dxa"/>
            <w:vAlign w:val="bottom"/>
            <w:tcBorders>
              <w:left w:val="single" w:sz="8" w:color="auto"/>
            </w:tcBorders>
            <w:shd w:val="clear" w:color="auto" w:fill="C6F4F9"/>
          </w:tcPr>
          <w:p>
            <w:pPr>
              <w:ind w:left="40"/>
              <w:spacing w:after="0" w:line="201" w:lineRule="exact"/>
              <w:rPr>
                <w:sz w:val="20"/>
                <w:szCs w:val="20"/>
                <w:color w:val="auto"/>
              </w:rPr>
            </w:pPr>
            <w:r>
              <w:rPr>
                <w:rFonts w:ascii="Arial" w:cs="Arial" w:eastAsia="Arial" w:hAnsi="Arial"/>
                <w:sz w:val="18"/>
                <w:szCs w:val="18"/>
                <w:color w:val="auto"/>
              </w:rPr>
              <w:t>Anton J. Levy</w:t>
            </w:r>
          </w:p>
        </w:tc>
        <w:tc>
          <w:tcPr>
            <w:tcW w:w="1240" w:type="dxa"/>
            <w:vAlign w:val="bottom"/>
            <w:tcBorders>
              <w:right w:val="single" w:sz="8" w:color="auto"/>
            </w:tcBorders>
            <w:shd w:val="clear" w:color="auto" w:fill="C6F4F9"/>
          </w:tcPr>
          <w:p>
            <w:pPr>
              <w:spacing w:after="0"/>
              <w:rPr>
                <w:sz w:val="17"/>
                <w:szCs w:val="17"/>
                <w:color w:val="auto"/>
              </w:rPr>
            </w:pPr>
          </w:p>
        </w:tc>
        <w:tc>
          <w:tcPr>
            <w:tcW w:w="3820" w:type="dxa"/>
            <w:vAlign w:val="bottom"/>
            <w:tcBorders>
              <w:right w:val="single" w:sz="8" w:color="auto"/>
            </w:tcBorders>
            <w:gridSpan w:val="3"/>
            <w:shd w:val="clear" w:color="auto" w:fill="C6F4F9"/>
          </w:tcPr>
          <w:p>
            <w:pPr>
              <w:spacing w:after="0" w:line="201" w:lineRule="exact"/>
              <w:rPr>
                <w:sz w:val="20"/>
                <w:szCs w:val="20"/>
                <w:color w:val="auto"/>
              </w:rPr>
            </w:pPr>
            <w:r>
              <w:rPr>
                <w:rFonts w:ascii="Arial" w:cs="Arial" w:eastAsia="Arial" w:hAnsi="Arial"/>
                <w:sz w:val="18"/>
                <w:szCs w:val="18"/>
                <w:color w:val="auto"/>
              </w:rPr>
              <w:t>55 East 52nd Street</w:t>
            </w:r>
          </w:p>
        </w:tc>
        <w:tc>
          <w:tcPr>
            <w:tcW w:w="3680" w:type="dxa"/>
            <w:vAlign w:val="bottom"/>
            <w:tcBorders>
              <w:right w:val="single" w:sz="8" w:color="auto"/>
            </w:tcBorders>
            <w:shd w:val="clear" w:color="auto" w:fill="C6F4F9"/>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500" w:type="dxa"/>
            <w:vAlign w:val="bottom"/>
            <w:tcBorders>
              <w:left w:val="single" w:sz="8" w:color="auto"/>
            </w:tcBorders>
            <w:shd w:val="clear" w:color="auto" w:fill="C6F4F9"/>
          </w:tcPr>
          <w:p>
            <w:pPr>
              <w:spacing w:after="0"/>
              <w:rPr>
                <w:sz w:val="18"/>
                <w:szCs w:val="18"/>
                <w:color w:val="auto"/>
              </w:rPr>
            </w:pPr>
          </w:p>
        </w:tc>
        <w:tc>
          <w:tcPr>
            <w:tcW w:w="1240" w:type="dxa"/>
            <w:vAlign w:val="bottom"/>
            <w:tcBorders>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33rd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37"/>
        </w:trPr>
        <w:tc>
          <w:tcPr>
            <w:tcW w:w="2500" w:type="dxa"/>
            <w:vAlign w:val="bottom"/>
            <w:tcBorders>
              <w:left w:val="single" w:sz="8" w:color="auto"/>
              <w:bottom w:val="single" w:sz="8" w:color="auto"/>
            </w:tcBorders>
            <w:shd w:val="clear" w:color="auto" w:fill="C6F4F9"/>
          </w:tcPr>
          <w:p>
            <w:pPr>
              <w:spacing w:after="0"/>
              <w:rPr>
                <w:sz w:val="20"/>
                <w:szCs w:val="20"/>
                <w:color w:val="auto"/>
              </w:rPr>
            </w:pPr>
          </w:p>
        </w:tc>
        <w:tc>
          <w:tcPr>
            <w:tcW w:w="1240" w:type="dxa"/>
            <w:vAlign w:val="bottom"/>
            <w:tcBorders>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New York, New York 10055</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202"/>
        </w:trPr>
        <w:tc>
          <w:tcPr>
            <w:tcW w:w="250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Sandeep Naik</w:t>
            </w:r>
          </w:p>
        </w:tc>
        <w:tc>
          <w:tcPr>
            <w:tcW w:w="1240" w:type="dxa"/>
            <w:vAlign w:val="bottom"/>
            <w:tcBorders>
              <w:right w:val="single" w:sz="8" w:color="auto"/>
            </w:tcBorders>
          </w:tcPr>
          <w:p>
            <w:pPr>
              <w:spacing w:after="0"/>
              <w:rPr>
                <w:sz w:val="17"/>
                <w:szCs w:val="17"/>
                <w:color w:val="auto"/>
              </w:rPr>
            </w:pPr>
          </w:p>
        </w:tc>
        <w:tc>
          <w:tcPr>
            <w:tcW w:w="382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Asia Square Tower 1</w:t>
            </w:r>
          </w:p>
        </w:tc>
        <w:tc>
          <w:tcPr>
            <w:tcW w:w="36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50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8 Marina View, #41-04</w:t>
            </w:r>
          </w:p>
        </w:tc>
        <w:tc>
          <w:tcPr>
            <w:tcW w:w="3680" w:type="dxa"/>
            <w:vAlign w:val="bottom"/>
            <w:tcBorders>
              <w:right w:val="single" w:sz="8" w:color="auto"/>
            </w:tcBorders>
          </w:tcPr>
          <w:p>
            <w:pPr>
              <w:spacing w:after="0"/>
              <w:rPr>
                <w:sz w:val="18"/>
                <w:szCs w:val="18"/>
                <w:color w:val="auto"/>
              </w:rPr>
            </w:pPr>
          </w:p>
        </w:tc>
      </w:tr>
      <w:tr>
        <w:trPr>
          <w:trHeight w:val="237"/>
        </w:trPr>
        <w:tc>
          <w:tcPr>
            <w:tcW w:w="2500" w:type="dxa"/>
            <w:vAlign w:val="bottom"/>
            <w:tcBorders>
              <w:left w:val="single" w:sz="8" w:color="auto"/>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Singapore 018960</w:t>
            </w:r>
          </w:p>
        </w:tc>
        <w:tc>
          <w:tcPr>
            <w:tcW w:w="3680" w:type="dxa"/>
            <w:vAlign w:val="bottom"/>
            <w:tcBorders>
              <w:bottom w:val="single" w:sz="8" w:color="auto"/>
              <w:right w:val="single" w:sz="8" w:color="auto"/>
            </w:tcBorders>
          </w:tcPr>
          <w:p>
            <w:pPr>
              <w:spacing w:after="0"/>
              <w:rPr>
                <w:sz w:val="20"/>
                <w:szCs w:val="20"/>
                <w:color w:val="auto"/>
              </w:rPr>
            </w:pPr>
          </w:p>
        </w:tc>
      </w:tr>
      <w:tr>
        <w:trPr>
          <w:trHeight w:val="202"/>
        </w:trPr>
        <w:tc>
          <w:tcPr>
            <w:tcW w:w="2500" w:type="dxa"/>
            <w:vAlign w:val="bottom"/>
            <w:tcBorders>
              <w:left w:val="single" w:sz="8" w:color="auto"/>
            </w:tcBorders>
            <w:shd w:val="clear" w:color="auto" w:fill="C6F4F9"/>
          </w:tcPr>
          <w:p>
            <w:pPr>
              <w:ind w:left="40"/>
              <w:spacing w:after="0" w:line="201" w:lineRule="exact"/>
              <w:rPr>
                <w:sz w:val="20"/>
                <w:szCs w:val="20"/>
                <w:color w:val="auto"/>
              </w:rPr>
            </w:pPr>
            <w:r>
              <w:rPr>
                <w:rFonts w:ascii="Arial" w:cs="Arial" w:eastAsia="Arial" w:hAnsi="Arial"/>
                <w:sz w:val="18"/>
                <w:szCs w:val="18"/>
                <w:color w:val="auto"/>
              </w:rPr>
              <w:t>Graves Tompkins</w:t>
            </w:r>
          </w:p>
        </w:tc>
        <w:tc>
          <w:tcPr>
            <w:tcW w:w="1240" w:type="dxa"/>
            <w:vAlign w:val="bottom"/>
            <w:tcBorders>
              <w:right w:val="single" w:sz="8" w:color="auto"/>
            </w:tcBorders>
            <w:shd w:val="clear" w:color="auto" w:fill="C6F4F9"/>
          </w:tcPr>
          <w:p>
            <w:pPr>
              <w:spacing w:after="0"/>
              <w:rPr>
                <w:sz w:val="17"/>
                <w:szCs w:val="17"/>
                <w:color w:val="auto"/>
              </w:rPr>
            </w:pPr>
          </w:p>
        </w:tc>
        <w:tc>
          <w:tcPr>
            <w:tcW w:w="3820" w:type="dxa"/>
            <w:vAlign w:val="bottom"/>
            <w:tcBorders>
              <w:right w:val="single" w:sz="8" w:color="auto"/>
            </w:tcBorders>
            <w:gridSpan w:val="3"/>
            <w:shd w:val="clear" w:color="auto" w:fill="C6F4F9"/>
          </w:tcPr>
          <w:p>
            <w:pPr>
              <w:spacing w:after="0" w:line="201" w:lineRule="exact"/>
              <w:rPr>
                <w:sz w:val="20"/>
                <w:szCs w:val="20"/>
                <w:color w:val="auto"/>
              </w:rPr>
            </w:pPr>
            <w:r>
              <w:rPr>
                <w:rFonts w:ascii="Arial" w:cs="Arial" w:eastAsia="Arial" w:hAnsi="Arial"/>
                <w:sz w:val="18"/>
                <w:szCs w:val="18"/>
                <w:color w:val="auto"/>
              </w:rPr>
              <w:t>55 East 52nd Street</w:t>
            </w:r>
          </w:p>
        </w:tc>
        <w:tc>
          <w:tcPr>
            <w:tcW w:w="3680" w:type="dxa"/>
            <w:vAlign w:val="bottom"/>
            <w:tcBorders>
              <w:right w:val="single" w:sz="8" w:color="auto"/>
            </w:tcBorders>
            <w:shd w:val="clear" w:color="auto" w:fill="C6F4F9"/>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500" w:type="dxa"/>
            <w:vAlign w:val="bottom"/>
            <w:tcBorders>
              <w:left w:val="single" w:sz="8" w:color="auto"/>
            </w:tcBorders>
            <w:shd w:val="clear" w:color="auto" w:fill="C6F4F9"/>
          </w:tcPr>
          <w:p>
            <w:pPr>
              <w:spacing w:after="0"/>
              <w:rPr>
                <w:sz w:val="18"/>
                <w:szCs w:val="18"/>
                <w:color w:val="auto"/>
              </w:rPr>
            </w:pPr>
          </w:p>
        </w:tc>
        <w:tc>
          <w:tcPr>
            <w:tcW w:w="1240" w:type="dxa"/>
            <w:vAlign w:val="bottom"/>
            <w:tcBorders>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33rd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37"/>
        </w:trPr>
        <w:tc>
          <w:tcPr>
            <w:tcW w:w="2500" w:type="dxa"/>
            <w:vAlign w:val="bottom"/>
            <w:tcBorders>
              <w:left w:val="single" w:sz="8" w:color="auto"/>
              <w:bottom w:val="single" w:sz="8" w:color="auto"/>
            </w:tcBorders>
            <w:shd w:val="clear" w:color="auto" w:fill="C6F4F9"/>
          </w:tcPr>
          <w:p>
            <w:pPr>
              <w:spacing w:after="0"/>
              <w:rPr>
                <w:sz w:val="20"/>
                <w:szCs w:val="20"/>
                <w:color w:val="auto"/>
              </w:rPr>
            </w:pPr>
          </w:p>
        </w:tc>
        <w:tc>
          <w:tcPr>
            <w:tcW w:w="1240" w:type="dxa"/>
            <w:vAlign w:val="bottom"/>
            <w:tcBorders>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New York, New York 10055</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202"/>
        </w:trPr>
        <w:tc>
          <w:tcPr>
            <w:tcW w:w="250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N. Robbert Vorhoff</w:t>
            </w:r>
          </w:p>
        </w:tc>
        <w:tc>
          <w:tcPr>
            <w:tcW w:w="1240" w:type="dxa"/>
            <w:vAlign w:val="bottom"/>
            <w:tcBorders>
              <w:right w:val="single" w:sz="8" w:color="auto"/>
            </w:tcBorders>
          </w:tcPr>
          <w:p>
            <w:pPr>
              <w:spacing w:after="0"/>
              <w:rPr>
                <w:sz w:val="17"/>
                <w:szCs w:val="17"/>
                <w:color w:val="auto"/>
              </w:rPr>
            </w:pPr>
          </w:p>
        </w:tc>
        <w:tc>
          <w:tcPr>
            <w:tcW w:w="382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55 East 52nd Street</w:t>
            </w:r>
          </w:p>
        </w:tc>
        <w:tc>
          <w:tcPr>
            <w:tcW w:w="36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50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33rd Floor</w:t>
            </w:r>
          </w:p>
        </w:tc>
        <w:tc>
          <w:tcPr>
            <w:tcW w:w="3680" w:type="dxa"/>
            <w:vAlign w:val="bottom"/>
            <w:tcBorders>
              <w:right w:val="single" w:sz="8" w:color="auto"/>
            </w:tcBorders>
          </w:tcPr>
          <w:p>
            <w:pPr>
              <w:spacing w:after="0"/>
              <w:rPr>
                <w:sz w:val="18"/>
                <w:szCs w:val="18"/>
                <w:color w:val="auto"/>
              </w:rPr>
            </w:pPr>
          </w:p>
        </w:tc>
      </w:tr>
      <w:tr>
        <w:trPr>
          <w:trHeight w:val="237"/>
        </w:trPr>
        <w:tc>
          <w:tcPr>
            <w:tcW w:w="2500" w:type="dxa"/>
            <w:vAlign w:val="bottom"/>
            <w:tcBorders>
              <w:left w:val="single" w:sz="8" w:color="auto"/>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New York, New York 10055</w:t>
            </w:r>
          </w:p>
        </w:tc>
        <w:tc>
          <w:tcPr>
            <w:tcW w:w="3680" w:type="dxa"/>
            <w:vAlign w:val="bottom"/>
            <w:tcBorders>
              <w:bottom w:val="single" w:sz="8" w:color="auto"/>
              <w:right w:val="single" w:sz="8" w:color="auto"/>
            </w:tcBorders>
          </w:tcPr>
          <w:p>
            <w:pPr>
              <w:spacing w:after="0"/>
              <w:rPr>
                <w:sz w:val="20"/>
                <w:szCs w:val="20"/>
                <w:color w:val="auto"/>
              </w:rPr>
            </w:pPr>
          </w:p>
        </w:tc>
      </w:tr>
      <w:tr>
        <w:trPr>
          <w:trHeight w:val="202"/>
        </w:trPr>
        <w:tc>
          <w:tcPr>
            <w:tcW w:w="2500" w:type="dxa"/>
            <w:vAlign w:val="bottom"/>
            <w:tcBorders>
              <w:left w:val="single" w:sz="8" w:color="auto"/>
            </w:tcBorders>
            <w:shd w:val="clear" w:color="auto" w:fill="C6F4F9"/>
          </w:tcPr>
          <w:p>
            <w:pPr>
              <w:ind w:left="40"/>
              <w:spacing w:after="0" w:line="201" w:lineRule="exact"/>
              <w:rPr>
                <w:sz w:val="20"/>
                <w:szCs w:val="20"/>
                <w:color w:val="auto"/>
              </w:rPr>
            </w:pPr>
            <w:r>
              <w:rPr>
                <w:rFonts w:ascii="Arial" w:cs="Arial" w:eastAsia="Arial" w:hAnsi="Arial"/>
                <w:sz w:val="18"/>
                <w:szCs w:val="18"/>
                <w:color w:val="auto"/>
              </w:rPr>
              <w:t>Eric Zhang</w:t>
            </w:r>
          </w:p>
        </w:tc>
        <w:tc>
          <w:tcPr>
            <w:tcW w:w="1240" w:type="dxa"/>
            <w:vAlign w:val="bottom"/>
            <w:tcBorders>
              <w:right w:val="single" w:sz="8" w:color="auto"/>
            </w:tcBorders>
            <w:shd w:val="clear" w:color="auto" w:fill="C6F4F9"/>
          </w:tcPr>
          <w:p>
            <w:pPr>
              <w:spacing w:after="0"/>
              <w:rPr>
                <w:sz w:val="17"/>
                <w:szCs w:val="17"/>
                <w:color w:val="auto"/>
              </w:rPr>
            </w:pPr>
          </w:p>
        </w:tc>
        <w:tc>
          <w:tcPr>
            <w:tcW w:w="3820" w:type="dxa"/>
            <w:vAlign w:val="bottom"/>
            <w:tcBorders>
              <w:right w:val="single" w:sz="8" w:color="auto"/>
            </w:tcBorders>
            <w:gridSpan w:val="3"/>
            <w:shd w:val="clear" w:color="auto" w:fill="C6F4F9"/>
          </w:tcPr>
          <w:p>
            <w:pPr>
              <w:spacing w:after="0" w:line="201" w:lineRule="exact"/>
              <w:rPr>
                <w:sz w:val="20"/>
                <w:szCs w:val="20"/>
                <w:color w:val="auto"/>
              </w:rPr>
            </w:pPr>
            <w:r>
              <w:rPr>
                <w:rFonts w:ascii="Arial" w:cs="Arial" w:eastAsia="Arial" w:hAnsi="Arial"/>
                <w:sz w:val="18"/>
                <w:szCs w:val="18"/>
                <w:color w:val="auto"/>
              </w:rPr>
              <w:t>Suite 5704-5706, 57F</w:t>
            </w:r>
          </w:p>
        </w:tc>
        <w:tc>
          <w:tcPr>
            <w:tcW w:w="3680" w:type="dxa"/>
            <w:vAlign w:val="bottom"/>
            <w:tcBorders>
              <w:right w:val="single" w:sz="8" w:color="auto"/>
            </w:tcBorders>
            <w:shd w:val="clear" w:color="auto" w:fill="C6F4F9"/>
          </w:tcPr>
          <w:p>
            <w:pPr>
              <w:spacing w:after="0" w:line="201" w:lineRule="exact"/>
              <w:rPr>
                <w:sz w:val="20"/>
                <w:szCs w:val="20"/>
                <w:color w:val="auto"/>
              </w:rPr>
            </w:pPr>
            <w:r>
              <w:rPr>
                <w:rFonts w:ascii="Arial" w:cs="Arial" w:eastAsia="Arial" w:hAnsi="Arial"/>
                <w:sz w:val="18"/>
                <w:szCs w:val="18"/>
                <w:color w:val="auto"/>
              </w:rPr>
              <w:t>Hong Kong SAR</w:t>
            </w:r>
          </w:p>
        </w:tc>
      </w:tr>
      <w:tr>
        <w:trPr>
          <w:trHeight w:val="216"/>
        </w:trPr>
        <w:tc>
          <w:tcPr>
            <w:tcW w:w="2500" w:type="dxa"/>
            <w:vAlign w:val="bottom"/>
            <w:tcBorders>
              <w:left w:val="single" w:sz="8" w:color="auto"/>
            </w:tcBorders>
            <w:shd w:val="clear" w:color="auto" w:fill="C6F4F9"/>
          </w:tcPr>
          <w:p>
            <w:pPr>
              <w:spacing w:after="0"/>
              <w:rPr>
                <w:sz w:val="18"/>
                <w:szCs w:val="18"/>
                <w:color w:val="auto"/>
              </w:rPr>
            </w:pPr>
          </w:p>
        </w:tc>
        <w:tc>
          <w:tcPr>
            <w:tcW w:w="1240" w:type="dxa"/>
            <w:vAlign w:val="bottom"/>
            <w:tcBorders>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Two IFC, 8 Finance Street</w:t>
            </w:r>
          </w:p>
        </w:tc>
        <w:tc>
          <w:tcPr>
            <w:tcW w:w="3680" w:type="dxa"/>
            <w:vAlign w:val="bottom"/>
            <w:tcBorders>
              <w:right w:val="single" w:sz="8" w:color="auto"/>
            </w:tcBorders>
            <w:shd w:val="clear" w:color="auto" w:fill="C6F4F9"/>
          </w:tcPr>
          <w:p>
            <w:pPr>
              <w:spacing w:after="0"/>
              <w:rPr>
                <w:sz w:val="18"/>
                <w:szCs w:val="18"/>
                <w:color w:val="auto"/>
              </w:rPr>
            </w:pPr>
          </w:p>
        </w:tc>
      </w:tr>
      <w:tr>
        <w:trPr>
          <w:trHeight w:val="237"/>
        </w:trPr>
        <w:tc>
          <w:tcPr>
            <w:tcW w:w="2500" w:type="dxa"/>
            <w:vAlign w:val="bottom"/>
            <w:tcBorders>
              <w:left w:val="single" w:sz="8" w:color="auto"/>
              <w:bottom w:val="single" w:sz="8" w:color="auto"/>
            </w:tcBorders>
            <w:shd w:val="clear" w:color="auto" w:fill="C6F4F9"/>
          </w:tcPr>
          <w:p>
            <w:pPr>
              <w:spacing w:after="0"/>
              <w:rPr>
                <w:sz w:val="20"/>
                <w:szCs w:val="20"/>
                <w:color w:val="auto"/>
              </w:rPr>
            </w:pPr>
          </w:p>
        </w:tc>
        <w:tc>
          <w:tcPr>
            <w:tcW w:w="1240" w:type="dxa"/>
            <w:vAlign w:val="bottom"/>
            <w:tcBorders>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Central, Hong Kong, China</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1303"/>
        </w:trPr>
        <w:tc>
          <w:tcPr>
            <w:tcW w:w="25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0"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ACQUISITION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13D-1(k)(1)</w:t>
      </w:r>
    </w:p>
    <w:p>
      <w:pPr>
        <w:spacing w:after="0" w:line="21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accurate.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11, 2022</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jc w:val="center"/>
        <w:ind w:left="308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(SPV) GP, LLC</w:t>
      </w:r>
    </w:p>
    <w:p>
      <w:pPr>
        <w:spacing w:after="0" w:line="229" w:lineRule="exact"/>
        <w:rPr>
          <w:sz w:val="20"/>
          <w:szCs w:val="20"/>
          <w:color w:val="auto"/>
        </w:rPr>
      </w:pPr>
    </w:p>
    <w:p>
      <w:pPr>
        <w:ind w:left="564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ATLANTIC, L.P., its sole member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PARTNERS 100,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8"/>
              </w:rPr>
              <w:t>GENERAL ATLANTIC GENPAR, L.P., its general</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GENERAL ATLANTIC,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Gosk</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Michael Gosk</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(DU),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7"/>
              </w:rPr>
              <w:t>GENERAL ATLANTIC (SPV) GP, LLC, its general</w:t>
            </w:r>
          </w:p>
        </w:tc>
        <w:tc>
          <w:tcPr>
            <w:tcW w:w="1120" w:type="dxa"/>
            <w:vAlign w:val="bottom"/>
          </w:tcPr>
          <w:p>
            <w:pPr>
              <w:spacing w:after="0"/>
              <w:rPr>
                <w:sz w:val="18"/>
                <w:szCs w:val="18"/>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partner</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GENERAL ATLANTIC, L.P., its sole member</w:t>
            </w:r>
          </w:p>
        </w:tc>
        <w:tc>
          <w:tcPr>
            <w:tcW w:w="112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Gosk</w:t>
            </w:r>
          </w:p>
        </w:tc>
        <w:tc>
          <w:tcPr>
            <w:tcW w:w="1120" w:type="dxa"/>
            <w:vAlign w:val="bottom"/>
          </w:tcPr>
          <w:p>
            <w:pPr>
              <w:spacing w:after="0"/>
              <w:rPr>
                <w:sz w:val="24"/>
                <w:szCs w:val="24"/>
                <w:color w:val="auto"/>
              </w:rPr>
            </w:pPr>
          </w:p>
        </w:tc>
      </w:tr>
      <w:tr>
        <w:trPr>
          <w:trHeight w:val="195"/>
        </w:trPr>
        <w:tc>
          <w:tcPr>
            <w:tcW w:w="620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Michael Gosk</w:t>
            </w:r>
          </w:p>
        </w:tc>
        <w:tc>
          <w:tcPr>
            <w:tcW w:w="112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1120" w:type="dxa"/>
            <w:vAlign w:val="bottom"/>
          </w:tcPr>
          <w:p>
            <w:pPr>
              <w:spacing w:after="0"/>
              <w:rPr>
                <w:sz w:val="20"/>
                <w:szCs w:val="20"/>
                <w:color w:val="auto"/>
              </w:rPr>
            </w:pPr>
          </w:p>
        </w:tc>
      </w:tr>
      <w:tr>
        <w:trPr>
          <w:trHeight w:val="790"/>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29" w:name="page30"/>
    <w:bookmarkEnd w:id="29"/>
    <w:p>
      <w:pPr>
        <w:ind w:left="4520"/>
        <w:spacing w:after="0"/>
        <w:rPr>
          <w:sz w:val="20"/>
          <w:szCs w:val="20"/>
          <w:color w:val="auto"/>
        </w:rPr>
      </w:pPr>
      <w:r>
        <w:rPr>
          <w:rFonts w:ascii="Arial" w:cs="Arial" w:eastAsia="Arial" w:hAnsi="Arial"/>
          <w:sz w:val="18"/>
          <w:szCs w:val="18"/>
          <w:b w:val="1"/>
          <w:bCs w:val="1"/>
          <w:color w:val="auto"/>
        </w:rPr>
        <w:t>GENERAL ATLANTIC PARTNERS (BERMUDA) EU,</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GENERAL ATLANTIC GENPAR (BERMUDA),</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GAP (BERMUDA)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5"/>
              </w:rPr>
              <w:t>GAP (BERMUDA) GP LIMITED,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Gosk</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Michael Gosk</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GENERAL ATLANTIC PARTNERS (LUX) SCSP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9"/>
              </w:rPr>
              <w:t>GENERAL ATLANTIC GENPAR (LUX) SCSP, its</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8"/>
              </w:rPr>
              <w:t>GENERAL ATLANTIC (LUX) S.À R.L., its general</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Ingrid van der Hoorn</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Ingrid van der Hoorn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Manager A</w:t>
            </w:r>
          </w:p>
        </w:tc>
      </w:tr>
      <w:tr>
        <w:trPr>
          <w:trHeight w:val="432"/>
        </w:trPr>
        <w:tc>
          <w:tcPr>
            <w:tcW w:w="56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 Dalrymple</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Gregor Dalrymple</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Manager B</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GENERAL ATLANTIC GENPAR,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ATLANTIC, L.P.,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520065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30" w:name="page31"/>
    <w:bookmarkEnd w:id="30"/>
    <w:p>
      <w:pPr>
        <w:ind w:left="4520"/>
        <w:spacing w:after="0"/>
        <w:rPr>
          <w:sz w:val="20"/>
          <w:szCs w:val="20"/>
          <w:color w:val="auto"/>
        </w:rPr>
      </w:pPr>
      <w:r>
        <w:rPr>
          <w:rFonts w:ascii="Arial" w:cs="Arial" w:eastAsia="Arial" w:hAnsi="Arial"/>
          <w:sz w:val="18"/>
          <w:szCs w:val="18"/>
          <w:b w:val="1"/>
          <w:bCs w:val="1"/>
          <w:color w:val="auto"/>
        </w:rPr>
        <w:t>GAP COINVESTMENTS III,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GENERAL ATLANTIC, L.P., its managing member</w:t>
      </w:r>
    </w:p>
    <w:p>
      <w:pPr>
        <w:spacing w:after="0" w:line="24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GAP COINVESTMENTS IV,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GENERAL ATLANTIC, L.P., its managing member</w:t>
      </w:r>
    </w:p>
    <w:p>
      <w:pPr>
        <w:spacing w:after="0" w:line="24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GAP COINVESTMENTS V,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GENERAL ATLANTIC, L.P., its managing member</w:t>
      </w:r>
    </w:p>
    <w:p>
      <w:pPr>
        <w:spacing w:after="0" w:line="24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GAP COINVESTMENTS CDA,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ATLANTIC, L.P.,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502920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31" w:name="page32"/>
    <w:bookmarkEnd w:id="31"/>
    <w:p>
      <w:pPr>
        <w:ind w:left="5640"/>
        <w:spacing w:after="0"/>
        <w:rPr>
          <w:sz w:val="20"/>
          <w:szCs w:val="20"/>
          <w:color w:val="auto"/>
        </w:rPr>
      </w:pPr>
      <w:r>
        <w:rPr>
          <w:rFonts w:ascii="Arial" w:cs="Arial" w:eastAsia="Arial" w:hAnsi="Arial"/>
          <w:sz w:val="18"/>
          <w:szCs w:val="18"/>
          <w:b w:val="1"/>
          <w:bCs w:val="1"/>
          <w:color w:val="auto"/>
        </w:rPr>
        <w:t>GENERAL ATLANTIC GENPAR, (LUX) SCSP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gridSpan w:val="2"/>
          </w:tcPr>
          <w:p>
            <w:pPr>
              <w:spacing w:after="0"/>
              <w:rPr>
                <w:sz w:val="20"/>
                <w:szCs w:val="20"/>
                <w:color w:val="auto"/>
              </w:rPr>
            </w:pPr>
            <w:r>
              <w:rPr>
                <w:rFonts w:ascii="Arial" w:cs="Arial" w:eastAsia="Arial" w:hAnsi="Arial"/>
                <w:sz w:val="18"/>
                <w:szCs w:val="18"/>
                <w:color w:val="auto"/>
              </w:rPr>
              <w:t>GENERAL ATLANTIC (LUX)</w:t>
            </w:r>
          </w:p>
        </w:tc>
      </w:tr>
      <w:tr>
        <w:trPr>
          <w:trHeight w:val="230"/>
        </w:trPr>
        <w:tc>
          <w:tcPr>
            <w:tcW w:w="56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S.À R.L.,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Ingrid van der Hoorn</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Ingrid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 Dalrymple</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Gregor Dalrymple</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B</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(LUX) S.À R.L.</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Ingrid van der Hoorn</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Ingrid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 Dalrymple</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Gregor Dalrymple</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B</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GENPAR (BERMUDA),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GAP (BERMUDA) L.P., its general partner</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5"/>
              </w:rPr>
              <w:t>GAP (BERMUDA) GP LIMITED, its general partner</w:t>
            </w:r>
          </w:p>
        </w:tc>
        <w:tc>
          <w:tcPr>
            <w:tcW w:w="112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Gosk</w:t>
            </w:r>
          </w:p>
        </w:tc>
        <w:tc>
          <w:tcPr>
            <w:tcW w:w="1120" w:type="dxa"/>
            <w:vAlign w:val="bottom"/>
          </w:tcPr>
          <w:p>
            <w:pPr>
              <w:spacing w:after="0"/>
              <w:rPr>
                <w:sz w:val="24"/>
                <w:szCs w:val="24"/>
                <w:color w:val="auto"/>
              </w:rPr>
            </w:pPr>
          </w:p>
        </w:tc>
      </w:tr>
      <w:tr>
        <w:trPr>
          <w:trHeight w:val="195"/>
        </w:trPr>
        <w:tc>
          <w:tcPr>
            <w:tcW w:w="620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Michael Gosk</w:t>
            </w:r>
          </w:p>
        </w:tc>
        <w:tc>
          <w:tcPr>
            <w:tcW w:w="112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1120" w:type="dxa"/>
            <w:vAlign w:val="bottom"/>
          </w:tcPr>
          <w:p>
            <w:pPr>
              <w:spacing w:after="0"/>
              <w:rPr>
                <w:sz w:val="20"/>
                <w:szCs w:val="20"/>
                <w:color w:val="auto"/>
              </w:rPr>
            </w:pPr>
          </w:p>
        </w:tc>
      </w:tr>
      <w:tr>
        <w:trPr>
          <w:trHeight w:val="763"/>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12" w:right="339" w:bottom="1440" w:gutter="0" w:footer="0" w:header="0"/>
        </w:sectPr>
      </w:pPr>
    </w:p>
    <w:bookmarkStart w:id="32" w:name="page33"/>
    <w:bookmarkEnd w:id="32"/>
    <w:p>
      <w:pPr>
        <w:ind w:left="4520"/>
        <w:spacing w:after="0"/>
        <w:rPr>
          <w:sz w:val="20"/>
          <w:szCs w:val="20"/>
          <w:color w:val="auto"/>
        </w:rPr>
      </w:pPr>
      <w:r>
        <w:rPr>
          <w:rFonts w:ascii="Arial" w:cs="Arial" w:eastAsia="Arial" w:hAnsi="Arial"/>
          <w:sz w:val="18"/>
          <w:szCs w:val="18"/>
          <w:b w:val="1"/>
          <w:bCs w:val="1"/>
          <w:color w:val="auto"/>
        </w:rPr>
        <w:t>GAP (BERMUDA)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GAP (BERMUDA) GP LIMITED, its general partner</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674370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7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4"/>
      <w:numFmt w:val="bullet"/>
      <w:start w:val="1"/>
    </w:lvl>
  </w:abstractNum>
  <w:abstractNum w:abstractNumId="2">
    <w:nsid w:val="7C83E458"/>
    <w:multiLevelType w:val="hybridMultilevel"/>
    <w:lvl w:ilvl="0">
      <w:lvlJc w:val="left"/>
      <w:lvlText w:val="4"/>
      <w:numFmt w:val="bullet"/>
      <w:start w:val="1"/>
    </w:lvl>
  </w:abstractNum>
  <w:abstractNum w:abstractNumId="3">
    <w:nsid w:val="257130A3"/>
    <w:multiLevelType w:val="hybridMultilevel"/>
    <w:lvl w:ilvl="0">
      <w:lvlJc w:val="left"/>
      <w:lvlText w:val="5"/>
      <w:numFmt w:val="bullet"/>
      <w:start w:val="1"/>
    </w:lvl>
  </w:abstractNum>
  <w:abstractNum w:abstractNumId="4">
    <w:nsid w:val="62BBD95A"/>
    <w:multiLevelType w:val="hybridMultilevel"/>
    <w:lvl w:ilvl="0">
      <w:lvlJc w:val="left"/>
      <w:lvlText w:val="8"/>
      <w:numFmt w:val="bullet"/>
      <w:start w:val="1"/>
    </w:lvl>
  </w:abstractNum>
  <w:abstractNum w:abstractNumId="5">
    <w:nsid w:val="436C6125"/>
    <w:multiLevelType w:val="hybridMultilevel"/>
    <w:lvl w:ilvl="0">
      <w:lvlJc w:val="left"/>
      <w:lvlText w:val="4"/>
      <w:numFmt w:val="bullet"/>
      <w:start w:val="1"/>
    </w:lvl>
  </w:abstractNum>
  <w:abstractNum w:abstractNumId="6">
    <w:nsid w:val="628C895D"/>
    <w:multiLevelType w:val="hybridMultilevel"/>
    <w:lvl w:ilvl="0">
      <w:lvlJc w:val="left"/>
      <w:lvlText w:val="5"/>
      <w:numFmt w:val="bullet"/>
      <w:start w:val="1"/>
    </w:lvl>
  </w:abstractNum>
  <w:abstractNum w:abstractNumId="7">
    <w:nsid w:val="333AB105"/>
    <w:multiLevelType w:val="hybridMultilevel"/>
    <w:lvl w:ilvl="0">
      <w:lvlJc w:val="left"/>
      <w:lvlText w:val="8"/>
      <w:numFmt w:val="bullet"/>
      <w:start w:val="1"/>
    </w:lvl>
  </w:abstractNum>
  <w:abstractNum w:abstractNumId="8">
    <w:nsid w:val="721DA317"/>
    <w:multiLevelType w:val="hybridMultilevel"/>
    <w:lvl w:ilvl="0">
      <w:lvlJc w:val="left"/>
      <w:lvlText w:val="4"/>
      <w:numFmt w:val="bullet"/>
      <w:start w:val="1"/>
    </w:lvl>
  </w:abstractNum>
  <w:abstractNum w:abstractNumId="9">
    <w:nsid w:val="2443A858"/>
    <w:multiLevelType w:val="hybridMultilevel"/>
    <w:lvl w:ilvl="0">
      <w:lvlJc w:val="left"/>
      <w:lvlText w:val="4"/>
      <w:numFmt w:val="bullet"/>
      <w:start w:val="1"/>
    </w:lvl>
  </w:abstractNum>
  <w:abstractNum w:abstractNumId="10">
    <w:nsid w:val="2D1D5AE9"/>
    <w:multiLevelType w:val="hybridMultilevel"/>
    <w:lvl w:ilvl="0">
      <w:lvlJc w:val="left"/>
      <w:lvlText w:val="4"/>
      <w:numFmt w:val="bullet"/>
      <w:start w:val="1"/>
    </w:lvl>
  </w:abstractNum>
  <w:abstractNum w:abstractNumId="11">
    <w:nsid w:val="6763845E"/>
    <w:multiLevelType w:val="hybridMultilevel"/>
    <w:lvl w:ilvl="0">
      <w:lvlJc w:val="left"/>
      <w:lvlText w:val="4"/>
      <w:numFmt w:val="bullet"/>
      <w:start w:val="1"/>
    </w:lvl>
  </w:abstractNum>
  <w:abstractNum w:abstractNumId="12">
    <w:nsid w:val="75A2A8D4"/>
    <w:multiLevelType w:val="hybridMultilevel"/>
    <w:lvl w:ilvl="0">
      <w:lvlJc w:val="left"/>
      <w:lvlText w:val="4"/>
      <w:numFmt w:val="bullet"/>
      <w:start w:val="1"/>
    </w:lvl>
  </w:abstractNum>
  <w:abstractNum w:abstractNumId="13">
    <w:nsid w:val="8EDBDAB"/>
    <w:multiLevelType w:val="hybridMultilevel"/>
    <w:lvl w:ilvl="0">
      <w:lvlJc w:val="left"/>
      <w:lvlText w:val="4"/>
      <w:numFmt w:val="bullet"/>
      <w:start w:val="1"/>
    </w:lvl>
  </w:abstractNum>
  <w:abstractNum w:abstractNumId="14">
    <w:nsid w:val="79838CB2"/>
    <w:multiLevelType w:val="hybridMultilevel"/>
    <w:lvl w:ilvl="0">
      <w:lvlJc w:val="left"/>
      <w:lvlText w:val="5"/>
      <w:numFmt w:val="bullet"/>
      <w:start w:val="1"/>
    </w:lvl>
  </w:abstractNum>
  <w:abstractNum w:abstractNumId="15">
    <w:nsid w:val="4353D0CD"/>
    <w:multiLevelType w:val="hybridMultilevel"/>
    <w:lvl w:ilvl="0">
      <w:lvlJc w:val="left"/>
      <w:lvlText w:val="8"/>
      <w:numFmt w:val="bullet"/>
      <w:start w:val="1"/>
    </w:lvl>
  </w:abstractNum>
  <w:abstractNum w:abstractNumId="16">
    <w:nsid w:val="B03E0C6"/>
    <w:multiLevelType w:val="hybridMultilevel"/>
    <w:lvl w:ilvl="0">
      <w:lvlJc w:val="left"/>
      <w:lvlText w:val="4"/>
      <w:numFmt w:val="bullet"/>
      <w:start w:val="1"/>
    </w:lvl>
  </w:abstractNum>
  <w:abstractNum w:abstractNumId="17">
    <w:nsid w:val="189A769B"/>
    <w:multiLevelType w:val="hybridMultilevel"/>
    <w:lvl w:ilvl="0">
      <w:lvlJc w:val="left"/>
      <w:lvlText w:val="4"/>
      <w:numFmt w:val="bullet"/>
      <w:start w:val="1"/>
    </w:lvl>
  </w:abstractNum>
  <w:abstractNum w:abstractNumId="18">
    <w:nsid w:val="54E49EB4"/>
    <w:multiLevelType w:val="hybridMultilevel"/>
    <w:lvl w:ilvl="0">
      <w:lvlJc w:val="left"/>
      <w:lvlText w:val="5"/>
      <w:numFmt w:val="bullet"/>
      <w:start w:val="1"/>
    </w:lvl>
  </w:abstractNum>
  <w:abstractNum w:abstractNumId="19">
    <w:nsid w:val="71F32454"/>
    <w:multiLevelType w:val="hybridMultilevel"/>
    <w:lvl w:ilvl="0">
      <w:lvlJc w:val="left"/>
      <w:lvlText w:val="8"/>
      <w:numFmt w:val="bullet"/>
      <w:start w:val="1"/>
    </w:lvl>
  </w:abstractNum>
  <w:abstractNum w:abstractNumId="20">
    <w:nsid w:val="2CA88611"/>
    <w:multiLevelType w:val="hybridMultilevel"/>
    <w:lvl w:ilvl="0">
      <w:lvlJc w:val="left"/>
      <w:lvlText w:val="4"/>
      <w:numFmt w:val="bullet"/>
      <w:start w:val="1"/>
    </w:lvl>
  </w:abstractNum>
  <w:abstractNum w:abstractNumId="21">
    <w:nsid w:val="836C40E"/>
    <w:multiLevelType w:val="hybridMultilevel"/>
    <w:lvl w:ilvl="0">
      <w:lvlJc w:val="left"/>
      <w:lvlText w:val="4"/>
      <w:numFmt w:val="bullet"/>
      <w:start w:val="1"/>
    </w:lvl>
  </w:abstractNum>
  <w:abstractNum w:abstractNumId="22">
    <w:nsid w:val="2901D82"/>
    <w:multiLevelType w:val="hybridMultilevel"/>
    <w:lvl w:ilvl="0">
      <w:lvlJc w:val="left"/>
      <w:lvlText w:val="4"/>
      <w:numFmt w:val="bullet"/>
      <w:start w:val="1"/>
    </w:lvl>
  </w:abstractNum>
  <w:abstractNum w:abstractNumId="23">
    <w:nsid w:val="3A95F874"/>
    <w:multiLevelType w:val="hybridMultilevel"/>
    <w:lvl w:ilvl="0">
      <w:lvlJc w:val="left"/>
      <w:lvlText w:val="4"/>
      <w:numFmt w:val="bullet"/>
      <w:start w:val="1"/>
    </w:lvl>
  </w:abstractNum>
  <w:abstractNum w:abstractNumId="24">
    <w:nsid w:val="8138641"/>
    <w:multiLevelType w:val="hybridMultilevel"/>
    <w:lvl w:ilvl="0">
      <w:lvlJc w:val="left"/>
      <w:lvlText w:val="(%1)"/>
      <w:numFmt w:val="lowerLetter"/>
      <w:start w:val="2"/>
    </w:lvl>
  </w:abstractNum>
  <w:abstractNum w:abstractNumId="25">
    <w:nsid w:val="1E7FF521"/>
    <w:multiLevelType w:val="hybridMultilevel"/>
    <w:lvl w:ilvl="0">
      <w:lvlJc w:val="left"/>
      <w:lvlText w:val="(%1)"/>
      <w:numFmt w:val="lowerRoman"/>
      <w:start w:val="1"/>
    </w:lvl>
  </w:abstractNum>
  <w:abstractNum w:abstractNumId="26">
    <w:nsid w:val="7C3DBD3D"/>
    <w:multiLevelType w:val="hybridMultilevel"/>
    <w:lvl w:ilvl="0">
      <w:lvlJc w:val="left"/>
      <w:lvlText w:val="(%1)"/>
      <w:numFmt w:val="lowerLetter"/>
      <w:start w:val="2"/>
    </w:lvl>
  </w:abstractNum>
  <w:abstractNum w:abstractNumId="27">
    <w:nsid w:val="737B8DDC"/>
    <w:multiLevelType w:val="hybridMultilevel"/>
    <w:lvl w:ilvl="0">
      <w:lvlJc w:val="left"/>
      <w:lvlText w:val="(%1)"/>
      <w:numFmt w:val="lowerLetter"/>
      <w:start w:val="3"/>
    </w:lvl>
  </w:abstractNum>
  <w:abstractNum w:abstractNumId="28">
    <w:nsid w:val="6CEAF087"/>
    <w:multiLevelType w:val="hybridMultilevel"/>
    <w:lvl w:ilvl="0">
      <w:lvlJc w:val="left"/>
      <w:lvlText w:val="(%1)"/>
      <w:numFmt w:val="lowerRoman"/>
      <w:start w:val="1"/>
    </w:lvl>
  </w:abstractNum>
  <w:abstractNum w:abstractNumId="29">
    <w:nsid w:val="22221A70"/>
    <w:multiLevelType w:val="hybridMultilevel"/>
    <w:lvl w:ilvl="0">
      <w:lvlJc w:val="left"/>
      <w:lvlText w:val="(%1)"/>
      <w:numFmt w:val="lowerLetter"/>
      <w:start w:val="4"/>
    </w:lvl>
  </w:abstractNum>
  <w:abstractNum w:abstractNumId="30">
    <w:nsid w:val="4516DDE9"/>
    <w:multiLevelType w:val="hybridMultilevel"/>
    <w:lvl w:ilvl="0">
      <w:lvlJc w:val="left"/>
      <w:lvlText w:val="(%1)"/>
      <w:numFmt w:val="lowerLetter"/>
      <w:start w:val="5"/>
    </w:lvl>
  </w:abstractNum>
  <w:abstractNum w:abstractNumId="31">
    <w:nsid w:val="3006C83E"/>
    <w:multiLevelType w:val="hybridMultilevel"/>
    <w:lvl w:ilvl="0">
      <w:lvlJc w:val="left"/>
      <w:lvlText w:val="(%1)"/>
      <w:numFmt w:val="lowerRoman"/>
      <w:start w:val="1"/>
    </w:lvl>
  </w:abstractNum>
  <w:abstractNum w:abstractNumId="32">
    <w:nsid w:val="614FD4A1"/>
    <w:multiLevelType w:val="hybridMultilevel"/>
    <w:lvl w:ilvl="0">
      <w:lvlJc w:val="left"/>
      <w:lvlText w:val="(%1)"/>
      <w:numFmt w:val="lowerRoman"/>
      <w:start w:val="7"/>
    </w:lvl>
  </w:abstractNum>
  <w:abstractNum w:abstractNumId="33">
    <w:nsid w:val="419AC241"/>
    <w:multiLevelType w:val="hybridMultilevel"/>
    <w:lvl w:ilvl="0">
      <w:lvlJc w:val="left"/>
      <w:lvlText w:val="(%1)"/>
      <w:numFmt w:val="lowerRoman"/>
      <w:start w:val="1"/>
    </w:lvl>
  </w:abstractNum>
  <w:abstractNum w:abstractNumId="34">
    <w:nsid w:val="5577F8E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2022-02-12T02:33:18Z</dcterms:created>
  <dcterms:modified xsi:type="dcterms:W3CDTF">2022-02-12T02:33:18Z</dcterms:modified>
</cp:coreProperties>
</file>