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July 26, 2021.</w:t>
      </w:r>
    </w:p>
    <w:p>
      <w:pPr>
        <w:spacing w:after="0" w:line="15" w:lineRule="exact"/>
        <w:rPr>
          <w:sz w:val="24"/>
          <w:szCs w:val="24"/>
          <w:color w:val="auto"/>
        </w:rPr>
      </w:pPr>
    </w:p>
    <w:p>
      <w:pPr>
        <w:ind w:left="9320"/>
        <w:spacing w:after="0"/>
        <w:rPr>
          <w:sz w:val="20"/>
          <w:szCs w:val="20"/>
          <w:color w:val="auto"/>
        </w:rPr>
      </w:pPr>
      <w:r>
        <w:rPr>
          <w:rFonts w:ascii="Arial" w:cs="Arial" w:eastAsia="Arial" w:hAnsi="Arial"/>
          <w:sz w:val="13"/>
          <w:szCs w:val="13"/>
          <w:b w:val="1"/>
          <w:bCs w:val="1"/>
          <w:color w:val="auto"/>
        </w:rPr>
        <w:t>Registration No. 333-257483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47" w:lineRule="exact"/>
        <w:rPr>
          <w:sz w:val="24"/>
          <w:szCs w:val="24"/>
          <w:color w:val="auto"/>
        </w:rPr>
      </w:pPr>
    </w:p>
    <w:p>
      <w:pPr>
        <w:ind w:left="5240"/>
        <w:spacing w:after="0"/>
        <w:rPr>
          <w:sz w:val="20"/>
          <w:szCs w:val="20"/>
          <w:color w:val="auto"/>
        </w:rPr>
      </w:pPr>
      <w:r>
        <w:rPr>
          <w:rFonts w:ascii="Arial" w:cs="Arial" w:eastAsia="Arial" w:hAnsi="Arial"/>
          <w:sz w:val="16"/>
          <w:szCs w:val="16"/>
          <w:b w:val="1"/>
          <w:bCs w:val="1"/>
          <w:color w:val="auto"/>
        </w:rPr>
        <w:t>FORM S-1</w:t>
      </w:r>
    </w:p>
    <w:p>
      <w:pPr>
        <w:spacing w:after="0" w:line="167"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REGISTRATION STATEMENT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Duolingo,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3180" w:type="dxa"/>
            <w:vAlign w:val="bottom"/>
          </w:tcPr>
          <w:p>
            <w:pPr>
              <w:jc w:val="center"/>
              <w:ind w:left="557"/>
              <w:spacing w:after="0"/>
              <w:rPr>
                <w:sz w:val="20"/>
                <w:szCs w:val="20"/>
                <w:color w:val="auto"/>
              </w:rPr>
            </w:pPr>
            <w:r>
              <w:rPr>
                <w:rFonts w:ascii="Arial" w:cs="Arial" w:eastAsia="Arial" w:hAnsi="Arial"/>
                <w:sz w:val="13"/>
                <w:szCs w:val="13"/>
                <w:b w:val="1"/>
                <w:bCs w:val="1"/>
                <w:color w:val="auto"/>
                <w:w w:val="98"/>
              </w:rPr>
              <w:t>Delaware</w:t>
            </w:r>
          </w:p>
        </w:tc>
        <w:tc>
          <w:tcPr>
            <w:tcW w:w="466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7372</w:t>
            </w:r>
          </w:p>
        </w:tc>
        <w:tc>
          <w:tcPr>
            <w:tcW w:w="3400" w:type="dxa"/>
            <w:vAlign w:val="bottom"/>
          </w:tcPr>
          <w:p>
            <w:pPr>
              <w:jc w:val="center"/>
              <w:ind w:right="137"/>
              <w:spacing w:after="0"/>
              <w:rPr>
                <w:sz w:val="20"/>
                <w:szCs w:val="20"/>
                <w:color w:val="auto"/>
              </w:rPr>
            </w:pPr>
            <w:r>
              <w:rPr>
                <w:rFonts w:ascii="Arial" w:cs="Arial" w:eastAsia="Arial" w:hAnsi="Arial"/>
                <w:sz w:val="13"/>
                <w:szCs w:val="13"/>
                <w:b w:val="1"/>
                <w:bCs w:val="1"/>
                <w:color w:val="auto"/>
                <w:w w:val="97"/>
              </w:rPr>
              <w:t>45-3055872</w:t>
            </w:r>
          </w:p>
        </w:tc>
      </w:tr>
      <w:tr>
        <w:trPr>
          <w:trHeight w:val="145"/>
        </w:trPr>
        <w:tc>
          <w:tcPr>
            <w:tcW w:w="3180" w:type="dxa"/>
            <w:vAlign w:val="bottom"/>
          </w:tcPr>
          <w:p>
            <w:pPr>
              <w:jc w:val="center"/>
              <w:ind w:left="557"/>
              <w:spacing w:after="0" w:line="145" w:lineRule="exact"/>
              <w:rPr>
                <w:sz w:val="20"/>
                <w:szCs w:val="20"/>
                <w:color w:val="auto"/>
              </w:rPr>
            </w:pPr>
            <w:r>
              <w:rPr>
                <w:rFonts w:ascii="Arial" w:cs="Arial" w:eastAsia="Arial" w:hAnsi="Arial"/>
                <w:sz w:val="13"/>
                <w:szCs w:val="13"/>
                <w:color w:val="auto"/>
                <w:w w:val="96"/>
              </w:rPr>
              <w:t>(State or Other Jurisdiction of</w:t>
            </w:r>
          </w:p>
        </w:tc>
        <w:tc>
          <w:tcPr>
            <w:tcW w:w="4660" w:type="dxa"/>
            <w:vAlign w:val="bottom"/>
          </w:tcPr>
          <w:p>
            <w:pPr>
              <w:jc w:val="center"/>
              <w:ind w:left="357"/>
              <w:spacing w:after="0" w:line="145" w:lineRule="exact"/>
              <w:rPr>
                <w:sz w:val="20"/>
                <w:szCs w:val="20"/>
                <w:color w:val="auto"/>
              </w:rPr>
            </w:pPr>
            <w:r>
              <w:rPr>
                <w:rFonts w:ascii="Arial" w:cs="Arial" w:eastAsia="Arial" w:hAnsi="Arial"/>
                <w:sz w:val="13"/>
                <w:szCs w:val="13"/>
                <w:color w:val="auto"/>
                <w:w w:val="96"/>
              </w:rPr>
              <w:t>(Primary Standard Industrial</w:t>
            </w:r>
          </w:p>
        </w:tc>
        <w:tc>
          <w:tcPr>
            <w:tcW w:w="3400" w:type="dxa"/>
            <w:vAlign w:val="bottom"/>
          </w:tcPr>
          <w:p>
            <w:pPr>
              <w:jc w:val="center"/>
              <w:ind w:right="137"/>
              <w:spacing w:after="0" w:line="145" w:lineRule="exact"/>
              <w:rPr>
                <w:sz w:val="20"/>
                <w:szCs w:val="20"/>
                <w:color w:val="auto"/>
              </w:rPr>
            </w:pPr>
            <w:r>
              <w:rPr>
                <w:rFonts w:ascii="Arial" w:cs="Arial" w:eastAsia="Arial" w:hAnsi="Arial"/>
                <w:sz w:val="13"/>
                <w:szCs w:val="13"/>
                <w:color w:val="auto"/>
                <w:w w:val="96"/>
              </w:rPr>
              <w:t>(I.R.S. Employer</w:t>
            </w:r>
          </w:p>
        </w:tc>
      </w:tr>
      <w:tr>
        <w:trPr>
          <w:trHeight w:val="152"/>
        </w:trPr>
        <w:tc>
          <w:tcPr>
            <w:tcW w:w="3180" w:type="dxa"/>
            <w:vAlign w:val="bottom"/>
          </w:tcPr>
          <w:p>
            <w:pPr>
              <w:jc w:val="center"/>
              <w:ind w:left="557"/>
              <w:spacing w:after="0"/>
              <w:rPr>
                <w:sz w:val="20"/>
                <w:szCs w:val="20"/>
                <w:color w:val="auto"/>
              </w:rPr>
            </w:pPr>
            <w:r>
              <w:rPr>
                <w:rFonts w:ascii="Arial" w:cs="Arial" w:eastAsia="Arial" w:hAnsi="Arial"/>
                <w:sz w:val="13"/>
                <w:szCs w:val="13"/>
                <w:color w:val="auto"/>
                <w:w w:val="97"/>
              </w:rPr>
              <w:t>Incorporation or Organization)</w:t>
            </w:r>
          </w:p>
        </w:tc>
        <w:tc>
          <w:tcPr>
            <w:tcW w:w="4660" w:type="dxa"/>
            <w:vAlign w:val="bottom"/>
          </w:tcPr>
          <w:p>
            <w:pPr>
              <w:jc w:val="center"/>
              <w:ind w:left="357"/>
              <w:spacing w:after="0"/>
              <w:rPr>
                <w:sz w:val="20"/>
                <w:szCs w:val="20"/>
                <w:color w:val="auto"/>
              </w:rPr>
            </w:pPr>
            <w:r>
              <w:rPr>
                <w:rFonts w:ascii="Arial" w:cs="Arial" w:eastAsia="Arial" w:hAnsi="Arial"/>
                <w:sz w:val="13"/>
                <w:szCs w:val="13"/>
                <w:color w:val="auto"/>
                <w:w w:val="96"/>
              </w:rPr>
              <w:t>Classification Code Number)</w:t>
            </w:r>
          </w:p>
        </w:tc>
        <w:tc>
          <w:tcPr>
            <w:tcW w:w="3400" w:type="dxa"/>
            <w:vAlign w:val="bottom"/>
          </w:tcPr>
          <w:p>
            <w:pPr>
              <w:jc w:val="center"/>
              <w:ind w:right="137"/>
              <w:spacing w:after="0"/>
              <w:rPr>
                <w:sz w:val="20"/>
                <w:szCs w:val="20"/>
                <w:color w:val="auto"/>
              </w:rPr>
            </w:pPr>
            <w:r>
              <w:rPr>
                <w:rFonts w:ascii="Arial" w:cs="Arial" w:eastAsia="Arial" w:hAnsi="Arial"/>
                <w:sz w:val="13"/>
                <w:szCs w:val="13"/>
                <w:color w:val="auto"/>
                <w:w w:val="97"/>
              </w:rPr>
              <w:t>Identification Number)</w:t>
            </w:r>
          </w:p>
        </w:tc>
      </w:tr>
      <w:tr>
        <w:trPr>
          <w:trHeight w:val="224"/>
        </w:trPr>
        <w:tc>
          <w:tcPr>
            <w:tcW w:w="3180" w:type="dxa"/>
            <w:vAlign w:val="bottom"/>
          </w:tcPr>
          <w:p>
            <w:pPr>
              <w:spacing w:after="0"/>
              <w:rPr>
                <w:sz w:val="19"/>
                <w:szCs w:val="19"/>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5900 Penn Avenue</w:t>
            </w:r>
          </w:p>
        </w:tc>
        <w:tc>
          <w:tcPr>
            <w:tcW w:w="3400" w:type="dxa"/>
            <w:vAlign w:val="bottom"/>
          </w:tcPr>
          <w:p>
            <w:pPr>
              <w:spacing w:after="0"/>
              <w:rPr>
                <w:sz w:val="19"/>
                <w:szCs w:val="19"/>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Pittsburgh, Pennsylvania 15206</w:t>
            </w:r>
          </w:p>
        </w:tc>
        <w:tc>
          <w:tcPr>
            <w:tcW w:w="3400" w:type="dxa"/>
            <w:vAlign w:val="bottom"/>
          </w:tcPr>
          <w:p>
            <w:pPr>
              <w:spacing w:after="0"/>
              <w:rPr>
                <w:sz w:val="12"/>
                <w:szCs w:val="12"/>
                <w:color w:val="auto"/>
              </w:rPr>
            </w:pPr>
          </w:p>
        </w:tc>
      </w:tr>
      <w:tr>
        <w:trPr>
          <w:trHeight w:val="165"/>
        </w:trPr>
        <w:tc>
          <w:tcPr>
            <w:tcW w:w="3180" w:type="dxa"/>
            <w:vAlign w:val="bottom"/>
          </w:tcPr>
          <w:p>
            <w:pPr>
              <w:spacing w:after="0"/>
              <w:rPr>
                <w:sz w:val="14"/>
                <w:szCs w:val="14"/>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spacing w:after="0"/>
              <w:rPr>
                <w:sz w:val="14"/>
                <w:szCs w:val="14"/>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400" w:type="dxa"/>
            <w:vAlign w:val="bottom"/>
          </w:tcPr>
          <w:p>
            <w:pPr>
              <w:spacing w:after="0"/>
              <w:rPr>
                <w:sz w:val="12"/>
                <w:szCs w:val="12"/>
                <w:color w:val="auto"/>
              </w:rPr>
            </w:pPr>
          </w:p>
        </w:tc>
      </w:tr>
      <w:tr>
        <w:trPr>
          <w:trHeight w:val="152"/>
        </w:trPr>
        <w:tc>
          <w:tcPr>
            <w:tcW w:w="3180" w:type="dxa"/>
            <w:vAlign w:val="bottom"/>
          </w:tcPr>
          <w:p>
            <w:pPr>
              <w:spacing w:after="0"/>
              <w:rPr>
                <w:sz w:val="13"/>
                <w:szCs w:val="13"/>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color w:val="auto"/>
                <w:w w:val="96"/>
              </w:rPr>
              <w:t>Area Code, of Registrant’s Principal Executive Offices)</w:t>
            </w:r>
          </w:p>
        </w:tc>
        <w:tc>
          <w:tcPr>
            <w:tcW w:w="3400" w:type="dxa"/>
            <w:vAlign w:val="bottom"/>
          </w:tcPr>
          <w:p>
            <w:pPr>
              <w:spacing w:after="0"/>
              <w:rPr>
                <w:sz w:val="13"/>
                <w:szCs w:val="13"/>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r>
      <w:tr>
        <w:trPr>
          <w:trHeight w:val="215"/>
        </w:trPr>
        <w:tc>
          <w:tcPr>
            <w:tcW w:w="3180" w:type="dxa"/>
            <w:vAlign w:val="bottom"/>
          </w:tcPr>
          <w:p>
            <w:pPr>
              <w:spacing w:after="0"/>
              <w:rPr>
                <w:sz w:val="18"/>
                <w:szCs w:val="18"/>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Luis von Ahn</w:t>
            </w:r>
          </w:p>
        </w:tc>
        <w:tc>
          <w:tcPr>
            <w:tcW w:w="3400" w:type="dxa"/>
            <w:vAlign w:val="bottom"/>
          </w:tcPr>
          <w:p>
            <w:pPr>
              <w:spacing w:after="0"/>
              <w:rPr>
                <w:sz w:val="18"/>
                <w:szCs w:val="18"/>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Chief Executive Officer</w:t>
            </w:r>
          </w:p>
        </w:tc>
        <w:tc>
          <w:tcPr>
            <w:tcW w:w="3400" w:type="dxa"/>
            <w:vAlign w:val="bottom"/>
          </w:tcPr>
          <w:p>
            <w:pPr>
              <w:spacing w:after="0"/>
              <w:rPr>
                <w:sz w:val="12"/>
                <w:szCs w:val="12"/>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Duolingo, Inc.</w:t>
            </w:r>
          </w:p>
        </w:tc>
        <w:tc>
          <w:tcPr>
            <w:tcW w:w="3400" w:type="dxa"/>
            <w:vAlign w:val="bottom"/>
          </w:tcPr>
          <w:p>
            <w:pPr>
              <w:spacing w:after="0"/>
              <w:rPr>
                <w:sz w:val="12"/>
                <w:szCs w:val="12"/>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7"/>
              </w:rPr>
              <w:t>5900 Penn Avenue</w:t>
            </w:r>
          </w:p>
        </w:tc>
        <w:tc>
          <w:tcPr>
            <w:tcW w:w="340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b w:val="1"/>
                <w:bCs w:val="1"/>
                <w:color w:val="auto"/>
                <w:w w:val="96"/>
              </w:rPr>
              <w:t>Pittsburgh, Pennsylvania 15206</w:t>
            </w:r>
          </w:p>
        </w:tc>
        <w:tc>
          <w:tcPr>
            <w:tcW w:w="3400" w:type="dxa"/>
            <w:vAlign w:val="bottom"/>
          </w:tcPr>
          <w:p>
            <w:pPr>
              <w:spacing w:after="0"/>
              <w:rPr>
                <w:sz w:val="12"/>
                <w:szCs w:val="12"/>
                <w:color w:val="auto"/>
              </w:rPr>
            </w:pPr>
          </w:p>
        </w:tc>
      </w:tr>
      <w:tr>
        <w:trPr>
          <w:trHeight w:val="164"/>
        </w:trPr>
        <w:tc>
          <w:tcPr>
            <w:tcW w:w="3180" w:type="dxa"/>
            <w:vAlign w:val="bottom"/>
          </w:tcPr>
          <w:p>
            <w:pPr>
              <w:spacing w:after="0"/>
              <w:rPr>
                <w:sz w:val="14"/>
                <w:szCs w:val="14"/>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spacing w:after="0"/>
              <w:rPr>
                <w:sz w:val="14"/>
                <w:szCs w:val="14"/>
                <w:color w:val="auto"/>
              </w:rPr>
            </w:pPr>
          </w:p>
        </w:tc>
      </w:tr>
      <w:tr>
        <w:trPr>
          <w:trHeight w:val="148"/>
        </w:trPr>
        <w:tc>
          <w:tcPr>
            <w:tcW w:w="3180" w:type="dxa"/>
            <w:vAlign w:val="bottom"/>
          </w:tcPr>
          <w:p>
            <w:pPr>
              <w:spacing w:after="0"/>
              <w:rPr>
                <w:sz w:val="12"/>
                <w:szCs w:val="12"/>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color w:val="auto"/>
                <w:w w:val="96"/>
              </w:rPr>
              <w:t>(Name, Address, Including Zip Code, and Telephone Number, Including</w:t>
            </w:r>
          </w:p>
        </w:tc>
        <w:tc>
          <w:tcPr>
            <w:tcW w:w="3400" w:type="dxa"/>
            <w:vAlign w:val="bottom"/>
          </w:tcPr>
          <w:p>
            <w:pPr>
              <w:spacing w:after="0"/>
              <w:rPr>
                <w:sz w:val="12"/>
                <w:szCs w:val="12"/>
                <w:color w:val="auto"/>
              </w:rPr>
            </w:pPr>
          </w:p>
        </w:tc>
      </w:tr>
      <w:tr>
        <w:trPr>
          <w:trHeight w:val="152"/>
        </w:trPr>
        <w:tc>
          <w:tcPr>
            <w:tcW w:w="3180" w:type="dxa"/>
            <w:vAlign w:val="bottom"/>
          </w:tcPr>
          <w:p>
            <w:pPr>
              <w:spacing w:after="0"/>
              <w:rPr>
                <w:sz w:val="13"/>
                <w:szCs w:val="13"/>
                <w:color w:val="auto"/>
              </w:rPr>
            </w:pPr>
          </w:p>
        </w:tc>
        <w:tc>
          <w:tcPr>
            <w:tcW w:w="4660" w:type="dxa"/>
            <w:vAlign w:val="bottom"/>
          </w:tcPr>
          <w:p>
            <w:pPr>
              <w:jc w:val="center"/>
              <w:ind w:left="177"/>
              <w:spacing w:after="0"/>
              <w:rPr>
                <w:sz w:val="20"/>
                <w:szCs w:val="20"/>
                <w:color w:val="auto"/>
              </w:rPr>
            </w:pPr>
            <w:r>
              <w:rPr>
                <w:rFonts w:ascii="Arial" w:cs="Arial" w:eastAsia="Arial" w:hAnsi="Arial"/>
                <w:sz w:val="13"/>
                <w:szCs w:val="13"/>
                <w:color w:val="auto"/>
                <w:w w:val="96"/>
              </w:rPr>
              <w:t>Area Code, of Agent for Service)</w:t>
            </w:r>
          </w:p>
        </w:tc>
        <w:tc>
          <w:tcPr>
            <w:tcW w:w="3400" w:type="dxa"/>
            <w:vAlign w:val="bottom"/>
          </w:tcPr>
          <w:p>
            <w:pPr>
              <w:spacing w:after="0"/>
              <w:rPr>
                <w:sz w:val="13"/>
                <w:szCs w:val="13"/>
                <w:color w:val="auto"/>
              </w:rPr>
            </w:pPr>
          </w:p>
        </w:tc>
      </w:tr>
      <w:tr>
        <w:trPr>
          <w:trHeight w:val="84"/>
        </w:trPr>
        <w:tc>
          <w:tcPr>
            <w:tcW w:w="318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r>
      <w:tr>
        <w:trPr>
          <w:trHeight w:val="288"/>
        </w:trPr>
        <w:tc>
          <w:tcPr>
            <w:tcW w:w="3180" w:type="dxa"/>
            <w:vAlign w:val="bottom"/>
          </w:tcPr>
          <w:p>
            <w:pPr>
              <w:spacing w:after="0"/>
              <w:rPr>
                <w:sz w:val="24"/>
                <w:szCs w:val="24"/>
                <w:color w:val="auto"/>
              </w:rPr>
            </w:pPr>
          </w:p>
        </w:tc>
        <w:tc>
          <w:tcPr>
            <w:tcW w:w="4660" w:type="dxa"/>
            <w:vAlign w:val="bottom"/>
          </w:tcPr>
          <w:p>
            <w:pPr>
              <w:jc w:val="center"/>
              <w:ind w:left="157"/>
              <w:spacing w:after="0"/>
              <w:rPr>
                <w:sz w:val="20"/>
                <w:szCs w:val="20"/>
                <w:color w:val="auto"/>
              </w:rPr>
            </w:pPr>
            <w:r>
              <w:rPr>
                <w:rFonts w:ascii="Arial" w:cs="Arial" w:eastAsia="Arial" w:hAnsi="Arial"/>
                <w:sz w:val="13"/>
                <w:szCs w:val="13"/>
                <w:i w:val="1"/>
                <w:iCs w:val="1"/>
                <w:color w:val="auto"/>
                <w:w w:val="95"/>
              </w:rPr>
              <w:t>Copies to:</w:t>
            </w:r>
          </w:p>
        </w:tc>
        <w:tc>
          <w:tcPr>
            <w:tcW w:w="3400" w:type="dxa"/>
            <w:vAlign w:val="bottom"/>
          </w:tcPr>
          <w:p>
            <w:pPr>
              <w:spacing w:after="0"/>
              <w:rPr>
                <w:sz w:val="24"/>
                <w:szCs w:val="24"/>
                <w:color w:val="auto"/>
              </w:rPr>
            </w:pPr>
          </w:p>
        </w:tc>
      </w:tr>
      <w:tr>
        <w:trPr>
          <w:trHeight w:val="151"/>
        </w:trPr>
        <w:tc>
          <w:tcPr>
            <w:tcW w:w="3180" w:type="dxa"/>
            <w:vAlign w:val="bottom"/>
          </w:tcPr>
          <w:p>
            <w:pPr>
              <w:jc w:val="center"/>
              <w:ind w:left="497"/>
              <w:spacing w:after="0"/>
              <w:rPr>
                <w:sz w:val="20"/>
                <w:szCs w:val="20"/>
                <w:color w:val="auto"/>
              </w:rPr>
            </w:pPr>
            <w:r>
              <w:rPr>
                <w:rFonts w:ascii="Arial" w:cs="Arial" w:eastAsia="Arial" w:hAnsi="Arial"/>
                <w:sz w:val="13"/>
                <w:szCs w:val="13"/>
                <w:b w:val="1"/>
                <w:bCs w:val="1"/>
                <w:color w:val="auto"/>
                <w:w w:val="93"/>
              </w:rPr>
              <w:t>Tad J. Freese</w:t>
            </w:r>
          </w:p>
        </w:tc>
        <w:tc>
          <w:tcPr>
            <w:tcW w:w="4660" w:type="dxa"/>
            <w:vAlign w:val="bottom"/>
          </w:tcPr>
          <w:p>
            <w:pPr>
              <w:jc w:val="center"/>
              <w:ind w:left="137"/>
              <w:spacing w:after="0"/>
              <w:rPr>
                <w:sz w:val="20"/>
                <w:szCs w:val="20"/>
                <w:color w:val="auto"/>
              </w:rPr>
            </w:pPr>
            <w:r>
              <w:rPr>
                <w:rFonts w:ascii="Arial" w:cs="Arial" w:eastAsia="Arial" w:hAnsi="Arial"/>
                <w:sz w:val="13"/>
                <w:szCs w:val="13"/>
                <w:b w:val="1"/>
                <w:bCs w:val="1"/>
                <w:color w:val="auto"/>
                <w:w w:val="98"/>
              </w:rPr>
              <w:t>Stephen Chen</w:t>
            </w:r>
          </w:p>
        </w:tc>
        <w:tc>
          <w:tcPr>
            <w:tcW w:w="3400" w:type="dxa"/>
            <w:vAlign w:val="bottom"/>
          </w:tcPr>
          <w:p>
            <w:pPr>
              <w:jc w:val="center"/>
              <w:ind w:right="297"/>
              <w:spacing w:after="0"/>
              <w:rPr>
                <w:sz w:val="20"/>
                <w:szCs w:val="20"/>
                <w:color w:val="auto"/>
              </w:rPr>
            </w:pPr>
            <w:r>
              <w:rPr>
                <w:rFonts w:ascii="Arial" w:cs="Arial" w:eastAsia="Arial" w:hAnsi="Arial"/>
                <w:sz w:val="13"/>
                <w:szCs w:val="13"/>
                <w:b w:val="1"/>
                <w:bCs w:val="1"/>
                <w:color w:val="auto"/>
                <w:w w:val="97"/>
              </w:rPr>
              <w:t>Ryan J. Dzierniejko</w:t>
            </w:r>
          </w:p>
        </w:tc>
      </w:tr>
      <w:tr>
        <w:trPr>
          <w:trHeight w:val="122"/>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7"/>
              </w:rPr>
              <w:t>Benjamin A. Potter</w:t>
            </w:r>
          </w:p>
        </w:tc>
        <w:tc>
          <w:tcPr>
            <w:tcW w:w="4660" w:type="dxa"/>
            <w:vAlign w:val="bottom"/>
          </w:tcPr>
          <w:p>
            <w:pPr>
              <w:jc w:val="center"/>
              <w:ind w:left="157"/>
              <w:spacing w:after="0" w:line="122" w:lineRule="exact"/>
              <w:rPr>
                <w:sz w:val="20"/>
                <w:szCs w:val="20"/>
                <w:color w:val="auto"/>
              </w:rPr>
            </w:pPr>
            <w:r>
              <w:rPr>
                <w:rFonts w:ascii="Arial" w:cs="Arial" w:eastAsia="Arial" w:hAnsi="Arial"/>
                <w:sz w:val="13"/>
                <w:szCs w:val="13"/>
                <w:b w:val="1"/>
                <w:bCs w:val="1"/>
                <w:color w:val="auto"/>
                <w:w w:val="96"/>
              </w:rPr>
              <w:t>General Counsel</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7"/>
              </w:rPr>
              <w:t>Michelle Gasaway</w:t>
            </w:r>
          </w:p>
        </w:tc>
      </w:tr>
      <w:tr>
        <w:trPr>
          <w:trHeight w:val="121"/>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7"/>
              </w:rPr>
              <w:t>Alison A. Haggerty</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5"/>
              </w:rPr>
              <w:t>Duolingo, Inc.</w:t>
            </w:r>
          </w:p>
        </w:tc>
        <w:tc>
          <w:tcPr>
            <w:tcW w:w="3400" w:type="dxa"/>
            <w:vAlign w:val="bottom"/>
          </w:tcPr>
          <w:p>
            <w:pPr>
              <w:jc w:val="center"/>
              <w:ind w:right="277"/>
              <w:spacing w:after="0" w:line="122" w:lineRule="exact"/>
              <w:rPr>
                <w:sz w:val="20"/>
                <w:szCs w:val="20"/>
                <w:color w:val="auto"/>
              </w:rPr>
            </w:pPr>
            <w:r>
              <w:rPr>
                <w:rFonts w:ascii="Arial" w:cs="Arial" w:eastAsia="Arial" w:hAnsi="Arial"/>
                <w:sz w:val="13"/>
                <w:szCs w:val="13"/>
                <w:b w:val="1"/>
                <w:bCs w:val="1"/>
                <w:color w:val="auto"/>
                <w:w w:val="97"/>
              </w:rPr>
              <w:t>Skadden, Arps, Slate, Meagher &amp; Flom LLP</w:t>
            </w:r>
          </w:p>
        </w:tc>
      </w:tr>
      <w:tr>
        <w:trPr>
          <w:trHeight w:val="122"/>
        </w:trPr>
        <w:tc>
          <w:tcPr>
            <w:tcW w:w="3180" w:type="dxa"/>
            <w:vAlign w:val="bottom"/>
          </w:tcPr>
          <w:p>
            <w:pPr>
              <w:jc w:val="center"/>
              <w:ind w:left="517"/>
              <w:spacing w:after="0" w:line="122" w:lineRule="exact"/>
              <w:rPr>
                <w:sz w:val="20"/>
                <w:szCs w:val="20"/>
                <w:color w:val="auto"/>
              </w:rPr>
            </w:pPr>
            <w:r>
              <w:rPr>
                <w:rFonts w:ascii="Arial" w:cs="Arial" w:eastAsia="Arial" w:hAnsi="Arial"/>
                <w:sz w:val="13"/>
                <w:szCs w:val="13"/>
                <w:b w:val="1"/>
                <w:bCs w:val="1"/>
                <w:color w:val="auto"/>
                <w:w w:val="96"/>
              </w:rPr>
              <w:t>Latham &amp; Watkins LLP</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5"/>
              </w:rPr>
              <w:t>5900 Penn Avenue</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6"/>
              </w:rPr>
              <w:t>One Manhattan West,</w:t>
            </w:r>
          </w:p>
        </w:tc>
      </w:tr>
      <w:tr>
        <w:trPr>
          <w:trHeight w:val="121"/>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5"/>
              </w:rPr>
              <w:t>140 Scott Drive</w:t>
            </w:r>
          </w:p>
        </w:tc>
        <w:tc>
          <w:tcPr>
            <w:tcW w:w="46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97"/>
              </w:rPr>
              <w:t>Pittsburgh, Pennsylvania 15206</w:t>
            </w:r>
          </w:p>
        </w:tc>
        <w:tc>
          <w:tcPr>
            <w:tcW w:w="3400" w:type="dxa"/>
            <w:vAlign w:val="bottom"/>
          </w:tcPr>
          <w:p>
            <w:pPr>
              <w:jc w:val="center"/>
              <w:ind w:right="297"/>
              <w:spacing w:after="0" w:line="122" w:lineRule="exact"/>
              <w:rPr>
                <w:sz w:val="20"/>
                <w:szCs w:val="20"/>
                <w:color w:val="auto"/>
              </w:rPr>
            </w:pPr>
            <w:r>
              <w:rPr>
                <w:rFonts w:ascii="Arial" w:cs="Arial" w:eastAsia="Arial" w:hAnsi="Arial"/>
                <w:sz w:val="13"/>
                <w:szCs w:val="13"/>
                <w:b w:val="1"/>
                <w:bCs w:val="1"/>
                <w:color w:val="auto"/>
                <w:w w:val="96"/>
              </w:rPr>
              <w:t>New York, NY 10001</w:t>
            </w:r>
          </w:p>
        </w:tc>
      </w:tr>
      <w:tr>
        <w:trPr>
          <w:trHeight w:val="122"/>
        </w:trPr>
        <w:tc>
          <w:tcPr>
            <w:tcW w:w="3180" w:type="dxa"/>
            <w:vAlign w:val="bottom"/>
          </w:tcPr>
          <w:p>
            <w:pPr>
              <w:jc w:val="center"/>
              <w:ind w:left="497"/>
              <w:spacing w:after="0" w:line="122" w:lineRule="exact"/>
              <w:rPr>
                <w:sz w:val="20"/>
                <w:szCs w:val="20"/>
                <w:color w:val="auto"/>
              </w:rPr>
            </w:pPr>
            <w:r>
              <w:rPr>
                <w:rFonts w:ascii="Arial" w:cs="Arial" w:eastAsia="Arial" w:hAnsi="Arial"/>
                <w:sz w:val="13"/>
                <w:szCs w:val="13"/>
                <w:b w:val="1"/>
                <w:bCs w:val="1"/>
                <w:color w:val="auto"/>
                <w:w w:val="96"/>
              </w:rPr>
              <w:t>Menlo Park, California 94025</w:t>
            </w:r>
          </w:p>
        </w:tc>
        <w:tc>
          <w:tcPr>
            <w:tcW w:w="4660" w:type="dxa"/>
            <w:vAlign w:val="bottom"/>
          </w:tcPr>
          <w:p>
            <w:pPr>
              <w:jc w:val="center"/>
              <w:ind w:left="177"/>
              <w:spacing w:after="0" w:line="122" w:lineRule="exact"/>
              <w:rPr>
                <w:sz w:val="20"/>
                <w:szCs w:val="20"/>
                <w:color w:val="auto"/>
              </w:rPr>
            </w:pPr>
            <w:r>
              <w:rPr>
                <w:rFonts w:ascii="Arial" w:cs="Arial" w:eastAsia="Arial" w:hAnsi="Arial"/>
                <w:sz w:val="13"/>
                <w:szCs w:val="13"/>
                <w:b w:val="1"/>
                <w:bCs w:val="1"/>
                <w:color w:val="auto"/>
                <w:w w:val="96"/>
              </w:rPr>
              <w:t>(412) 567-6602</w:t>
            </w:r>
          </w:p>
        </w:tc>
        <w:tc>
          <w:tcPr>
            <w:tcW w:w="3400" w:type="dxa"/>
            <w:vAlign w:val="bottom"/>
          </w:tcPr>
          <w:p>
            <w:pPr>
              <w:jc w:val="center"/>
              <w:ind w:right="277"/>
              <w:spacing w:after="0" w:line="122" w:lineRule="exact"/>
              <w:rPr>
                <w:sz w:val="20"/>
                <w:szCs w:val="20"/>
                <w:color w:val="auto"/>
              </w:rPr>
            </w:pPr>
            <w:r>
              <w:rPr>
                <w:rFonts w:ascii="Arial" w:cs="Arial" w:eastAsia="Arial" w:hAnsi="Arial"/>
                <w:sz w:val="13"/>
                <w:szCs w:val="13"/>
                <w:b w:val="1"/>
                <w:bCs w:val="1"/>
                <w:color w:val="auto"/>
                <w:w w:val="96"/>
              </w:rPr>
              <w:t>(212) 735-3000</w:t>
            </w:r>
          </w:p>
        </w:tc>
      </w:tr>
      <w:tr>
        <w:trPr>
          <w:trHeight w:val="168"/>
        </w:trPr>
        <w:tc>
          <w:tcPr>
            <w:tcW w:w="3180" w:type="dxa"/>
            <w:vAlign w:val="bottom"/>
          </w:tcPr>
          <w:p>
            <w:pPr>
              <w:jc w:val="center"/>
              <w:ind w:left="497"/>
              <w:spacing w:after="0"/>
              <w:rPr>
                <w:sz w:val="20"/>
                <w:szCs w:val="20"/>
                <w:color w:val="auto"/>
              </w:rPr>
            </w:pPr>
            <w:r>
              <w:rPr>
                <w:rFonts w:ascii="Arial" w:cs="Arial" w:eastAsia="Arial" w:hAnsi="Arial"/>
                <w:sz w:val="13"/>
                <w:szCs w:val="13"/>
                <w:b w:val="1"/>
                <w:bCs w:val="1"/>
                <w:color w:val="auto"/>
                <w:w w:val="96"/>
              </w:rPr>
              <w:t>(650) 328-4600</w:t>
            </w:r>
          </w:p>
        </w:tc>
        <w:tc>
          <w:tcPr>
            <w:tcW w:w="4660" w:type="dxa"/>
            <w:vAlign w:val="bottom"/>
          </w:tcPr>
          <w:p>
            <w:pPr>
              <w:spacing w:after="0"/>
              <w:rPr>
                <w:sz w:val="14"/>
                <w:szCs w:val="14"/>
                <w:color w:val="auto"/>
              </w:rPr>
            </w:pPr>
          </w:p>
        </w:tc>
        <w:tc>
          <w:tcPr>
            <w:tcW w:w="3400" w:type="dxa"/>
            <w:vAlign w:val="bottom"/>
          </w:tcPr>
          <w:p>
            <w:pPr>
              <w:spacing w:after="0"/>
              <w:rPr>
                <w:sz w:val="14"/>
                <w:szCs w:val="1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2"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 w:lineRule="exact"/>
        <w:rPr>
          <w:sz w:val="24"/>
          <w:szCs w:val="24"/>
          <w:color w:val="auto"/>
        </w:rPr>
      </w:pPr>
    </w:p>
    <w:p>
      <w:pPr>
        <w:ind w:right="14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12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4" w:right="339" w:bottom="1440" w:gutter="0" w:footer="0" w:header="0"/>
        </w:sectPr>
      </w:pPr>
    </w:p>
    <w:p>
      <w:pPr>
        <w:spacing w:after="0" w:line="90"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800" w:space="720"/>
            <w:col w:w="6720" w:space="720"/>
            <w:col w:w="920" w:space="20"/>
            <w:col w:w="340"/>
          </w:cols>
          <w:pgMar w:left="320" w:top="644" w:right="33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4">
            <w:col w:w="1800" w:space="720"/>
            <w:col w:w="6120" w:space="720"/>
            <w:col w:w="1520" w:space="20"/>
            <w:col w:w="340"/>
          </w:cols>
          <w:pgMar w:left="320" w:top="644" w:right="339" w:bottom="1440" w:gutter="0" w:footer="0" w:header="0"/>
          <w:type w:val="continuous"/>
        </w:sectPr>
      </w:pPr>
    </w:p>
    <w:p>
      <w:pPr>
        <w:spacing w:after="0" w:line="20" w:lineRule="exact"/>
        <w:rPr>
          <w:sz w:val="24"/>
          <w:szCs w:val="24"/>
          <w:color w:val="auto"/>
        </w:rPr>
      </w:pPr>
    </w:p>
    <w:p>
      <w:pPr>
        <w:ind w:left="93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9" w:lineRule="exact"/>
        <w:rPr>
          <w:sz w:val="24"/>
          <w:szCs w:val="24"/>
          <w:color w:val="auto"/>
        </w:rPr>
      </w:pPr>
    </w:p>
    <w:p>
      <w:pPr>
        <w:sectPr>
          <w:pgSz w:w="11900" w:h="16838" w:orient="portrait"/>
          <w:cols w:equalWidth="0" w:num="2">
            <w:col w:w="10880" w:space="20"/>
            <w:col w:w="340"/>
          </w:cols>
          <w:pgMar w:left="320" w:top="644" w:right="339" w:bottom="1440" w:gutter="0" w:footer="0" w:header="0"/>
          <w:type w:val="continuous"/>
        </w:sectPr>
      </w:pPr>
    </w:p>
    <w:p>
      <w:pPr>
        <w:ind w:right="44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284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Title of Each Class of Securities to be</w:t>
            </w:r>
          </w:p>
        </w:tc>
        <w:tc>
          <w:tcPr>
            <w:tcW w:w="21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Amount to be Registered(1)</w:t>
            </w:r>
          </w:p>
        </w:tc>
        <w:tc>
          <w:tcPr>
            <w:tcW w:w="210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Proposed Maximum Offering</w:t>
            </w:r>
          </w:p>
        </w:tc>
        <w:tc>
          <w:tcPr>
            <w:tcW w:w="2120" w:type="dxa"/>
            <w:vAlign w:val="bottom"/>
            <w:tcBorders>
              <w:top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Proposed Maximum</w:t>
            </w:r>
          </w:p>
        </w:tc>
        <w:tc>
          <w:tcPr>
            <w:tcW w:w="20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72"/>
        </w:trPr>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Registered</w:t>
            </w:r>
          </w:p>
        </w:tc>
        <w:tc>
          <w:tcPr>
            <w:tcW w:w="2100" w:type="dxa"/>
            <w:vAlign w:val="bottom"/>
            <w:tcBorders>
              <w:bottom w:val="single" w:sz="8" w:color="auto"/>
              <w:right w:val="single" w:sz="8" w:color="auto"/>
            </w:tcBorders>
            <w:vMerge w:val="continue"/>
          </w:tcPr>
          <w:p>
            <w:pPr>
              <w:spacing w:after="0"/>
              <w:rPr>
                <w:sz w:val="14"/>
                <w:szCs w:val="14"/>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 Per Share(2)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Aggregate Offering Price(2)</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Registration Fee(3)</w:t>
            </w:r>
          </w:p>
        </w:tc>
        <w:tc>
          <w:tcPr>
            <w:tcW w:w="0" w:type="dxa"/>
            <w:vAlign w:val="bottom"/>
          </w:tcPr>
          <w:p>
            <w:pPr>
              <w:spacing w:after="0"/>
              <w:rPr>
                <w:sz w:val="1"/>
                <w:szCs w:val="1"/>
                <w:color w:val="auto"/>
              </w:rPr>
            </w:pPr>
          </w:p>
        </w:tc>
      </w:tr>
      <w:tr>
        <w:trPr>
          <w:trHeight w:val="126"/>
        </w:trPr>
        <w:tc>
          <w:tcPr>
            <w:tcW w:w="28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Class A common stock, $0.0001 par value per</w:t>
            </w:r>
          </w:p>
        </w:tc>
        <w:tc>
          <w:tcPr>
            <w:tcW w:w="2100" w:type="dxa"/>
            <w:vAlign w:val="bottom"/>
            <w:tcBorders>
              <w:right w:val="single" w:sz="8" w:color="auto"/>
            </w:tcBorders>
            <w:vMerge w:val="restart"/>
          </w:tcPr>
          <w:p>
            <w:pPr>
              <w:jc w:val="right"/>
              <w:ind w:right="717"/>
              <w:spacing w:after="0"/>
              <w:rPr>
                <w:sz w:val="20"/>
                <w:szCs w:val="20"/>
                <w:color w:val="auto"/>
              </w:rPr>
            </w:pPr>
            <w:r>
              <w:rPr>
                <w:rFonts w:ascii="Arial" w:cs="Arial" w:eastAsia="Arial" w:hAnsi="Arial"/>
                <w:sz w:val="13"/>
                <w:szCs w:val="13"/>
                <w:color w:val="auto"/>
              </w:rPr>
              <w:t>5,872,029</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$100.00</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$587,202,900</w:t>
            </w:r>
          </w:p>
        </w:tc>
        <w:tc>
          <w:tcPr>
            <w:tcW w:w="2080" w:type="dxa"/>
            <w:vAlign w:val="bottom"/>
            <w:vMerge w:val="restart"/>
          </w:tcPr>
          <w:p>
            <w:pPr>
              <w:jc w:val="center"/>
              <w:spacing w:after="0"/>
              <w:rPr>
                <w:sz w:val="20"/>
                <w:szCs w:val="20"/>
                <w:color w:val="auto"/>
              </w:rPr>
            </w:pPr>
            <w:r>
              <w:rPr>
                <w:rFonts w:ascii="Arial" w:cs="Arial" w:eastAsia="Arial" w:hAnsi="Arial"/>
                <w:sz w:val="13"/>
                <w:szCs w:val="13"/>
                <w:color w:val="auto"/>
                <w:w w:val="97"/>
              </w:rPr>
              <w:t>$64,064</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share</w:t>
            </w:r>
          </w:p>
        </w:tc>
        <w:tc>
          <w:tcPr>
            <w:tcW w:w="2100" w:type="dxa"/>
            <w:vAlign w:val="bottom"/>
            <w:tcBorders>
              <w:bottom w:val="single" w:sz="8" w:color="auto"/>
              <w:right w:val="single" w:sz="8" w:color="auto"/>
            </w:tcBorders>
            <w:vMerge w:val="continue"/>
          </w:tcPr>
          <w:p>
            <w:pPr>
              <w:spacing w:after="0"/>
              <w:rPr>
                <w:sz w:val="14"/>
                <w:szCs w:val="14"/>
                <w:color w:val="auto"/>
              </w:rPr>
            </w:pPr>
          </w:p>
        </w:tc>
        <w:tc>
          <w:tcPr>
            <w:tcW w:w="2100" w:type="dxa"/>
            <w:vAlign w:val="bottom"/>
            <w:tcBorders>
              <w:bottom w:val="single" w:sz="8" w:color="auto"/>
              <w:right w:val="single" w:sz="8" w:color="auto"/>
            </w:tcBorders>
            <w:vMerge w:val="continue"/>
          </w:tcPr>
          <w:p>
            <w:pPr>
              <w:spacing w:after="0"/>
              <w:rPr>
                <w:sz w:val="14"/>
                <w:szCs w:val="14"/>
                <w:color w:val="auto"/>
              </w:rPr>
            </w:pPr>
          </w:p>
        </w:tc>
        <w:tc>
          <w:tcPr>
            <w:tcW w:w="2120" w:type="dxa"/>
            <w:vAlign w:val="bottom"/>
            <w:tcBorders>
              <w:bottom w:val="single" w:sz="8" w:color="auto"/>
              <w:right w:val="single" w:sz="8" w:color="auto"/>
            </w:tcBorders>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765,916 additional shares that the underwriters have the option to purchase.</w:t>
      </w:r>
    </w:p>
    <w:p>
      <w:pPr>
        <w:ind w:left="240" w:hanging="232"/>
        <w:spacing w:after="0" w:line="230" w:lineRule="auto"/>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in accordance with Rule 457(a) under the Securities Act of 1933, as amended.</w:t>
      </w:r>
    </w:p>
    <w:p>
      <w:pPr>
        <w:ind w:left="240" w:hanging="232"/>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The registrant previously paid $60,861 in connection with previous filings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4"/>
          <w:szCs w:val="24"/>
          <w:color w:val="auto"/>
        </w:rPr>
      </w:pPr>
    </w:p>
    <w:p>
      <w:pPr>
        <w:ind w:right="300"/>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right="240"/>
        <w:spacing w:after="0" w:line="249" w:lineRule="auto"/>
        <w:rPr>
          <w:sz w:val="20"/>
          <w:szCs w:val="20"/>
          <w:color w:val="auto"/>
        </w:rPr>
      </w:pPr>
      <w:r>
        <w:rPr>
          <w:rFonts w:ascii="Arial" w:cs="Arial" w:eastAsia="Arial" w:hAnsi="Arial"/>
          <w:sz w:val="14"/>
          <w:szCs w:val="14"/>
          <w:color w:val="F1665F"/>
        </w:rPr>
        <w:t>The information in this preliminary prospectus is not complete and may be changed. Neither we nor the selling stockholders may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F1665F"/>
        </w:rPr>
        <w:t>Subject to Completion, dated July 26, 2021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Duolingo,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33020</wp:posOffset>
            </wp:positionV>
            <wp:extent cx="3215005" cy="779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5005" cy="779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5,106,113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This is an initial public offering of shares of Class A common stock of Duolingo, Inc. We are offering 3,700,000 shares of our Class A common stock, and the selling stockholders identified in this prospectus are offering 1,406,113 shares of Class A common stock. We will not receive any proceeds from the sale of shares of Class A common stock by the selling stockholders.</w:t>
      </w:r>
    </w:p>
    <w:p>
      <w:pPr>
        <w:spacing w:after="0" w:line="147"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Prior to this offering, there has been no public market for our Class A common stock. It is currently estimated that the initial public offering price will be between $95.00 and $100.00 per share. Our Class A common stock has been approved for listing on the Nasdaq Global Select Market under the symbol “DUOL.”</w:t>
      </w:r>
    </w:p>
    <w:p>
      <w:pPr>
        <w:spacing w:after="0" w:line="14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14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have two classes of common stock, Class A and Class B common stock (collectively, our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 Outstanding shares of Class B common stock will represent approximately 97.8% of the voting power of our outstanding capital stock immediately following this offering, with our directors, executive officers, and 5% stockholders and their respective affiliates representing approximately 91.5% of the voting power.</w:t>
      </w:r>
    </w:p>
    <w:p>
      <w:pPr>
        <w:spacing w:after="0" w:line="129" w:lineRule="exact"/>
        <w:rPr>
          <w:sz w:val="20"/>
          <w:szCs w:val="20"/>
          <w:color w:val="auto"/>
        </w:rPr>
      </w:pPr>
    </w:p>
    <w:p>
      <w:pPr>
        <w:ind w:right="22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Class A common stock involves a high degree of risk. See the section titled “</w:t>
      </w:r>
      <w:hyperlink w:anchor="page27">
        <w:r>
          <w:rPr>
            <w:rFonts w:ascii="Arial" w:cs="Arial" w:eastAsia="Arial" w:hAnsi="Arial"/>
            <w:sz w:val="16"/>
            <w:szCs w:val="16"/>
            <w:b w:val="1"/>
            <w:bCs w:val="1"/>
            <w:u w:val="single" w:color="auto"/>
            <w:color w:val="0000FF"/>
          </w:rPr>
          <w:t>Risk Factors</w:t>
        </w:r>
      </w:hyperlink>
      <w:r>
        <w:rPr>
          <w:rFonts w:ascii="Arial" w:cs="Arial" w:eastAsia="Arial" w:hAnsi="Arial"/>
          <w:sz w:val="16"/>
          <w:szCs w:val="16"/>
          <w:b w:val="1"/>
          <w:bCs w:val="1"/>
          <w:color w:val="auto"/>
        </w:rPr>
        <w:t>” beginning on page 21 to read about factors you should consider before buying shares of our Class A common stock.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23"/>
        </w:trPr>
        <w:tc>
          <w:tcPr>
            <w:tcW w:w="8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commissions(1)</w:t>
            </w: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before expenses, to us</w:t>
            </w:r>
          </w:p>
        </w:tc>
        <w:tc>
          <w:tcPr>
            <w:tcW w:w="1560" w:type="dxa"/>
            <w:vAlign w:val="bottom"/>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stockholders</w:t>
            </w: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4"/>
              <w:spacing w:after="0"/>
              <w:rPr>
                <w:sz w:val="20"/>
                <w:szCs w:val="20"/>
                <w:color w:val="auto"/>
              </w:rPr>
            </w:pPr>
            <w:r>
              <w:rPr>
                <w:rFonts w:ascii="Arial" w:cs="Arial" w:eastAsia="Arial" w:hAnsi="Arial"/>
                <w:sz w:val="18"/>
                <w:szCs w:val="18"/>
                <w:color w:val="auto"/>
                <w:w w:val="99"/>
              </w:rPr>
              <w:t>$</w:t>
            </w:r>
          </w:p>
        </w:tc>
      </w:tr>
      <w:tr>
        <w:trPr>
          <w:trHeight w:val="261"/>
        </w:trPr>
        <w:tc>
          <w:tcPr>
            <w:tcW w:w="8020" w:type="dxa"/>
            <w:vAlign w:val="bottom"/>
          </w:tcPr>
          <w:p>
            <w:pPr>
              <w:spacing w:after="0"/>
              <w:rPr>
                <w:sz w:val="20"/>
                <w:szCs w:val="20"/>
                <w:color w:val="auto"/>
              </w:rPr>
            </w:pPr>
            <w:r>
              <w:rPr>
                <w:rFonts w:ascii="Arial" w:cs="Arial" w:eastAsia="Arial" w:hAnsi="Arial"/>
                <w:sz w:val="14"/>
                <w:szCs w:val="14"/>
                <w:color w:val="auto"/>
              </w:rPr>
              <w:t>______________</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72"/>
        </w:trPr>
        <w:tc>
          <w:tcPr>
            <w:tcW w:w="8020" w:type="dxa"/>
            <w:vAlign w:val="bottom"/>
          </w:tcPr>
          <w:p>
            <w:pPr>
              <w:spacing w:after="0"/>
              <w:rPr>
                <w:sz w:val="20"/>
                <w:szCs w:val="20"/>
                <w:color w:val="auto"/>
              </w:rPr>
            </w:pPr>
            <w:r>
              <w:rPr>
                <w:rFonts w:ascii="Arial" w:cs="Arial" w:eastAsia="Arial" w:hAnsi="Arial"/>
                <w:sz w:val="14"/>
                <w:szCs w:val="14"/>
                <w:color w:val="auto"/>
              </w:rPr>
              <w:t>(1)  See the section titled “Underwriting” for a description of the compensation payable to the underwriters.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149" w:lineRule="exact"/>
        <w:rPr>
          <w:sz w:val="20"/>
          <w:szCs w:val="20"/>
          <w:color w:val="auto"/>
        </w:rPr>
      </w:pPr>
    </w:p>
    <w:p>
      <w:pPr>
        <w:jc w:val="both"/>
        <w:ind w:right="620"/>
        <w:spacing w:after="0" w:line="260" w:lineRule="auto"/>
        <w:rPr>
          <w:sz w:val="20"/>
          <w:szCs w:val="20"/>
          <w:color w:val="auto"/>
        </w:rPr>
      </w:pPr>
      <w:r>
        <w:rPr>
          <w:rFonts w:ascii="Arial" w:cs="Arial" w:eastAsia="Arial" w:hAnsi="Arial"/>
          <w:sz w:val="16"/>
          <w:szCs w:val="16"/>
          <w:color w:val="auto"/>
        </w:rPr>
        <w:t>To the extent that the underwriters sell more than 5,106,113 shares of Class A common stock, the underwriters have the option to purchase up to an additional 765,916 shares from us at the initial public offering price less the underwriting discount.</w:t>
      </w:r>
    </w:p>
    <w:p>
      <w:pPr>
        <w:spacing w:after="0" w:line="12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b w:val="1"/>
          <w:bCs w:val="1"/>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ectPr>
          <w:pgSz w:w="11900" w:h="16838" w:orient="portrait"/>
          <w:cols w:equalWidth="0" w:num="1">
            <w:col w:w="11240"/>
          </w:cols>
          <w:pgMar w:left="320" w:top="144"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expect to deliver the shares of Class A common stock to purchasers on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 2021.</w:t>
      </w:r>
    </w:p>
    <w:p>
      <w:pPr>
        <w:spacing w:after="0" w:line="98" w:lineRule="exact"/>
        <w:rPr>
          <w:sz w:val="20"/>
          <w:szCs w:val="20"/>
          <w:color w:val="auto"/>
        </w:rPr>
      </w:pPr>
    </w:p>
    <w:p>
      <w:pPr>
        <w:sectPr>
          <w:pgSz w:w="11900" w:h="16838" w:orient="portrait"/>
          <w:cols w:equalWidth="0" w:num="2">
            <w:col w:w="6600" w:space="720"/>
            <w:col w:w="3920"/>
          </w:cols>
          <w:pgMar w:left="320" w:top="144" w:right="339" w:bottom="1440" w:gutter="0" w:footer="0" w:header="0"/>
          <w:type w:val="continuous"/>
        </w:sectPr>
      </w:pPr>
    </w:p>
    <w:p>
      <w:pPr>
        <w:ind w:left="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Allen &amp; Company LLC</w:t>
      </w:r>
    </w:p>
    <w:p>
      <w:pPr>
        <w:spacing w:after="0" w:line="168" w:lineRule="exact"/>
        <w:rPr>
          <w:sz w:val="20"/>
          <w:szCs w:val="20"/>
          <w:color w:val="auto"/>
        </w:rPr>
      </w:pPr>
    </w:p>
    <w:p>
      <w:pPr>
        <w:sectPr>
          <w:pgSz w:w="11900" w:h="16838" w:orient="portrait"/>
          <w:cols w:equalWidth="0" w:num="2">
            <w:col w:w="8040" w:space="720"/>
            <w:col w:w="2480"/>
          </w:cols>
          <w:pgMar w:left="320" w:top="144"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BofA Securities</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7"/>
          <w:szCs w:val="17"/>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Evercore ISI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William Blair</w:t>
      </w:r>
    </w:p>
    <w:p>
      <w:pPr>
        <w:spacing w:after="0" w:line="196" w:lineRule="exact"/>
        <w:rPr>
          <w:sz w:val="20"/>
          <w:szCs w:val="20"/>
          <w:color w:val="auto"/>
        </w:rPr>
      </w:pPr>
    </w:p>
    <w:p>
      <w:pPr>
        <w:sectPr>
          <w:pgSz w:w="11900" w:h="16838" w:orient="portrait"/>
          <w:cols w:equalWidth="0" w:num="4">
            <w:col w:w="3080" w:space="720"/>
            <w:col w:w="2420" w:space="720"/>
            <w:col w:w="2420" w:space="720"/>
            <w:col w:w="1160"/>
          </w:cols>
          <w:pgMar w:left="320" w:top="144"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KeyBanc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JMP Securities,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Piper Sandler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Raymond James</w:t>
      </w:r>
    </w:p>
    <w:p>
      <w:pPr>
        <w:spacing w:after="0" w:line="153" w:lineRule="exact"/>
        <w:rPr>
          <w:sz w:val="20"/>
          <w:szCs w:val="20"/>
          <w:color w:val="auto"/>
        </w:rPr>
      </w:pPr>
    </w:p>
    <w:p>
      <w:pPr>
        <w:sectPr>
          <w:pgSz w:w="11900" w:h="16838" w:orient="portrait"/>
          <w:cols w:equalWidth="0" w:num="4">
            <w:col w:w="2880" w:space="720"/>
            <w:col w:w="2760" w:space="720"/>
            <w:col w:w="1960" w:space="720"/>
            <w:col w:w="1480"/>
          </w:cols>
          <w:pgMar w:left="320" w:top="144" w:right="339" w:bottom="1440" w:gutter="0" w:footer="0" w:header="0"/>
          <w:type w:val="continuous"/>
        </w:sectPr>
      </w:pPr>
    </w:p>
    <w:p>
      <w:pPr>
        <w:ind w:left="402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w:t>
      </w:r>
    </w:p>
    <w:p>
      <w:pPr>
        <w:sectPr>
          <w:pgSz w:w="11900" w:h="16838" w:orient="portrait"/>
          <w:cols w:equalWidth="0" w:num="2">
            <w:col w:w="6000" w:space="720"/>
            <w:col w:w="4520"/>
          </w:cols>
          <w:pgMar w:left="320" w:top="144" w:right="3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7003415" cy="905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03415"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74"/>
        </w:trPr>
        <w:tc>
          <w:tcPr>
            <w:tcW w:w="1560" w:type="dxa"/>
            <w:vAlign w:val="bottom"/>
            <w:gridSpan w:val="8"/>
          </w:tcPr>
          <w:p>
            <w:pPr>
              <w:spacing w:after="0" w:line="174" w:lineRule="exact"/>
              <w:rPr>
                <w:rFonts w:ascii="Arial" w:cs="Arial" w:eastAsia="Arial" w:hAnsi="Arial"/>
                <w:sz w:val="16"/>
                <w:szCs w:val="16"/>
                <w:color w:val="0000FF"/>
              </w:rPr>
            </w:pPr>
            <w:hyperlink w:anchor="page7">
              <w:r>
                <w:rPr>
                  <w:rFonts w:ascii="Arial" w:cs="Arial" w:eastAsia="Arial" w:hAnsi="Arial"/>
                  <w:sz w:val="16"/>
                  <w:szCs w:val="16"/>
                  <w:color w:val="0000FF"/>
                </w:rPr>
                <w:t>Prospectus Summary</w:t>
              </w:r>
            </w:hyperlink>
          </w:p>
        </w:tc>
        <w:tc>
          <w:tcPr>
            <w:tcW w:w="4820" w:type="dxa"/>
            <w:vAlign w:val="bottom"/>
            <w:gridSpan w:val="11"/>
          </w:tcPr>
          <w:p>
            <w:pPr>
              <w:spacing w:after="0"/>
              <w:rPr>
                <w:sz w:val="15"/>
                <w:szCs w:val="15"/>
                <w:color w:val="auto"/>
              </w:rPr>
            </w:pPr>
          </w:p>
        </w:tc>
        <w:tc>
          <w:tcPr>
            <w:tcW w:w="4820" w:type="dxa"/>
            <w:vAlign w:val="bottom"/>
            <w:gridSpan w:val="3"/>
          </w:tcPr>
          <w:p>
            <w:pPr>
              <w:jc w:val="right"/>
              <w:spacing w:after="0" w:line="174" w:lineRule="exact"/>
              <w:rPr>
                <w:rFonts w:ascii="Arial" w:cs="Arial" w:eastAsia="Arial" w:hAnsi="Arial"/>
                <w:sz w:val="16"/>
                <w:szCs w:val="16"/>
                <w:color w:val="0000FF"/>
              </w:rPr>
            </w:pPr>
            <w:hyperlink w:anchor="page7">
              <w:r>
                <w:rPr>
                  <w:rFonts w:ascii="Arial" w:cs="Arial" w:eastAsia="Arial" w:hAnsi="Arial"/>
                  <w:sz w:val="16"/>
                  <w:szCs w:val="16"/>
                  <w:color w:val="0000FF"/>
                </w:rPr>
                <w:t>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560" w:type="dxa"/>
            <w:vAlign w:val="bottom"/>
            <w:gridSpan w:val="8"/>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Risk Factors</w:t>
              </w:r>
            </w:hyperlink>
          </w:p>
        </w:tc>
        <w:tc>
          <w:tcPr>
            <w:tcW w:w="4820" w:type="dxa"/>
            <w:vAlign w:val="bottom"/>
            <w:gridSpan w:val="11"/>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Special Note Regarding Forward-Looking Statements</w:t>
              </w:r>
            </w:hyperlink>
          </w:p>
        </w:tc>
        <w:tc>
          <w:tcPr>
            <w:tcW w:w="4820" w:type="dxa"/>
            <w:vAlign w:val="bottom"/>
            <w:gridSpan w:val="3"/>
          </w:tcPr>
          <w:p>
            <w:pPr>
              <w:jc w:val="right"/>
              <w:spacing w:after="0"/>
              <w:rPr>
                <w:rFonts w:ascii="Arial" w:cs="Arial" w:eastAsia="Arial" w:hAnsi="Arial"/>
                <w:sz w:val="16"/>
                <w:szCs w:val="16"/>
                <w:color w:val="0000FF"/>
              </w:rPr>
            </w:pPr>
            <w:hyperlink w:anchor="page73">
              <w:r>
                <w:rPr>
                  <w:rFonts w:ascii="Arial" w:cs="Arial" w:eastAsia="Arial" w:hAnsi="Arial"/>
                  <w:sz w:val="16"/>
                  <w:szCs w:val="16"/>
                  <w:color w:val="0000FF"/>
                </w:rPr>
                <w:t>67</w:t>
              </w:r>
            </w:hyperlink>
          </w:p>
        </w:tc>
      </w:tr>
      <w:tr>
        <w:trPr>
          <w:trHeight w:val="196"/>
        </w:trPr>
        <w:tc>
          <w:tcPr>
            <w:tcW w:w="3860" w:type="dxa"/>
            <w:vAlign w:val="bottom"/>
            <w:tcBorders>
              <w:top w:val="single" w:sz="8" w:color="0000FF"/>
            </w:tcBorders>
            <w:gridSpan w:val="17"/>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Market and Industry Data</w:t>
              </w:r>
            </w:hyperlink>
          </w:p>
        </w:tc>
        <w:tc>
          <w:tcPr>
            <w:tcW w:w="2520" w:type="dxa"/>
            <w:vAlign w:val="bottom"/>
            <w:gridSpan w:val="2"/>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75">
              <w:r>
                <w:rPr>
                  <w:rFonts w:ascii="Arial" w:cs="Arial" w:eastAsia="Arial" w:hAnsi="Arial"/>
                  <w:sz w:val="16"/>
                  <w:szCs w:val="16"/>
                  <w:color w:val="0000FF"/>
                  <w:w w:val="89"/>
                </w:rPr>
                <w:t>69</w:t>
              </w:r>
            </w:hyperlink>
          </w:p>
        </w:tc>
      </w:tr>
      <w:tr>
        <w:trPr>
          <w:trHeight w:val="196"/>
        </w:trPr>
        <w:tc>
          <w:tcPr>
            <w:tcW w:w="1820" w:type="dxa"/>
            <w:vAlign w:val="bottom"/>
            <w:tcBorders>
              <w:top w:val="single" w:sz="8" w:color="0000FF"/>
            </w:tcBorders>
            <w:gridSpan w:val="10"/>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Use of Proceeds</w:t>
              </w:r>
            </w:hyperlink>
          </w:p>
        </w:tc>
        <w:tc>
          <w:tcPr>
            <w:tcW w:w="4560" w:type="dxa"/>
            <w:vAlign w:val="bottom"/>
            <w:gridSpan w:val="9"/>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70</w:t>
              </w:r>
            </w:hyperlink>
          </w:p>
        </w:tc>
      </w:tr>
      <w:tr>
        <w:trPr>
          <w:trHeight w:val="196"/>
        </w:trPr>
        <w:tc>
          <w:tcPr>
            <w:tcW w:w="1120" w:type="dxa"/>
            <w:vAlign w:val="bottom"/>
            <w:tcBorders>
              <w:top w:val="single" w:sz="8" w:color="0000FF"/>
              <w:bottom w:val="single" w:sz="8" w:color="0000FF"/>
            </w:tcBorders>
            <w:gridSpan w:val="6"/>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Dividend Policy</w:t>
              </w:r>
            </w:hyperlink>
          </w:p>
        </w:tc>
        <w:tc>
          <w:tcPr>
            <w:tcW w:w="80" w:type="dxa"/>
            <w:vAlign w:val="bottom"/>
            <w:tcBorders>
              <w:top w:val="single" w:sz="8" w:color="0000FF"/>
            </w:tcBorders>
          </w:tcPr>
          <w:p>
            <w:pPr>
              <w:spacing w:after="0"/>
              <w:rPr>
                <w:sz w:val="17"/>
                <w:szCs w:val="17"/>
                <w:color w:val="auto"/>
              </w:rPr>
            </w:pPr>
          </w:p>
        </w:tc>
        <w:tc>
          <w:tcPr>
            <w:tcW w:w="5180" w:type="dxa"/>
            <w:vAlign w:val="bottom"/>
            <w:gridSpan w:val="12"/>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89"/>
              </w:rPr>
            </w:pPr>
            <w:hyperlink w:anchor="page77">
              <w:r>
                <w:rPr>
                  <w:rFonts w:ascii="Arial" w:cs="Arial" w:eastAsia="Arial" w:hAnsi="Arial"/>
                  <w:sz w:val="16"/>
                  <w:szCs w:val="16"/>
                  <w:color w:val="0000FF"/>
                  <w:w w:val="89"/>
                </w:rPr>
                <w:t>71</w:t>
              </w:r>
            </w:hyperlink>
          </w:p>
        </w:tc>
      </w:tr>
      <w:tr>
        <w:trPr>
          <w:trHeight w:val="196"/>
        </w:trPr>
        <w:tc>
          <w:tcPr>
            <w:tcW w:w="98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78">
              <w:r>
                <w:rPr>
                  <w:rFonts w:ascii="Arial" w:cs="Arial" w:eastAsia="Arial" w:hAnsi="Arial"/>
                  <w:sz w:val="16"/>
                  <w:szCs w:val="16"/>
                  <w:color w:val="0000FF"/>
                  <w:w w:val="99"/>
                </w:rPr>
                <w:t>Capitalization</w:t>
              </w:r>
            </w:hyperlink>
          </w:p>
        </w:tc>
        <w:tc>
          <w:tcPr>
            <w:tcW w:w="5400" w:type="dxa"/>
            <w:vAlign w:val="bottom"/>
            <w:gridSpan w:val="14"/>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72</w:t>
              </w:r>
            </w:hyperlink>
          </w:p>
        </w:tc>
      </w:tr>
      <w:tr>
        <w:trPr>
          <w:trHeight w:val="196"/>
        </w:trPr>
        <w:tc>
          <w:tcPr>
            <w:tcW w:w="6380" w:type="dxa"/>
            <w:vAlign w:val="bottom"/>
            <w:gridSpan w:val="19"/>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Dilution</w:t>
              </w:r>
            </w:hyperlink>
          </w:p>
        </w:tc>
        <w:tc>
          <w:tcPr>
            <w:tcW w:w="4820" w:type="dxa"/>
            <w:vAlign w:val="bottom"/>
            <w:gridSpan w:val="3"/>
          </w:tcPr>
          <w:p>
            <w:pPr>
              <w:jc w:val="right"/>
              <w:spacing w:after="0"/>
              <w:rPr>
                <w:rFonts w:ascii="Arial" w:cs="Arial" w:eastAsia="Arial" w:hAnsi="Arial"/>
                <w:sz w:val="16"/>
                <w:szCs w:val="16"/>
                <w:color w:val="0000FF"/>
              </w:rPr>
            </w:pPr>
            <w:hyperlink w:anchor="page80">
              <w:r>
                <w:rPr>
                  <w:rFonts w:ascii="Arial" w:cs="Arial" w:eastAsia="Arial" w:hAnsi="Arial"/>
                  <w:sz w:val="16"/>
                  <w:szCs w:val="16"/>
                  <w:color w:val="0000FF"/>
                </w:rPr>
                <w:t>74</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480" w:type="dxa"/>
            <w:vAlign w:val="bottom"/>
            <w:tcBorders>
              <w:bottom w:val="single" w:sz="8" w:color="0000FF"/>
            </w:tcBorders>
            <w:gridSpan w:val="16"/>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Selected Consolidated Financial and Other Data</w:t>
              </w:r>
            </w:hyperlink>
          </w:p>
        </w:tc>
        <w:tc>
          <w:tcPr>
            <w:tcW w:w="2900" w:type="dxa"/>
            <w:vAlign w:val="bottom"/>
            <w:gridSpan w:val="3"/>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82">
              <w:r>
                <w:rPr>
                  <w:rFonts w:ascii="Arial" w:cs="Arial" w:eastAsia="Arial" w:hAnsi="Arial"/>
                  <w:sz w:val="16"/>
                  <w:szCs w:val="16"/>
                  <w:color w:val="0000FF"/>
                  <w:w w:val="89"/>
                </w:rPr>
                <w:t>76</w:t>
              </w:r>
            </w:hyperlink>
          </w:p>
        </w:tc>
      </w:tr>
      <w:tr>
        <w:trPr>
          <w:trHeight w:val="196"/>
        </w:trPr>
        <w:tc>
          <w:tcPr>
            <w:tcW w:w="6380" w:type="dxa"/>
            <w:vAlign w:val="bottom"/>
            <w:tcBorders>
              <w:bottom w:val="single" w:sz="8" w:color="0000FF"/>
            </w:tcBorders>
            <w:gridSpan w:val="19"/>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Management’s Discussion and Analysis of Financial Condition and Results of Operations</w:t>
              </w:r>
            </w:hyperlink>
          </w:p>
        </w:tc>
        <w:tc>
          <w:tcPr>
            <w:tcW w:w="46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87">
              <w:r>
                <w:rPr>
                  <w:rFonts w:ascii="Arial" w:cs="Arial" w:eastAsia="Arial" w:hAnsi="Arial"/>
                  <w:sz w:val="16"/>
                  <w:szCs w:val="16"/>
                  <w:color w:val="0000FF"/>
                  <w:w w:val="89"/>
                </w:rPr>
                <w:t>81</w:t>
              </w:r>
            </w:hyperlink>
          </w:p>
        </w:tc>
      </w:tr>
      <w:tr>
        <w:trPr>
          <w:trHeight w:val="196"/>
        </w:trPr>
        <w:tc>
          <w:tcPr>
            <w:tcW w:w="3440" w:type="dxa"/>
            <w:vAlign w:val="bottom"/>
            <w:gridSpan w:val="15"/>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Letter from Luis von Ahn, Co-Founder and CEO</w:t>
              </w:r>
            </w:hyperlink>
          </w:p>
        </w:tc>
        <w:tc>
          <w:tcPr>
            <w:tcW w:w="2940" w:type="dxa"/>
            <w:vAlign w:val="bottom"/>
            <w:gridSpan w:val="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15">
              <w:r>
                <w:rPr>
                  <w:rFonts w:ascii="Arial" w:cs="Arial" w:eastAsia="Arial" w:hAnsi="Arial"/>
                  <w:sz w:val="16"/>
                  <w:szCs w:val="16"/>
                  <w:color w:val="0000FF"/>
                </w:rPr>
                <w:t>109</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3440" w:type="dxa"/>
            <w:vAlign w:val="bottom"/>
            <w:gridSpan w:val="15"/>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Business</w:t>
              </w:r>
            </w:hyperlink>
          </w:p>
        </w:tc>
        <w:tc>
          <w:tcPr>
            <w:tcW w:w="2940" w:type="dxa"/>
            <w:vAlign w:val="bottom"/>
            <w:gridSpan w:val="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17">
              <w:r>
                <w:rPr>
                  <w:rFonts w:ascii="Arial" w:cs="Arial" w:eastAsia="Arial" w:hAnsi="Arial"/>
                  <w:sz w:val="16"/>
                  <w:szCs w:val="16"/>
                  <w:color w:val="0000FF"/>
                </w:rPr>
                <w:t>111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00" w:type="dxa"/>
            <w:vAlign w:val="bottom"/>
            <w:gridSpan w:val="4"/>
          </w:tcPr>
          <w:p>
            <w:pPr>
              <w:spacing w:after="0"/>
              <w:rPr>
                <w:rFonts w:ascii="Arial" w:cs="Arial" w:eastAsia="Arial" w:hAnsi="Arial"/>
                <w:sz w:val="16"/>
                <w:szCs w:val="16"/>
                <w:color w:val="0000FF"/>
                <w:w w:val="92"/>
              </w:rPr>
            </w:pPr>
            <w:hyperlink w:anchor="page152">
              <w:r>
                <w:rPr>
                  <w:rFonts w:ascii="Arial" w:cs="Arial" w:eastAsia="Arial" w:hAnsi="Arial"/>
                  <w:sz w:val="16"/>
                  <w:szCs w:val="16"/>
                  <w:color w:val="0000FF"/>
                  <w:w w:val="92"/>
                </w:rPr>
                <w:t>Management</w:t>
              </w:r>
            </w:hyperlink>
          </w:p>
        </w:tc>
        <w:tc>
          <w:tcPr>
            <w:tcW w:w="5480" w:type="dxa"/>
            <w:vAlign w:val="bottom"/>
            <w:gridSpan w:val="15"/>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52">
              <w:r>
                <w:rPr>
                  <w:rFonts w:ascii="Arial" w:cs="Arial" w:eastAsia="Arial" w:hAnsi="Arial"/>
                  <w:sz w:val="16"/>
                  <w:szCs w:val="16"/>
                  <w:color w:val="0000FF"/>
                </w:rPr>
                <w:t>146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1800" w:type="dxa"/>
            <w:vAlign w:val="bottom"/>
            <w:gridSpan w:val="9"/>
          </w:tcPr>
          <w:p>
            <w:pPr>
              <w:spacing w:after="0"/>
              <w:rPr>
                <w:rFonts w:ascii="Arial" w:cs="Arial" w:eastAsia="Arial" w:hAnsi="Arial"/>
                <w:sz w:val="16"/>
                <w:szCs w:val="16"/>
                <w:color w:val="0000FF"/>
              </w:rPr>
            </w:pPr>
            <w:hyperlink w:anchor="page162">
              <w:r>
                <w:rPr>
                  <w:rFonts w:ascii="Arial" w:cs="Arial" w:eastAsia="Arial" w:hAnsi="Arial"/>
                  <w:sz w:val="16"/>
                  <w:szCs w:val="16"/>
                  <w:color w:val="0000FF"/>
                </w:rPr>
                <w:t>Executive Compensation</w:t>
              </w:r>
            </w:hyperlink>
          </w:p>
        </w:tc>
        <w:tc>
          <w:tcPr>
            <w:tcW w:w="4580" w:type="dxa"/>
            <w:vAlign w:val="bottom"/>
            <w:gridSpan w:val="10"/>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62">
              <w:r>
                <w:rPr>
                  <w:rFonts w:ascii="Arial" w:cs="Arial" w:eastAsia="Arial" w:hAnsi="Arial"/>
                  <w:sz w:val="16"/>
                  <w:szCs w:val="16"/>
                  <w:color w:val="0000FF"/>
                </w:rPr>
                <w:t>156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3860" w:type="dxa"/>
            <w:vAlign w:val="bottom"/>
            <w:gridSpan w:val="17"/>
          </w:tcPr>
          <w:p>
            <w:pPr>
              <w:spacing w:after="0"/>
              <w:rPr>
                <w:rFonts w:ascii="Arial" w:cs="Arial" w:eastAsia="Arial" w:hAnsi="Arial"/>
                <w:sz w:val="16"/>
                <w:szCs w:val="16"/>
                <w:color w:val="0000FF"/>
              </w:rPr>
            </w:pPr>
            <w:hyperlink w:anchor="page177">
              <w:r>
                <w:rPr>
                  <w:rFonts w:ascii="Arial" w:cs="Arial" w:eastAsia="Arial" w:hAnsi="Arial"/>
                  <w:sz w:val="16"/>
                  <w:szCs w:val="16"/>
                  <w:color w:val="0000FF"/>
                </w:rPr>
                <w:t>Certain Relationships and Related Party Transactions</w:t>
              </w:r>
            </w:hyperlink>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77">
              <w:r>
                <w:rPr>
                  <w:rFonts w:ascii="Arial" w:cs="Arial" w:eastAsia="Arial" w:hAnsi="Arial"/>
                  <w:sz w:val="16"/>
                  <w:szCs w:val="16"/>
                  <w:color w:val="0000FF"/>
                </w:rPr>
                <w:t>171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460" w:type="dxa"/>
            <w:vAlign w:val="bottom"/>
            <w:gridSpan w:val="13"/>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Principal and Selling Stockholders</w:t>
              </w:r>
            </w:hyperlink>
          </w:p>
        </w:tc>
        <w:tc>
          <w:tcPr>
            <w:tcW w:w="1400" w:type="dxa"/>
            <w:vAlign w:val="bottom"/>
            <w:gridSpan w:val="4"/>
          </w:tcPr>
          <w:p>
            <w:pPr>
              <w:spacing w:after="0"/>
              <w:rPr>
                <w:sz w:val="17"/>
                <w:szCs w:val="17"/>
                <w:color w:val="auto"/>
              </w:rPr>
            </w:pPr>
          </w:p>
        </w:tc>
        <w:tc>
          <w:tcPr>
            <w:tcW w:w="2520" w:type="dxa"/>
            <w:vAlign w:val="bottom"/>
            <w:gridSpan w:val="2"/>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80">
              <w:r>
                <w:rPr>
                  <w:rFonts w:ascii="Arial" w:cs="Arial" w:eastAsia="Arial" w:hAnsi="Arial"/>
                  <w:sz w:val="16"/>
                  <w:szCs w:val="16"/>
                  <w:color w:val="0000FF"/>
                </w:rPr>
                <w:t>174</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0" w:type="dxa"/>
            <w:vAlign w:val="bottom"/>
            <w:gridSpan w:val="11"/>
          </w:tcPr>
          <w:p>
            <w:pPr>
              <w:spacing w:after="0"/>
              <w:rPr>
                <w:rFonts w:ascii="Arial" w:cs="Arial" w:eastAsia="Arial" w:hAnsi="Arial"/>
                <w:sz w:val="16"/>
                <w:szCs w:val="16"/>
                <w:color w:val="0000FF"/>
              </w:rPr>
            </w:pPr>
            <w:hyperlink w:anchor="page184">
              <w:r>
                <w:rPr>
                  <w:rFonts w:ascii="Arial" w:cs="Arial" w:eastAsia="Arial" w:hAnsi="Arial"/>
                  <w:sz w:val="16"/>
                  <w:szCs w:val="16"/>
                  <w:color w:val="0000FF"/>
                </w:rPr>
                <w:t>Description of Capital Stock</w:t>
              </w:r>
            </w:hyperlink>
          </w:p>
        </w:tc>
        <w:tc>
          <w:tcPr>
            <w:tcW w:w="460" w:type="dxa"/>
            <w:vAlign w:val="bottom"/>
            <w:gridSpan w:val="2"/>
          </w:tcPr>
          <w:p>
            <w:pPr>
              <w:spacing w:after="0"/>
              <w:rPr>
                <w:sz w:val="17"/>
                <w:szCs w:val="17"/>
                <w:color w:val="auto"/>
              </w:rPr>
            </w:pPr>
          </w:p>
        </w:tc>
        <w:tc>
          <w:tcPr>
            <w:tcW w:w="3920" w:type="dxa"/>
            <w:vAlign w:val="bottom"/>
            <w:gridSpan w:val="6"/>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184">
              <w:r>
                <w:rPr>
                  <w:rFonts w:ascii="Arial" w:cs="Arial" w:eastAsia="Arial" w:hAnsi="Arial"/>
                  <w:sz w:val="16"/>
                  <w:szCs w:val="16"/>
                  <w:color w:val="0000FF"/>
                </w:rPr>
                <w:t>178</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192">
              <w:r>
                <w:rPr>
                  <w:rFonts w:ascii="Arial" w:cs="Arial" w:eastAsia="Arial" w:hAnsi="Arial"/>
                  <w:sz w:val="16"/>
                  <w:szCs w:val="16"/>
                  <w:color w:val="0000FF"/>
                </w:rPr>
                <w:t>Shares Eligible for Future Sale</w:t>
              </w:r>
            </w:hyperlink>
          </w:p>
        </w:tc>
        <w:tc>
          <w:tcPr>
            <w:tcW w:w="4820" w:type="dxa"/>
            <w:vAlign w:val="bottom"/>
            <w:gridSpan w:val="3"/>
          </w:tcPr>
          <w:p>
            <w:pPr>
              <w:jc w:val="right"/>
              <w:spacing w:after="0"/>
              <w:rPr>
                <w:rFonts w:ascii="Arial" w:cs="Arial" w:eastAsia="Arial" w:hAnsi="Arial"/>
                <w:sz w:val="16"/>
                <w:szCs w:val="16"/>
                <w:color w:val="0000FF"/>
              </w:rPr>
            </w:pPr>
            <w:hyperlink w:anchor="page192">
              <w:r>
                <w:rPr>
                  <w:rFonts w:ascii="Arial" w:cs="Arial" w:eastAsia="Arial" w:hAnsi="Arial"/>
                  <w:sz w:val="16"/>
                  <w:szCs w:val="16"/>
                  <w:color w:val="0000FF"/>
                </w:rPr>
                <w:t>186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197">
              <w:r>
                <w:rPr>
                  <w:rFonts w:ascii="Arial" w:cs="Arial" w:eastAsia="Arial" w:hAnsi="Arial"/>
                  <w:sz w:val="16"/>
                  <w:szCs w:val="16"/>
                  <w:color w:val="0000FF"/>
                </w:rPr>
                <w:t xml:space="preserve">Material </w:t>
              </w:r>
            </w:hyperlink>
            <w:r>
              <w:rPr>
                <w:rFonts w:ascii="Arial" w:cs="Arial" w:eastAsia="Arial" w:hAnsi="Arial"/>
                <w:sz w:val="16"/>
                <w:szCs w:val="16"/>
                <w:color w:val="0000FF"/>
              </w:rPr>
              <w:t xml:space="preserve">US </w:t>
            </w:r>
            <w:hyperlink w:anchor="page197">
              <w:r>
                <w:rPr>
                  <w:rFonts w:ascii="Arial" w:cs="Arial" w:eastAsia="Arial" w:hAnsi="Arial"/>
                  <w:sz w:val="16"/>
                  <w:szCs w:val="16"/>
                  <w:color w:val="0000FF"/>
                </w:rPr>
                <w:t>Federal Income Tax Consequences to Non-</w:t>
              </w:r>
            </w:hyperlink>
            <w:r>
              <w:rPr>
                <w:rFonts w:ascii="Arial" w:cs="Arial" w:eastAsia="Arial" w:hAnsi="Arial"/>
                <w:sz w:val="16"/>
                <w:szCs w:val="16"/>
                <w:color w:val="0000FF"/>
              </w:rPr>
              <w:t xml:space="preserve">US </w:t>
            </w:r>
            <w:hyperlink w:anchor="page197">
              <w:r>
                <w:rPr>
                  <w:rFonts w:ascii="Arial" w:cs="Arial" w:eastAsia="Arial" w:hAnsi="Arial"/>
                  <w:sz w:val="16"/>
                  <w:szCs w:val="16"/>
                  <w:color w:val="0000FF"/>
                </w:rPr>
                <w:t>Holders</w:t>
              </w:r>
            </w:hyperlink>
          </w:p>
        </w:tc>
        <w:tc>
          <w:tcPr>
            <w:tcW w:w="4820" w:type="dxa"/>
            <w:vAlign w:val="bottom"/>
            <w:gridSpan w:val="3"/>
          </w:tcPr>
          <w:p>
            <w:pPr>
              <w:jc w:val="right"/>
              <w:spacing w:after="0"/>
              <w:rPr>
                <w:rFonts w:ascii="Arial" w:cs="Arial" w:eastAsia="Arial" w:hAnsi="Arial"/>
                <w:sz w:val="16"/>
                <w:szCs w:val="16"/>
                <w:color w:val="0000FF"/>
              </w:rPr>
            </w:pPr>
            <w:hyperlink w:anchor="page197">
              <w:r>
                <w:rPr>
                  <w:rFonts w:ascii="Arial" w:cs="Arial" w:eastAsia="Arial" w:hAnsi="Arial"/>
                  <w:sz w:val="16"/>
                  <w:szCs w:val="16"/>
                  <w:color w:val="0000FF"/>
                </w:rPr>
                <w:t>191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9"/>
            <w:shd w:val="clear" w:color="auto" w:fill="0000FF"/>
          </w:tcPr>
          <w:p>
            <w:pPr>
              <w:spacing w:after="0" w:line="20" w:lineRule="exact"/>
              <w:rPr>
                <w:sz w:val="1"/>
                <w:szCs w:val="1"/>
                <w:color w:val="auto"/>
              </w:rPr>
            </w:pPr>
          </w:p>
        </w:tc>
        <w:tc>
          <w:tcPr>
            <w:tcW w:w="172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00" w:type="dxa"/>
            <w:vAlign w:val="bottom"/>
            <w:gridSpan w:val="4"/>
          </w:tcPr>
          <w:p>
            <w:pPr>
              <w:spacing w:after="0"/>
              <w:rPr>
                <w:rFonts w:ascii="Arial" w:cs="Arial" w:eastAsia="Arial" w:hAnsi="Arial"/>
                <w:sz w:val="16"/>
                <w:szCs w:val="16"/>
                <w:color w:val="0000FF"/>
                <w:w w:val="95"/>
              </w:rPr>
            </w:pPr>
            <w:hyperlink w:anchor="page201">
              <w:r>
                <w:rPr>
                  <w:rFonts w:ascii="Arial" w:cs="Arial" w:eastAsia="Arial" w:hAnsi="Arial"/>
                  <w:sz w:val="16"/>
                  <w:szCs w:val="16"/>
                  <w:color w:val="0000FF"/>
                  <w:w w:val="95"/>
                </w:rPr>
                <w:t>Underwriting</w:t>
              </w:r>
            </w:hyperlink>
          </w:p>
        </w:tc>
        <w:tc>
          <w:tcPr>
            <w:tcW w:w="3940" w:type="dxa"/>
            <w:vAlign w:val="bottom"/>
            <w:gridSpan w:val="14"/>
          </w:tcPr>
          <w:p>
            <w:pPr>
              <w:spacing w:after="0"/>
              <w:rPr>
                <w:sz w:val="17"/>
                <w:szCs w:val="17"/>
                <w:color w:val="auto"/>
              </w:rPr>
            </w:pPr>
          </w:p>
        </w:tc>
        <w:tc>
          <w:tcPr>
            <w:tcW w:w="1540" w:type="dxa"/>
            <w:vAlign w:val="bottom"/>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01">
              <w:r>
                <w:rPr>
                  <w:rFonts w:ascii="Arial" w:cs="Arial" w:eastAsia="Arial" w:hAnsi="Arial"/>
                  <w:sz w:val="16"/>
                  <w:szCs w:val="16"/>
                  <w:color w:val="0000FF"/>
                </w:rPr>
                <w:t>195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380" w:type="dxa"/>
            <w:vAlign w:val="bottom"/>
            <w:gridSpan w:val="19"/>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Legal Matters</w:t>
              </w:r>
            </w:hyperlink>
          </w:p>
        </w:tc>
        <w:tc>
          <w:tcPr>
            <w:tcW w:w="4820" w:type="dxa"/>
            <w:vAlign w:val="bottom"/>
            <w:gridSpan w:val="3"/>
          </w:tcPr>
          <w:p>
            <w:pPr>
              <w:jc w:val="right"/>
              <w:spacing w:after="0"/>
              <w:rPr>
                <w:rFonts w:ascii="Arial" w:cs="Arial" w:eastAsia="Arial" w:hAnsi="Arial"/>
                <w:sz w:val="16"/>
                <w:szCs w:val="16"/>
                <w:color w:val="0000FF"/>
              </w:rPr>
            </w:pPr>
            <w:hyperlink w:anchor="page208">
              <w:r>
                <w:rPr>
                  <w:rFonts w:ascii="Arial" w:cs="Arial" w:eastAsia="Arial" w:hAnsi="Arial"/>
                  <w:sz w:val="16"/>
                  <w:szCs w:val="16"/>
                  <w:color w:val="0000FF"/>
                </w:rPr>
                <w:t>202</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560" w:type="dxa"/>
            <w:vAlign w:val="bottom"/>
            <w:gridSpan w:val="2"/>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Experts</w:t>
              </w:r>
            </w:hyperlink>
          </w:p>
        </w:tc>
        <w:tc>
          <w:tcPr>
            <w:tcW w:w="420" w:type="dxa"/>
            <w:vAlign w:val="bottom"/>
            <w:gridSpan w:val="3"/>
          </w:tcPr>
          <w:p>
            <w:pPr>
              <w:spacing w:after="0"/>
              <w:rPr>
                <w:sz w:val="17"/>
                <w:szCs w:val="17"/>
                <w:color w:val="auto"/>
              </w:rPr>
            </w:pPr>
          </w:p>
        </w:tc>
        <w:tc>
          <w:tcPr>
            <w:tcW w:w="5400" w:type="dxa"/>
            <w:vAlign w:val="bottom"/>
            <w:gridSpan w:val="14"/>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09">
              <w:r>
                <w:rPr>
                  <w:rFonts w:ascii="Arial" w:cs="Arial" w:eastAsia="Arial" w:hAnsi="Arial"/>
                  <w:sz w:val="16"/>
                  <w:szCs w:val="16"/>
                  <w:color w:val="0000FF"/>
                </w:rPr>
                <w:t>202</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Where You Can Find Additional Information</w:t>
              </w:r>
            </w:hyperlink>
          </w:p>
        </w:tc>
        <w:tc>
          <w:tcPr>
            <w:tcW w:w="3260" w:type="dxa"/>
            <w:vAlign w:val="bottom"/>
            <w:gridSpan w:val="5"/>
          </w:tcPr>
          <w:p>
            <w:pPr>
              <w:spacing w:after="0"/>
              <w:rPr>
                <w:sz w:val="17"/>
                <w:szCs w:val="17"/>
                <w:color w:val="auto"/>
              </w:rPr>
            </w:pPr>
          </w:p>
        </w:tc>
        <w:tc>
          <w:tcPr>
            <w:tcW w:w="4820" w:type="dxa"/>
            <w:vAlign w:val="bottom"/>
            <w:gridSpan w:val="3"/>
          </w:tcPr>
          <w:p>
            <w:pPr>
              <w:jc w:val="right"/>
              <w:spacing w:after="0"/>
              <w:rPr>
                <w:rFonts w:ascii="Arial" w:cs="Arial" w:eastAsia="Arial" w:hAnsi="Arial"/>
                <w:sz w:val="16"/>
                <w:szCs w:val="16"/>
                <w:color w:val="0000FF"/>
              </w:rPr>
            </w:pPr>
            <w:hyperlink w:anchor="page209">
              <w:r>
                <w:rPr>
                  <w:rFonts w:ascii="Arial" w:cs="Arial" w:eastAsia="Arial" w:hAnsi="Arial"/>
                  <w:sz w:val="16"/>
                  <w:szCs w:val="16"/>
                  <w:color w:val="0000FF"/>
                </w:rPr>
                <w:t>202</w:t>
              </w:r>
            </w:hyperlink>
          </w:p>
        </w:tc>
      </w:tr>
      <w:tr>
        <w:trPr>
          <w:trHeight w:val="20"/>
        </w:trPr>
        <w:tc>
          <w:tcPr>
            <w:tcW w:w="3120" w:type="dxa"/>
            <w:vAlign w:val="bottom"/>
            <w:gridSpan w:val="14"/>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3120" w:type="dxa"/>
            <w:vAlign w:val="bottom"/>
            <w:gridSpan w:val="14"/>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Index to Consolidated Financial Statements</w:t>
              </w:r>
            </w:hyperlink>
          </w:p>
        </w:tc>
        <w:tc>
          <w:tcPr>
            <w:tcW w:w="3260" w:type="dxa"/>
            <w:vAlign w:val="bottom"/>
            <w:gridSpan w:val="5"/>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5"/>
                <w:szCs w:val="15"/>
                <w:color w:val="0000FF"/>
                <w:w w:val="70"/>
              </w:rPr>
            </w:pPr>
            <w:hyperlink w:anchor="page209">
              <w:r>
                <w:rPr>
                  <w:rFonts w:ascii="Arial" w:cs="Arial" w:eastAsia="Arial" w:hAnsi="Arial"/>
                  <w:sz w:val="15"/>
                  <w:szCs w:val="15"/>
                  <w:color w:val="0000FF"/>
                  <w:w w:val="70"/>
                </w:rPr>
                <w:t>F-1</w:t>
              </w:r>
            </w:hyperlink>
          </w:p>
        </w:tc>
      </w:tr>
      <w:tr>
        <w:trPr>
          <w:trHeight w:val="20"/>
        </w:trPr>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You should rely only on the information contained in this prospectus or contained in any free writing prospectus filed with the Securities and Exchange Commission (the SEC). Neither we, the selling stockholders, nor any of the underwriters have authorized anyone to provide any information or make any representations other than those contained in this prospectus or in any free writing prospectus we have prepared. Neither we, the selling stockholders, nor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is accurate only as of the date of this prospectus, regardless of the time of delivery of this prospectus or of any sale of the Class A common stock. Our business, results of operations, financial condition, and prospects may have changed since such date.</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investors outside of the United States: Neither we, the selling stockholders, nor any of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Persons outside of the United States who come into possession of this prospectus and any free writing prospectus must inform themselves about and observe any restrictions relating to this offering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590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Prospectus Summary</w:t>
      </w:r>
    </w:p>
    <w:p>
      <w:pPr>
        <w:spacing w:after="0" w:line="189" w:lineRule="exact"/>
        <w:rPr>
          <w:sz w:val="20"/>
          <w:szCs w:val="20"/>
          <w:color w:val="auto"/>
        </w:rPr>
      </w:pPr>
    </w:p>
    <w:p>
      <w:pPr>
        <w:ind w:left="680" w:right="20"/>
        <w:spacing w:after="0" w:line="270"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Unless the context otherwise requires, the terms “Duolingo,” the “company,” “we,” “us,” and “our” in this prospectus refer to Duolingo, Inc. and its consolidated subsidiaries, and the phrase “our learners” refers to the users of our language learning app.</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ind w:left="680" w:right="540"/>
        <w:spacing w:after="0" w:line="277"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According to HolonIQ, 1.8 billion</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560"/>
          </w:cols>
          <w:pgMar w:left="320" w:top="144" w:right="101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153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people across the world are learning a new language, and in 2019, consumer spend on both online and offline language learning represented a $61 billion market. Driving much of the demand for language learning is the reality that English can unlock tremendous economic opportunity.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154" w:lineRule="exact"/>
        <w:rPr>
          <w:sz w:val="20"/>
          <w:szCs w:val="20"/>
          <w:color w:val="auto"/>
        </w:rPr>
      </w:pPr>
    </w:p>
    <w:p>
      <w:pPr>
        <w:ind w:left="680"/>
        <w:spacing w:after="0" w:line="269" w:lineRule="auto"/>
        <w:rPr>
          <w:sz w:val="20"/>
          <w:szCs w:val="20"/>
          <w:color w:val="auto"/>
        </w:rPr>
      </w:pPr>
      <w:r>
        <w:rPr>
          <w:rFonts w:ascii="Arial" w:cs="Arial" w:eastAsia="Arial" w:hAnsi="Arial"/>
          <w:sz w:val="18"/>
          <w:szCs w:val="18"/>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52" w:lineRule="exact"/>
        <w:rPr>
          <w:sz w:val="20"/>
          <w:szCs w:val="20"/>
          <w:color w:val="auto"/>
        </w:rPr>
      </w:pPr>
    </w:p>
    <w:p>
      <w:pPr>
        <w:ind w:left="680"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1"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4" w:lineRule="exact"/>
        <w:rPr>
          <w:sz w:val="20"/>
          <w:szCs w:val="20"/>
          <w:color w:val="auto"/>
        </w:rPr>
      </w:pPr>
    </w:p>
    <w:p>
      <w:pPr>
        <w:ind w:left="680" w:right="40"/>
        <w:spacing w:after="0" w:line="267"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6" w:lineRule="exact"/>
        <w:rPr>
          <w:sz w:val="20"/>
          <w:szCs w:val="20"/>
          <w:color w:val="auto"/>
        </w:rPr>
      </w:pPr>
    </w:p>
    <w:p>
      <w:pPr>
        <w:ind w:left="680" w:right="120"/>
        <w:spacing w:after="0" w:line="308" w:lineRule="auto"/>
        <w:rPr>
          <w:sz w:val="20"/>
          <w:szCs w:val="20"/>
          <w:color w:val="auto"/>
        </w:rPr>
      </w:pPr>
      <w:r>
        <w:rPr>
          <w:rFonts w:ascii="Arial" w:cs="Arial" w:eastAsia="Arial" w:hAnsi="Arial"/>
          <w:sz w:val="17"/>
          <w:szCs w:val="17"/>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84" w:lineRule="exact"/>
        <w:rPr>
          <w:sz w:val="20"/>
          <w:szCs w:val="20"/>
          <w:color w:val="auto"/>
        </w:rPr>
      </w:pPr>
    </w:p>
    <w:p>
      <w:pPr>
        <w:ind w:left="1320" w:hanging="322"/>
        <w:spacing w:after="0" w:line="268"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both 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1320" w:right="380" w:hanging="322"/>
        <w:spacing w:after="0" w:line="262" w:lineRule="auto"/>
        <w:tabs>
          <w:tab w:leader="none" w:pos="131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Investment flywheel: </w:t>
      </w:r>
      <w:r>
        <w:rPr>
          <w:rFonts w:ascii="Arial" w:cs="Arial" w:eastAsia="Arial" w:hAnsi="Arial"/>
          <w:sz w:val="18"/>
          <w:szCs w:val="18"/>
          <w:color w:val="auto"/>
        </w:rPr>
        <w:t>Our learner scale and word-of-mouth growth allow us to focus our capital investments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innovation and data analytics, as opposed to brand or performance marketing. The more learners use Duolingo and convert into paid subscribers, the more we are able to invest in creating an even more delightful, engaging and effective learning experience. In</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320" w:top="144" w:right="101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50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40"/>
        <w:spacing w:after="0" w:line="261" w:lineRule="auto"/>
        <w:rPr>
          <w:sz w:val="20"/>
          <w:szCs w:val="20"/>
          <w:color w:val="auto"/>
        </w:rPr>
      </w:pPr>
      <w:r>
        <w:rPr>
          <w:rFonts w:ascii="Arial" w:cs="Arial" w:eastAsia="Arial" w:hAnsi="Arial"/>
          <w:sz w:val="18"/>
          <w:szCs w:val="18"/>
          <w:color w:val="auto"/>
        </w:rPr>
        <w:t>turn, this increases our popularity and user scale, as well as the effectiveness of our data analytics, further widening our competitive moat.</w:t>
      </w:r>
    </w:p>
    <w:p>
      <w:pPr>
        <w:spacing w:after="0" w:line="157" w:lineRule="exact"/>
        <w:rPr>
          <w:sz w:val="20"/>
          <w:szCs w:val="20"/>
          <w:color w:val="auto"/>
        </w:rPr>
      </w:pPr>
    </w:p>
    <w:p>
      <w:pPr>
        <w:ind w:left="680" w:right="160"/>
        <w:spacing w:after="0" w:line="267" w:lineRule="auto"/>
        <w:rPr>
          <w:sz w:val="20"/>
          <w:szCs w:val="20"/>
          <w:color w:val="auto"/>
        </w:rPr>
      </w:pPr>
      <w:r>
        <w:rPr>
          <w:rFonts w:ascii="Arial" w:cs="Arial" w:eastAsia="Arial" w:hAnsi="Arial"/>
          <w:sz w:val="18"/>
          <w:szCs w:val="18"/>
          <w:color w:val="auto"/>
        </w:rPr>
        <w:t>Our second product, the Duolingo English Test, is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June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4"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In 2020, for example, we launched Duolingo ABC, an app designed to teach early literacy skills to children ages three to six.</w:t>
      </w:r>
    </w:p>
    <w:p>
      <w:pPr>
        <w:spacing w:after="0" w:line="154" w:lineRule="exact"/>
        <w:rPr>
          <w:sz w:val="20"/>
          <w:szCs w:val="20"/>
          <w:color w:val="auto"/>
        </w:rPr>
      </w:pPr>
    </w:p>
    <w:p>
      <w:pPr>
        <w:ind w:left="680"/>
        <w:spacing w:after="0" w:line="266" w:lineRule="auto"/>
        <w:rPr>
          <w:sz w:val="20"/>
          <w:szCs w:val="20"/>
          <w:color w:val="auto"/>
        </w:rPr>
      </w:pPr>
      <w:r>
        <w:rPr>
          <w:rFonts w:ascii="Arial" w:cs="Arial" w:eastAsia="Arial" w:hAnsi="Arial"/>
          <w:sz w:val="18"/>
          <w:szCs w:val="18"/>
          <w:color w:val="auto"/>
        </w:rPr>
        <w:t xml:space="preserve">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or 84% year over year. For the quarter ended March 31, 2021, we had 40 million monthly active users, and as of March 31, 2021, we had 1.8 million 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w:t>
      </w:r>
      <w:r>
        <w:rPr>
          <w:rFonts w:ascii="Arial" w:cs="Arial" w:eastAsia="Arial" w:hAnsi="Arial"/>
          <w:sz w:val="18"/>
          <w:szCs w:val="18"/>
          <w:color w:val="auto"/>
          <w:highlight w:val="white"/>
        </w:rPr>
        <w:t>In 2020 and the three months ended March</w:t>
      </w:r>
      <w:r>
        <w:rPr>
          <w:rFonts w:ascii="Arial" w:cs="Arial" w:eastAsia="Arial" w:hAnsi="Arial"/>
          <w:sz w:val="18"/>
          <w:szCs w:val="18"/>
          <w:color w:val="auto"/>
        </w:rPr>
        <w:t xml:space="preserve"> </w:t>
      </w:r>
      <w:r>
        <w:rPr>
          <w:rFonts w:ascii="Arial" w:cs="Arial" w:eastAsia="Arial" w:hAnsi="Arial"/>
          <w:sz w:val="18"/>
          <w:szCs w:val="18"/>
          <w:color w:val="auto"/>
          <w:highlight w:val="white"/>
        </w:rPr>
        <w:t>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2019 and 2020, we had net losses of $13.6 million and $15.8 million, respectively. In the three months ended March 31, 2020 and 2021, we had net losses of $2.2 million and $13.5 million, resp</w:t>
      </w:r>
      <w:r>
        <w:rPr>
          <w:rFonts w:ascii="Arial" w:cs="Arial" w:eastAsia="Arial" w:hAnsi="Arial"/>
          <w:sz w:val="18"/>
          <w:szCs w:val="18"/>
          <w:color w:val="auto"/>
        </w:rPr>
        <w:t>ectively. Our Adjusted EBITDA improved from $(8.0) million in 2019 to $3.6 million in 2020, and was $(0.9)</w:t>
      </w:r>
      <w:r>
        <w:rPr>
          <w:rFonts w:ascii="Arial" w:cs="Arial" w:eastAsia="Arial" w:hAnsi="Arial"/>
          <w:sz w:val="18"/>
          <w:szCs w:val="18"/>
          <w:color w:val="auto"/>
          <w:highlight w:val="white"/>
        </w:rPr>
        <w:t xml:space="preserve"> </w:t>
      </w:r>
      <w:r>
        <w:rPr>
          <w:rFonts w:ascii="Arial" w:cs="Arial" w:eastAsia="Arial" w:hAnsi="Arial"/>
          <w:sz w:val="18"/>
          <w:szCs w:val="18"/>
          <w:color w:val="auto"/>
        </w:rPr>
        <w:t>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49"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b w:val="1"/>
          <w:bCs w:val="1"/>
          <w:i w:val="1"/>
          <w:iCs w:val="1"/>
          <w:color w:val="auto"/>
        </w:rPr>
        <w:t xml:space="preserve">Mobile-first behaviors are reshaping industries. </w:t>
      </w:r>
      <w:r>
        <w:rPr>
          <w:rFonts w:ascii="Arial" w:cs="Arial" w:eastAsia="Arial" w:hAnsi="Arial"/>
          <w:sz w:val="18"/>
          <w:szCs w:val="18"/>
          <w:color w:val="auto"/>
        </w:rPr>
        <w:t>In categories ranging from retail to music to dating, consumers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gravitating to mobile, app-based experiences. We believe that consumer behavior will continue to be shaped by a preference for the convenient, on-demand nature of mobile experiences.</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320" w:top="144" w:right="101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21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b w:val="1"/>
          <w:bCs w:val="1"/>
          <w:i w:val="1"/>
          <w:i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offline to online. According to GSV Ventures, the 2019 digital learning market represented $160 billion in spend— 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compound annual growth rate (CAGR) from 2019 to 2026.</w:t>
      </w:r>
    </w:p>
    <w:p>
      <w:pPr>
        <w:spacing w:after="0" w:line="128" w:lineRule="exact"/>
        <w:rPr>
          <w:sz w:val="20"/>
          <w:szCs w:val="20"/>
          <w:color w:val="auto"/>
        </w:rPr>
      </w:pPr>
    </w:p>
    <w:p>
      <w:pPr>
        <w:ind w:left="680" w:right="80"/>
        <w:spacing w:after="0" w:line="268" w:lineRule="auto"/>
        <w:rPr>
          <w:sz w:val="20"/>
          <w:szCs w:val="20"/>
          <w:color w:val="auto"/>
        </w:rPr>
      </w:pPr>
      <w:r>
        <w:rPr>
          <w:rFonts w:ascii="Arial" w:cs="Arial" w:eastAsia="Arial" w:hAnsi="Arial"/>
          <w:sz w:val="18"/>
          <w:szCs w:val="18"/>
          <w:b w:val="1"/>
          <w:bCs w:val="1"/>
          <w:i w:val="1"/>
          <w:iCs w:val="1"/>
          <w:color w:val="auto"/>
        </w:rPr>
        <w:t xml:space="preserve">Online learners seek engaging, mobile-first experiences. </w:t>
      </w:r>
      <w:r>
        <w:rPr>
          <w:rFonts w:ascii="Arial" w:cs="Arial" w:eastAsia="Arial" w:hAnsi="Arial"/>
          <w:sz w:val="18"/>
          <w:szCs w:val="18"/>
          <w:color w:val="auto"/>
        </w:rPr>
        <w:t>Consumers are increasingly accustomed to the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design of social media apps and mobile games. We believe that consumers turning to online learning will not only prefer the convenience and control that mobile apps provide, but also expect experiences to be highly engaging.</w:t>
      </w:r>
    </w:p>
    <w:p>
      <w:pPr>
        <w:spacing w:after="0" w:line="117" w:lineRule="exact"/>
        <w:rPr>
          <w:sz w:val="20"/>
          <w:szCs w:val="20"/>
          <w:color w:val="auto"/>
        </w:rPr>
      </w:pPr>
    </w:p>
    <w:p>
      <w:pPr>
        <w:ind w:left="680" w:right="100"/>
        <w:spacing w:after="0" w:line="268" w:lineRule="auto"/>
        <w:rPr>
          <w:sz w:val="20"/>
          <w:szCs w:val="20"/>
          <w:color w:val="auto"/>
        </w:rPr>
      </w:pPr>
      <w:r>
        <w:rPr>
          <w:rFonts w:ascii="Arial" w:cs="Arial" w:eastAsia="Arial" w:hAnsi="Arial"/>
          <w:sz w:val="18"/>
          <w:szCs w:val="18"/>
          <w:b w:val="1"/>
          <w:bCs w:val="1"/>
          <w:i w:val="1"/>
          <w:iCs w:val="1"/>
          <w:color w:val="auto"/>
        </w:rPr>
        <w:t xml:space="preserve">Adoption of subscription models is growing globally. </w:t>
      </w:r>
      <w:r>
        <w:rPr>
          <w:rFonts w:ascii="Arial" w:cs="Arial" w:eastAsia="Arial" w:hAnsi="Arial"/>
          <w:sz w:val="18"/>
          <w:szCs w:val="18"/>
          <w:color w:val="auto"/>
        </w:rPr>
        <w:t>Rising adoption of subscription models across the globe is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the shift towards mobile experiences. We believe that as subscriptions increase in popularity across categories, consumers will also gravitate towards subscription models in online learning.</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The global market for direct-to-consumer language learning is large, growing, and shifting online. According to HolonIQ, total consumer spend on both online and offline language learning represented a $61 billion market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w:t>
      </w:r>
    </w:p>
    <w:p>
      <w:pPr>
        <w:spacing w:after="0" w:line="151" w:lineRule="exact"/>
        <w:rPr>
          <w:sz w:val="20"/>
          <w:szCs w:val="20"/>
          <w:color w:val="auto"/>
        </w:rPr>
      </w:pPr>
    </w:p>
    <w:p>
      <w:pPr>
        <w:ind w:left="680" w:right="180"/>
        <w:spacing w:after="0" w:line="268" w:lineRule="auto"/>
        <w:rPr>
          <w:sz w:val="20"/>
          <w:szCs w:val="20"/>
          <w:color w:val="auto"/>
        </w:rPr>
      </w:pPr>
      <w:r>
        <w:rPr>
          <w:rFonts w:ascii="Arial" w:cs="Arial" w:eastAsia="Arial" w:hAnsi="Arial"/>
          <w:sz w:val="18"/>
          <w:szCs w:val="18"/>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52"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1320" w:right="40" w:hanging="322"/>
        <w:spacing w:after="0" w:line="28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features motivate learners to come back each day to continue learning.</w:t>
      </w:r>
    </w:p>
    <w:p>
      <w:pPr>
        <w:spacing w:after="0" w:line="98" w:lineRule="exact"/>
        <w:rPr>
          <w:rFonts w:ascii="Arial" w:cs="Arial" w:eastAsia="Arial" w:hAnsi="Arial"/>
          <w:sz w:val="18"/>
          <w:szCs w:val="18"/>
          <w:color w:val="auto"/>
        </w:rPr>
      </w:pPr>
    </w:p>
    <w:p>
      <w:pPr>
        <w:ind w:left="1320" w:right="100" w:hanging="322"/>
        <w:spacing w:after="0" w:line="287" w:lineRule="auto"/>
        <w:tabs>
          <w:tab w:leader="none" w:pos="131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works. Our expert-designed courses help learners build robust speaking,</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60"/>
          </w:cols>
          <w:pgMar w:left="320" w:top="144" w:right="101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402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reading, listening, and writing skills, and our data analytics power personalization and superior learning outcomes.</w:t>
      </w:r>
    </w:p>
    <w:p>
      <w:pPr>
        <w:spacing w:after="0" w:line="149" w:lineRule="exact"/>
        <w:rPr>
          <w:sz w:val="20"/>
          <w:szCs w:val="20"/>
          <w:color w:val="auto"/>
        </w:rPr>
      </w:pPr>
    </w:p>
    <w:p>
      <w:pPr>
        <w:ind w:left="1320" w:right="40" w:hanging="322"/>
        <w:spacing w:after="0" w:line="287" w:lineRule="auto"/>
        <w:tabs>
          <w:tab w:leader="none" w:pos="131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want and complete any and every course without paying. This lowers barriers to start learning and to keep learning.</w:t>
      </w:r>
    </w:p>
    <w:p>
      <w:pPr>
        <w:spacing w:after="0" w:line="134" w:lineRule="exact"/>
        <w:rPr>
          <w:sz w:val="20"/>
          <w:szCs w:val="20"/>
          <w:color w:val="auto"/>
        </w:rPr>
      </w:pPr>
    </w:p>
    <w:p>
      <w:pPr>
        <w:ind w:left="680" w:right="60"/>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207" w:lineRule="exact"/>
        <w:rPr>
          <w:sz w:val="20"/>
          <w:szCs w:val="20"/>
          <w:color w:val="auto"/>
        </w:rPr>
      </w:pPr>
    </w:p>
    <w:p>
      <w:pPr>
        <w:ind w:left="680" w:right="360"/>
        <w:spacing w:after="0" w:line="277"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ind w:left="680" w:right="180"/>
        <w:spacing w:after="0" w:line="262" w:lineRule="auto"/>
        <w:rPr>
          <w:sz w:val="20"/>
          <w:szCs w:val="20"/>
          <w:color w:val="auto"/>
        </w:rPr>
      </w:pPr>
      <w:r>
        <w:rPr>
          <w:rFonts w:ascii="Arial" w:cs="Arial" w:eastAsia="Arial" w:hAnsi="Arial"/>
          <w:sz w:val="18"/>
          <w:szCs w:val="18"/>
          <w:b w:val="1"/>
          <w:bCs w:val="1"/>
          <w:i w:val="1"/>
          <w:iCs w:val="1"/>
          <w:color w:val="auto"/>
        </w:rPr>
        <w:t xml:space="preserve">Low friction. </w:t>
      </w:r>
      <w:r>
        <w:rPr>
          <w:rFonts w:ascii="Arial" w:cs="Arial" w:eastAsia="Arial" w:hAnsi="Arial"/>
          <w:sz w:val="18"/>
          <w:szCs w:val="18"/>
          <w:color w:val="auto"/>
        </w:rPr>
        <w:t>Beginning the learning journey on Duolingo is easy. We ensure that our onboarding journey is as intuitive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by continually reviewing the actions of new learners as they navigate our app for the first time. Duolingo is recognized as a gold standard for user experience design, with our onboarding flows used as examples of industry best practices.</w:t>
      </w:r>
    </w:p>
    <w:p>
      <w:pPr>
        <w:spacing w:after="0" w:line="122"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b w:val="1"/>
          <w:bCs w:val="1"/>
          <w:i w:val="1"/>
          <w:iCs w:val="1"/>
          <w:color w:val="auto"/>
        </w:rPr>
        <w:t xml:space="preserve">Motivating game mechanics. </w:t>
      </w:r>
      <w:r>
        <w:rPr>
          <w:rFonts w:ascii="Arial" w:cs="Arial" w:eastAsia="Arial" w:hAnsi="Arial"/>
          <w:sz w:val="18"/>
          <w:szCs w:val="18"/>
          <w:color w:val="auto"/>
        </w:rPr>
        <w:t>Because we believe that staying motivated is the hardest part of learning something new,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relentlessly on keeping learners engaged. Ultimately, the high engagement driven by gamification leads to consistent learning and demonstrable efficacy.</w:t>
      </w:r>
    </w:p>
    <w:p>
      <w:pPr>
        <w:spacing w:after="0" w:line="117" w:lineRule="exact"/>
        <w:rPr>
          <w:sz w:val="20"/>
          <w:szCs w:val="20"/>
          <w:color w:val="auto"/>
        </w:rPr>
      </w:pPr>
    </w:p>
    <w:p>
      <w:pPr>
        <w:ind w:left="680" w:right="320"/>
        <w:spacing w:after="0" w:line="291" w:lineRule="auto"/>
        <w:rPr>
          <w:sz w:val="20"/>
          <w:szCs w:val="20"/>
          <w:color w:val="auto"/>
        </w:rPr>
      </w:pPr>
      <w:r>
        <w:rPr>
          <w:rFonts w:ascii="Arial" w:cs="Arial" w:eastAsia="Arial" w:hAnsi="Arial"/>
          <w:sz w:val="17"/>
          <w:szCs w:val="17"/>
          <w:b w:val="1"/>
          <w:bCs w:val="1"/>
          <w:i w:val="1"/>
          <w:iCs w:val="1"/>
          <w:color w:val="auto"/>
        </w:rPr>
        <w:t xml:space="preserve">Beautiful design and engaging storytelling. </w:t>
      </w:r>
      <w:r>
        <w:rPr>
          <w:rFonts w:ascii="Arial" w:cs="Arial" w:eastAsia="Arial" w:hAnsi="Arial"/>
          <w:sz w:val="17"/>
          <w:szCs w:val="17"/>
          <w:color w:val="auto"/>
        </w:rPr>
        <w:t>From the precise shape and color of each button, to the mood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celebratory animations that congratulate learners upon finishing each lesson, our app is calibrated to maximize learners’ delight. Over the years, our owl mascot, Duo, has become a popular brand icon and a marketing asset for our company.</w:t>
      </w:r>
    </w:p>
    <w:p>
      <w:pPr>
        <w:spacing w:after="0" w:line="99" w:lineRule="exact"/>
        <w:rPr>
          <w:sz w:val="20"/>
          <w:szCs w:val="20"/>
          <w:color w:val="auto"/>
        </w:rPr>
      </w:pPr>
    </w:p>
    <w:p>
      <w:pPr>
        <w:ind w:left="680" w:right="360"/>
        <w:spacing w:after="0" w:line="262"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of experts in learning science and second language acquisition. Content in our largest courses is aligned to the Common European Framework of Reference (CEFR), an international standard for language proficiency, and the pedagogical structure of each course is unique.</w:t>
      </w:r>
    </w:p>
    <w:p>
      <w:pPr>
        <w:spacing w:after="0" w:line="122" w:lineRule="exact"/>
        <w:rPr>
          <w:sz w:val="20"/>
          <w:szCs w:val="20"/>
          <w:color w:val="auto"/>
        </w:rPr>
      </w:pPr>
    </w:p>
    <w:p>
      <w:pPr>
        <w:ind w:left="680" w:right="320"/>
        <w:spacing w:after="0" w:line="318" w:lineRule="auto"/>
        <w:rPr>
          <w:sz w:val="20"/>
          <w:szCs w:val="20"/>
          <w:color w:val="auto"/>
        </w:rPr>
      </w:pPr>
      <w:r>
        <w:rPr>
          <w:rFonts w:ascii="Arial" w:cs="Arial" w:eastAsia="Arial" w:hAnsi="Arial"/>
          <w:sz w:val="17"/>
          <w:szCs w:val="17"/>
          <w:b w:val="1"/>
          <w:bCs w:val="1"/>
          <w:i w:val="1"/>
          <w:iCs w:val="1"/>
          <w:color w:val="auto"/>
        </w:rPr>
        <w:t xml:space="preserve">Application of data analytics and artificial intelligence to optimize learning. </w:t>
      </w:r>
      <w:r>
        <w:rPr>
          <w:rFonts w:ascii="Arial" w:cs="Arial" w:eastAsia="Arial" w:hAnsi="Arial"/>
          <w:sz w:val="17"/>
          <w:szCs w:val="17"/>
          <w:color w:val="auto"/>
        </w:rPr>
        <w:t>We use data from over half a billion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exercises completed daily to train sophisticated machine learning algorithms that we deploy to improve learning efficacy.</w:t>
      </w:r>
    </w:p>
    <w:p>
      <w:pPr>
        <w:spacing w:after="0" w:line="76" w:lineRule="exact"/>
        <w:rPr>
          <w:sz w:val="20"/>
          <w:szCs w:val="20"/>
          <w:color w:val="auto"/>
        </w:rPr>
      </w:pPr>
    </w:p>
    <w:p>
      <w:pPr>
        <w:ind w:left="680" w:right="120"/>
        <w:spacing w:after="0" w:line="262"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In 2020, we conducted a formal study to evaluate Duolingo’s effectiveness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university language courses. We found that Duolingo learners earned proficiency scores comparable to those of US university students at the end of their fourth semester of French or Spanish. Moreover, the Duolingo learners were able to attain this level of proficiency in about half the time as the university students.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left="680" w:right="4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Highlights of our technology platform include:</w:t>
      </w:r>
    </w:p>
    <w:p>
      <w:pPr>
        <w:spacing w:after="0" w:line="149"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world's largest collection of language-learning data. We leverage this data by developing novel AI models at the intersection of machine learning, natural language processing, and cognitive</w:t>
      </w:r>
    </w:p>
    <w:p>
      <w:pPr>
        <w:sectPr>
          <w:pgSz w:w="11900" w:h="16838" w:orient="portrait"/>
          <w:cols w:equalWidth="0" w:num="1">
            <w:col w:w="10540"/>
          </w:cols>
          <w:pgMar w:left="320" w:top="144"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40"/>
          </w:cols>
          <w:pgMar w:left="320" w:top="144" w:right="10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39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23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science, which enable personalized instruction and power new product features that drive both engagement and efficacy.</w:t>
      </w:r>
    </w:p>
    <w:p>
      <w:pPr>
        <w:spacing w:after="0" w:line="149" w:lineRule="exact"/>
        <w:rPr>
          <w:sz w:val="20"/>
          <w:szCs w:val="20"/>
          <w:color w:val="auto"/>
        </w:rPr>
      </w:pPr>
    </w:p>
    <w:p>
      <w:pPr>
        <w:ind w:left="680" w:right="60"/>
        <w:spacing w:after="0" w:line="268"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through A/B testing, and we run hundreds of A/B tests on new product features each quarter. These A/B tests also provide us with the data to make decisions that positively impact paid subscriber conversion.</w:t>
      </w:r>
    </w:p>
    <w:p>
      <w:pPr>
        <w:spacing w:after="0" w:line="117" w:lineRule="exact"/>
        <w:rPr>
          <w:sz w:val="20"/>
          <w:szCs w:val="20"/>
          <w:color w:val="auto"/>
        </w:rPr>
      </w:pPr>
    </w:p>
    <w:p>
      <w:pPr>
        <w:ind w:left="680" w:right="60"/>
        <w:spacing w:after="0" w:line="259"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to optimize 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w:t>
      </w:r>
    </w:p>
    <w:p>
      <w:pPr>
        <w:spacing w:after="0" w:line="125" w:lineRule="exact"/>
        <w:rPr>
          <w:sz w:val="20"/>
          <w:szCs w:val="20"/>
          <w:color w:val="auto"/>
        </w:rPr>
      </w:pPr>
    </w:p>
    <w:p>
      <w:pPr>
        <w:jc w:val="both"/>
        <w:ind w:left="680"/>
        <w:spacing w:after="0" w:line="291" w:lineRule="auto"/>
        <w:rPr>
          <w:sz w:val="20"/>
          <w:szCs w:val="20"/>
          <w:color w:val="auto"/>
        </w:rPr>
      </w:pPr>
      <w:r>
        <w:rPr>
          <w:rFonts w:ascii="Arial" w:cs="Arial" w:eastAsia="Arial" w:hAnsi="Arial"/>
          <w:sz w:val="17"/>
          <w:szCs w:val="17"/>
          <w:b w:val="1"/>
          <w:bCs w:val="1"/>
          <w:i w:val="1"/>
          <w:iCs w:val="1"/>
          <w:color w:val="auto"/>
        </w:rPr>
        <w:t xml:space="preserve">Shared infrastructure. </w:t>
      </w:r>
      <w:r>
        <w:rPr>
          <w:rFonts w:ascii="Arial" w:cs="Arial" w:eastAsia="Arial" w:hAnsi="Arial"/>
          <w:sz w:val="17"/>
          <w:szCs w:val="17"/>
          <w:color w:val="auto"/>
        </w:rPr>
        <w:t>Products across our platform, like our flagship Duolingo language learning app, Duolingo ABC,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Duolingo English Test, share a singular technology infrastructure, which allows us to leverage operational efficiencies in implementing new features for each. With our shared infrastructure, we are able to innovate at a higher velocity.</w:t>
      </w:r>
    </w:p>
    <w:p>
      <w:pPr>
        <w:spacing w:after="0" w:line="99" w:lineRule="exact"/>
        <w:rPr>
          <w:sz w:val="20"/>
          <w:szCs w:val="20"/>
          <w:color w:val="auto"/>
        </w:rPr>
      </w:pPr>
    </w:p>
    <w:p>
      <w:pPr>
        <w:ind w:left="680" w:right="80"/>
        <w:spacing w:after="0" w:line="287"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personal data to outside parties.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49" w:lineRule="exact"/>
        <w:rPr>
          <w:sz w:val="20"/>
          <w:szCs w:val="20"/>
          <w:color w:val="auto"/>
        </w:rPr>
      </w:pPr>
    </w:p>
    <w:p>
      <w:pPr>
        <w:ind w:left="680" w:right="280"/>
        <w:spacing w:after="0" w:line="268"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beautiful design to make our products fun and engaging, inspiring learners to come back day after day to learn on our platform.</w:t>
      </w:r>
    </w:p>
    <w:p>
      <w:pPr>
        <w:spacing w:after="0" w:line="117" w:lineRule="exact"/>
        <w:rPr>
          <w:sz w:val="20"/>
          <w:szCs w:val="20"/>
          <w:color w:val="auto"/>
        </w:rPr>
      </w:pPr>
    </w:p>
    <w:p>
      <w:pPr>
        <w:jc w:val="both"/>
        <w:ind w:left="680" w:right="480"/>
        <w:spacing w:after="0" w:line="318" w:lineRule="auto"/>
        <w:rPr>
          <w:sz w:val="20"/>
          <w:szCs w:val="20"/>
          <w:color w:val="auto"/>
        </w:rPr>
      </w:pPr>
      <w:r>
        <w:rPr>
          <w:rFonts w:ascii="Arial" w:cs="Arial" w:eastAsia="Arial" w:hAnsi="Arial"/>
          <w:sz w:val="17"/>
          <w:szCs w:val="17"/>
          <w:b w:val="1"/>
          <w:bCs w:val="1"/>
          <w:i w:val="1"/>
          <w:iCs w:val="1"/>
          <w:color w:val="auto"/>
        </w:rPr>
        <w:t xml:space="preserve">Leading consumer brand. </w:t>
      </w:r>
      <w:r>
        <w:rPr>
          <w:rFonts w:ascii="Arial" w:cs="Arial" w:eastAsia="Arial" w:hAnsi="Arial"/>
          <w:sz w:val="17"/>
          <w:szCs w:val="17"/>
          <w:color w:val="auto"/>
        </w:rPr>
        <w:t>Our free, fun, and effective learning experience has made us a category-leading brand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 education, which in turn drives organic traffic to our platform and minimizes our reliance on paid marketing.</w:t>
      </w:r>
    </w:p>
    <w:p>
      <w:pPr>
        <w:spacing w:after="0" w:line="76" w:lineRule="exact"/>
        <w:rPr>
          <w:sz w:val="20"/>
          <w:szCs w:val="20"/>
          <w:color w:val="auto"/>
        </w:rPr>
      </w:pPr>
    </w:p>
    <w:p>
      <w:pPr>
        <w:ind w:left="680" w:right="20"/>
        <w:spacing w:after="0" w:line="268"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more than 500 A/B tests we run per quarter. These A/B tests enable us to rapidly launch product optimizations and new features that materially improve engagement, learning outcomes, and paid subscriber conversion.</w:t>
      </w:r>
    </w:p>
    <w:p>
      <w:pPr>
        <w:spacing w:after="0" w:line="117" w:lineRule="exact"/>
        <w:rPr>
          <w:sz w:val="20"/>
          <w:szCs w:val="20"/>
          <w:color w:val="auto"/>
        </w:rPr>
      </w:pPr>
    </w:p>
    <w:p>
      <w:pPr>
        <w:ind w:left="680" w:right="440"/>
        <w:spacing w:after="0" w:line="268"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 develop novel artificial intelligence models at the intersection of machine learning, natural language processing, and cognitive science.</w:t>
      </w:r>
    </w:p>
    <w:p>
      <w:pPr>
        <w:spacing w:after="0" w:line="117" w:lineRule="exact"/>
        <w:rPr>
          <w:sz w:val="20"/>
          <w:szCs w:val="20"/>
          <w:color w:val="auto"/>
        </w:rPr>
      </w:pPr>
    </w:p>
    <w:p>
      <w:pPr>
        <w:ind w:left="680" w:right="400"/>
        <w:spacing w:after="0" w:line="287"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flywheels drive efficient growth on our platform while widening our competitive moat.</w:t>
      </w:r>
    </w:p>
    <w:p>
      <w:pPr>
        <w:spacing w:after="0" w:line="99" w:lineRule="exact"/>
        <w:rPr>
          <w:sz w:val="20"/>
          <w:szCs w:val="20"/>
          <w:color w:val="auto"/>
        </w:rPr>
      </w:pPr>
    </w:p>
    <w:p>
      <w:pPr>
        <w:ind w:left="680" w:right="380"/>
        <w:spacing w:after="0" w:line="287"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mobile-first platform.</w:t>
      </w:r>
    </w:p>
    <w:p>
      <w:pPr>
        <w:spacing w:after="0" w:line="99"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and “free to 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ectPr>
          <w:pgSz w:w="11900" w:h="16838" w:orient="portrait"/>
          <w:cols w:equalWidth="0" w:num="1">
            <w:col w:w="10480"/>
          </w:cols>
          <w:pgMar w:left="320" w:top="14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320" w:top="144" w:right="109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436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right="380"/>
        <w:spacing w:after="0" w:line="287"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seasoned executives with a proven track record of scaling consumer technology businesses.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left="680" w:right="80"/>
        <w:spacing w:after="0" w:line="269"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17" w:lineRule="exact"/>
        <w:rPr>
          <w:sz w:val="20"/>
          <w:szCs w:val="20"/>
          <w:color w:val="auto"/>
        </w:rPr>
      </w:pPr>
    </w:p>
    <w:p>
      <w:pPr>
        <w:jc w:val="both"/>
        <w:ind w:left="680" w:right="200"/>
        <w:spacing w:after="0" w:line="268"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As a category leader in digital language learning, we believe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positioned to continue to grow the number of learners who use our platform. Our audience is globally distributed, and we are in the early stages of penetrating key international markets, including Europe, Asia, and Latin America.</w:t>
      </w:r>
    </w:p>
    <w:p>
      <w:pPr>
        <w:spacing w:after="0" w:line="117"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b w:val="1"/>
          <w:bCs w:val="1"/>
          <w:i w:val="1"/>
          <w:iCs w:val="1"/>
          <w:color w:val="auto"/>
        </w:rPr>
        <w:t xml:space="preserve">Drive higher conversion to paid subscriptions. </w:t>
      </w:r>
      <w:r>
        <w:rPr>
          <w:rFonts w:ascii="Arial" w:cs="Arial" w:eastAsia="Arial" w:hAnsi="Arial"/>
          <w:sz w:val="18"/>
          <w:szCs w:val="18"/>
          <w:color w:val="auto"/>
        </w:rPr>
        <w:t>We believe our ongoing investment in product improvements,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25"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subscriber stickiness, which drives the lifetime value of our subscribers. The primary way we improve subscriber stickiness is through product improvements that increase engagement, like Leaderboards and Streaks.</w:t>
      </w:r>
    </w:p>
    <w:p>
      <w:pPr>
        <w:spacing w:after="0" w:line="117" w:lineRule="exact"/>
        <w:rPr>
          <w:sz w:val="20"/>
          <w:szCs w:val="20"/>
          <w:color w:val="auto"/>
        </w:rPr>
      </w:pPr>
    </w:p>
    <w:p>
      <w:pPr>
        <w:ind w:left="680"/>
        <w:spacing w:after="0" w:line="257"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We believe there is a significant opportunity to continue expanding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w:t>
      </w:r>
    </w:p>
    <w:p>
      <w:pPr>
        <w:spacing w:after="0" w:line="128"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platform beyond language learning to a variety of subjects, using the same product-focused, mobile-first, gamified approach to education. For example, in 2020 we launched Duolingo ABC, an app for young children that teaches early literacy skills. We believe that expanding the scope of our platform to additional learning subjects will further expand our addressable market.</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Estimated Selected Preliminary Results for the Three Months Ended June 30, 2021 (unaudited)</w:t>
      </w:r>
    </w:p>
    <w:p>
      <w:pPr>
        <w:spacing w:after="0" w:line="207" w:lineRule="exact"/>
        <w:rPr>
          <w:sz w:val="20"/>
          <w:szCs w:val="20"/>
          <w:color w:val="auto"/>
        </w:rPr>
      </w:pPr>
    </w:p>
    <w:p>
      <w:pPr>
        <w:ind w:left="680"/>
        <w:spacing w:after="0" w:line="267" w:lineRule="auto"/>
        <w:rPr>
          <w:sz w:val="20"/>
          <w:szCs w:val="20"/>
          <w:color w:val="auto"/>
        </w:rPr>
      </w:pPr>
      <w:r>
        <w:rPr>
          <w:rFonts w:ascii="Arial" w:cs="Arial" w:eastAsia="Arial" w:hAnsi="Arial"/>
          <w:sz w:val="18"/>
          <w:szCs w:val="18"/>
          <w:color w:val="auto"/>
        </w:rPr>
        <w:t>Set forth below are certain estimated preliminary unaudited financial results and other data for the three months ended June 30, 2021 and the corresponding period of the prior fiscal year. Our unaudited interim consolidated financial statements for the three months ended June 30, 2021 are not yet available. These ranges are based on the information available to us as of the date of this prospectus. These are forward-looking statements and may differ from actual results. We have provided ranges, rather than specific amounts, because these results are preliminary and subject to change. Our actual results may vary from the estimated preliminary results presented below due to the completion of our financial closing and other operational procedures, final adjustments, and other developments that may arise between now and the time the financial results for the three months ended June 30, 2021 are finalized.</w:t>
      </w:r>
    </w:p>
    <w:p>
      <w:pPr>
        <w:sectPr>
          <w:pgSz w:w="11900" w:h="16838" w:orient="portrait"/>
          <w:cols w:equalWidth="0" w:num="1">
            <w:col w:w="10520"/>
          </w:cols>
          <w:pgMar w:left="320" w:top="14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320" w:top="144" w:right="105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93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right="100"/>
        <w:spacing w:after="0" w:line="267" w:lineRule="auto"/>
        <w:rPr>
          <w:sz w:val="20"/>
          <w:szCs w:val="20"/>
          <w:color w:val="auto"/>
        </w:rPr>
      </w:pPr>
      <w:r>
        <w:rPr>
          <w:rFonts w:ascii="Arial" w:cs="Arial" w:eastAsia="Arial" w:hAnsi="Arial"/>
          <w:sz w:val="18"/>
          <w:szCs w:val="18"/>
          <w:color w:val="auto"/>
        </w:rPr>
        <w:t>These estimates should not be viewed as a substitute for our full interim or annual financial statements prepared in accordance with US generally accepted accounting principles (GAAP). Accordingly, you should not place undue reliance on this preliminary data. See the sections titled “Risk Factors,” “Special Note Regarding Forward-Looking Statements,” and “Management’s Discussion and Analysis of Financial Condition and Results of Operations” for additional information regarding factors that could result in differences between the preliminary estimated ranges of our financial and other data presented below and the actual financial and other data we will report for the three months ended June 30, 2021, and see the section titled “—Summary Consolidated Financial and Other Data—Key Operating Metrics and Non-GAAP Financial Measures” for additional information on the operating metrics and non-GAAP financial measures set forth below.</w:t>
      </w:r>
    </w:p>
    <w:p>
      <w:pPr>
        <w:spacing w:after="0" w:line="156" w:lineRule="exact"/>
        <w:rPr>
          <w:sz w:val="20"/>
          <w:szCs w:val="20"/>
          <w:color w:val="auto"/>
        </w:rPr>
      </w:pPr>
    </w:p>
    <w:p>
      <w:pPr>
        <w:ind w:left="680" w:right="200"/>
        <w:spacing w:after="0" w:line="269" w:lineRule="auto"/>
        <w:rPr>
          <w:sz w:val="20"/>
          <w:szCs w:val="20"/>
          <w:color w:val="auto"/>
        </w:rPr>
      </w:pPr>
      <w:r>
        <w:rPr>
          <w:rFonts w:ascii="Arial" w:cs="Arial" w:eastAsia="Arial" w:hAnsi="Arial"/>
          <w:sz w:val="18"/>
          <w:szCs w:val="18"/>
          <w:color w:val="auto"/>
        </w:rPr>
        <w:t>The estimated preliminary financial results for the three months ended June 30, 2021 have been prepared by, and are the responsibility of, management. Our independent registered public accounting firm, Deloitte &amp; Touche LLP, has not audited, reviewed, compiled or performed any procedures with respect to the estimated preliminary financial results. Accordingly, Deloitte &amp; Touche LLP does not express an opinion or any other form of assurance with respect thereto.</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2020 Actual</w:t>
            </w: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 Estimated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880" w:type="dxa"/>
            <w:vAlign w:val="bottom"/>
          </w:tcPr>
          <w:p>
            <w:pPr>
              <w:jc w:val="right"/>
              <w:ind w:right="453"/>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10"/>
        </w:trPr>
        <w:tc>
          <w:tcPr>
            <w:tcW w:w="55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b w:val="1"/>
                <w:bCs w:val="1"/>
                <w:color w:val="auto"/>
              </w:rPr>
              <w:t>GAAP Financial Measures</w:t>
            </w:r>
          </w:p>
        </w:tc>
        <w:tc>
          <w:tcPr>
            <w:tcW w:w="22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20" w:type="dxa"/>
            <w:vAlign w:val="bottom"/>
            <w:tcBorders>
              <w:top w:val="single" w:sz="8" w:color="auto"/>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58,500</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7"/>
        </w:trPr>
        <w:tc>
          <w:tcPr>
            <w:tcW w:w="55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Operating Metrics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Subscription bookings(1)</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36,581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Total bookings(2)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49,569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63,300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64,500</w:t>
            </w:r>
          </w:p>
        </w:tc>
        <w:tc>
          <w:tcPr>
            <w:tcW w:w="0" w:type="dxa"/>
            <w:vAlign w:val="bottom"/>
          </w:tcPr>
          <w:p>
            <w:pPr>
              <w:spacing w:after="0"/>
              <w:rPr>
                <w:sz w:val="1"/>
                <w:szCs w:val="1"/>
                <w:color w:val="auto"/>
              </w:rPr>
            </w:pPr>
          </w:p>
        </w:tc>
      </w:tr>
      <w:tr>
        <w:trPr>
          <w:trHeight w:val="257"/>
        </w:trPr>
        <w:tc>
          <w:tcPr>
            <w:tcW w:w="550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1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Non-GAAP Financial Measure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Adjusted EBITDA(3)</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980" w:hanging="306"/>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63" w:lineRule="exact"/>
        <w:rPr>
          <w:rFonts w:ascii="Arial" w:cs="Arial" w:eastAsia="Arial" w:hAnsi="Arial"/>
          <w:sz w:val="14"/>
          <w:szCs w:val="14"/>
          <w:color w:val="auto"/>
        </w:rPr>
      </w:pPr>
    </w:p>
    <w:p>
      <w:pPr>
        <w:ind w:left="1000" w:right="120" w:hanging="326"/>
        <w:spacing w:after="0" w:line="258" w:lineRule="auto"/>
        <w:tabs>
          <w:tab w:leader="none" w:pos="987"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1000" w:right="20" w:hanging="326"/>
        <w:spacing w:after="0" w:line="258" w:lineRule="auto"/>
        <w:tabs>
          <w:tab w:leader="none" w:pos="987"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is defined as net loss excluding interest (income) expense, net, income tax provision, depreciation and amortization, IPO and public company readiness costs, stock-based compensation expense, tender offer-related costs, other expenses, and the impairment of capitalized software.</w:t>
      </w:r>
    </w:p>
    <w:p>
      <w:pPr>
        <w:spacing w:after="0" w:line="134" w:lineRule="exact"/>
        <w:rPr>
          <w:rFonts w:ascii="Arial" w:cs="Arial" w:eastAsia="Arial" w:hAnsi="Arial"/>
          <w:sz w:val="14"/>
          <w:szCs w:val="14"/>
          <w:color w:val="auto"/>
        </w:rPr>
      </w:pPr>
    </w:p>
    <w:p>
      <w:pPr>
        <w:ind w:left="1320" w:hanging="322"/>
        <w:spacing w:after="0" w:line="253" w:lineRule="auto"/>
        <w:tabs>
          <w:tab w:leader="none" w:pos="131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revenue to be between $57.3 million and $58.5 million, as compared to revenue of $40.0 million for the three months ended June 30, 2020, an increase of 45% at the midpoint. The expected increase is due to the increase in total bookings, which was driven by a higher number of average subscribers. In addition, advertising revenue increased due to an increase in daily active users and average revenue per user.</w:t>
      </w:r>
    </w:p>
    <w:p>
      <w:pPr>
        <w:spacing w:after="0" w:line="151" w:lineRule="exact"/>
        <w:rPr>
          <w:rFonts w:ascii="Arial" w:cs="Arial" w:eastAsia="Arial" w:hAnsi="Arial"/>
          <w:sz w:val="18"/>
          <w:szCs w:val="18"/>
          <w:color w:val="auto"/>
        </w:rPr>
      </w:pPr>
    </w:p>
    <w:p>
      <w:pPr>
        <w:ind w:left="1320" w:right="120" w:hanging="322"/>
        <w:spacing w:after="0" w:line="253" w:lineRule="auto"/>
        <w:tabs>
          <w:tab w:leader="none" w:pos="131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gross profit to be between $41.2 million and $42.4 million, as compared to gross profit of $28.2 million for the three months ended June 30, 2020, an increase of 48% at the midpoint. The expected increase is driven by the higher revenue as described above, and the mix shift towards higher percentages of subscribers on the annual plan. Further, advertising revenue per user was higher year over year.</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80"/>
          </w:cols>
          <w:pgMar w:left="320" w:top="144" w:right="99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24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260" w:hanging="322"/>
        <w:spacing w:after="0" w:line="278" w:lineRule="auto"/>
        <w:tabs>
          <w:tab w:leader="none" w:pos="1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three months ended June 30, 2021 we expect net loss to be between $(3.0) million and $(0.5) million, as compared to net income of $40.4 thousand for the three months ended June 30, 2020. The expected decrease is due to operating expenses, particularly research and development expenses, increasing faster than gross profit.</w:t>
      </w:r>
    </w:p>
    <w:p>
      <w:pPr>
        <w:spacing w:after="0" w:line="130" w:lineRule="exact"/>
        <w:rPr>
          <w:rFonts w:ascii="Arial" w:cs="Arial" w:eastAsia="Arial" w:hAnsi="Arial"/>
          <w:sz w:val="17"/>
          <w:szCs w:val="17"/>
          <w:color w:val="auto"/>
        </w:rPr>
      </w:pPr>
    </w:p>
    <w:p>
      <w:pPr>
        <w:ind w:left="1320" w:right="60" w:hanging="322"/>
        <w:spacing w:after="0" w:line="254"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subscription bookings to be between $48.0 million and $49.0 million, as compared to subscription bookings of $36.6 million for the three months ended June 30, 2020, an increase of 33% at the midpoint. The expected increase is due to an increase in the number of subscribers from the prior year.</w:t>
      </w:r>
    </w:p>
    <w:p>
      <w:pPr>
        <w:spacing w:after="0" w:line="149" w:lineRule="exact"/>
        <w:rPr>
          <w:rFonts w:ascii="Arial" w:cs="Arial" w:eastAsia="Arial" w:hAnsi="Arial"/>
          <w:sz w:val="18"/>
          <w:szCs w:val="18"/>
          <w:color w:val="auto"/>
        </w:rPr>
      </w:pPr>
    </w:p>
    <w:p>
      <w:pPr>
        <w:ind w:left="1320" w:right="40" w:hanging="322"/>
        <w:spacing w:after="0" w:line="254"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total bookings to be between $63.3 million and $64.5 million, as compared to total bookings of $49.6 million for the three months ended June 30, 2020, an increase of 29% at the midpoint. The expected increase is due to the increase in subscription bookings noted above, in addition to the increase in advertising revenue due to an increase in daily active users and average revenue per user.</w:t>
      </w:r>
    </w:p>
    <w:p>
      <w:pPr>
        <w:spacing w:after="0" w:line="149" w:lineRule="exact"/>
        <w:rPr>
          <w:rFonts w:ascii="Arial" w:cs="Arial" w:eastAsia="Arial" w:hAnsi="Arial"/>
          <w:sz w:val="18"/>
          <w:szCs w:val="18"/>
          <w:color w:val="auto"/>
        </w:rPr>
      </w:pPr>
    </w:p>
    <w:p>
      <w:pPr>
        <w:ind w:left="1320" w:right="20" w:hanging="322"/>
        <w:spacing w:after="0" w:line="256" w:lineRule="auto"/>
        <w:tabs>
          <w:tab w:leader="none" w:pos="1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2021 we expect Adjusted EBITDA to be between $1.0 million and $3.5 million, as compared to Adjusted EBITDA of $2.3 million for the three months ended June 30, 2020, a decrease of (3)% at the midpoint. Adjusted EBITDA will change based upon the changes noted in net income (loss) above.</w:t>
      </w:r>
    </w:p>
    <w:p>
      <w:pPr>
        <w:spacing w:after="0" w:line="161" w:lineRule="exact"/>
        <w:rPr>
          <w:sz w:val="20"/>
          <w:szCs w:val="20"/>
          <w:color w:val="auto"/>
        </w:rPr>
      </w:pPr>
    </w:p>
    <w:p>
      <w:pPr>
        <w:ind w:left="680" w:right="180"/>
        <w:spacing w:after="0" w:line="277" w:lineRule="auto"/>
        <w:rPr>
          <w:sz w:val="20"/>
          <w:szCs w:val="20"/>
          <w:color w:val="auto"/>
        </w:rPr>
      </w:pPr>
      <w:r>
        <w:rPr>
          <w:rFonts w:ascii="Arial" w:cs="Arial" w:eastAsia="Arial" w:hAnsi="Arial"/>
          <w:sz w:val="18"/>
          <w:szCs w:val="18"/>
          <w:color w:val="auto"/>
          <w:highlight w:val="white"/>
        </w:rPr>
        <w:t>The following table presents a reconciliation of Adjusted EBITDA for the periods presented above to net income (loss), the most directly comparable financial measure presented in accordance with GAAP:</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2020 Actual</w:t>
            </w: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 Estimated</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880" w:type="dxa"/>
            <w:vAlign w:val="bottom"/>
          </w:tcPr>
          <w:p>
            <w:pPr>
              <w:jc w:val="right"/>
              <w:ind w:right="452"/>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23"/>
        </w:trPr>
        <w:tc>
          <w:tcPr>
            <w:tcW w:w="5500" w:type="dxa"/>
            <w:vAlign w:val="bottom"/>
            <w:tcBorders>
              <w:top w:val="single" w:sz="8" w:color="DBDBDB"/>
            </w:tcBorders>
            <w:shd w:val="clear" w:color="auto" w:fill="DBDBDB"/>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IPO and public company readiness costs(1)</w:t>
            </w:r>
          </w:p>
        </w:tc>
        <w:tc>
          <w:tcPr>
            <w:tcW w:w="2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Other expenses(2)</w:t>
            </w:r>
          </w:p>
        </w:tc>
        <w:tc>
          <w:tcPr>
            <w:tcW w:w="2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300" w:hanging="326"/>
        <w:spacing w:after="0" w:line="249" w:lineRule="auto"/>
        <w:tabs>
          <w:tab w:leader="none" w:pos="987" w:val="left"/>
        </w:tabs>
        <w:numPr>
          <w:ilvl w:val="0"/>
          <w:numId w:val="7"/>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146" w:lineRule="exact"/>
        <w:rPr>
          <w:rFonts w:ascii="Arial" w:cs="Arial" w:eastAsia="Arial" w:hAnsi="Arial"/>
          <w:sz w:val="14"/>
          <w:szCs w:val="14"/>
          <w:color w:val="auto"/>
        </w:rPr>
      </w:pPr>
    </w:p>
    <w:p>
      <w:pPr>
        <w:ind w:left="1000" w:right="20" w:hanging="326"/>
        <w:spacing w:after="0" w:line="249" w:lineRule="auto"/>
        <w:tabs>
          <w:tab w:leader="none" w:pos="98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See Note 14 to our audited consolidated financial statements and Note 2 to our unaudited interim consolidated financial statements included elsewhere in this prospectus.</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Risk Factors Summary</w:t>
      </w:r>
    </w:p>
    <w:p>
      <w:pPr>
        <w:spacing w:after="0" w:line="207" w:lineRule="exact"/>
        <w:rPr>
          <w:sz w:val="20"/>
          <w:szCs w:val="20"/>
          <w:color w:val="auto"/>
        </w:rPr>
      </w:pPr>
    </w:p>
    <w:p>
      <w:pPr>
        <w:jc w:val="both"/>
        <w:ind w:left="680" w:right="300"/>
        <w:spacing w:after="0" w:line="271"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136" w:lineRule="exact"/>
        <w:rPr>
          <w:sz w:val="20"/>
          <w:szCs w:val="20"/>
          <w:color w:val="auto"/>
        </w:rPr>
      </w:pPr>
    </w:p>
    <w:p>
      <w:pPr>
        <w:ind w:left="1320" w:right="40" w:hanging="322"/>
        <w:spacing w:after="0" w:line="291" w:lineRule="auto"/>
        <w:tabs>
          <w:tab w:leader="none" w:pos="1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keep existing users or add new users, or if our users decrease their level of engagement with our products or do not convert to paying users, our revenue, financial results and business may be significantly harmed.</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60"/>
          </w:cols>
          <w:pgMar w:left="320" w:top="144" w:right="101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65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6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143" w:lineRule="exact"/>
        <w:rPr>
          <w:rFonts w:ascii="Arial" w:cs="Arial" w:eastAsia="Arial" w:hAnsi="Arial"/>
          <w:sz w:val="18"/>
          <w:szCs w:val="18"/>
          <w:color w:val="auto"/>
        </w:rPr>
      </w:pPr>
    </w:p>
    <w:p>
      <w:pPr>
        <w:ind w:left="1320" w:right="28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143" w:lineRule="exact"/>
        <w:rPr>
          <w:rFonts w:ascii="Arial" w:cs="Arial" w:eastAsia="Arial" w:hAnsi="Arial"/>
          <w:sz w:val="18"/>
          <w:szCs w:val="18"/>
          <w:color w:val="auto"/>
        </w:rPr>
      </w:pPr>
    </w:p>
    <w:p>
      <w:pPr>
        <w:ind w:left="1320" w:right="4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43" w:lineRule="exact"/>
        <w:rPr>
          <w:rFonts w:ascii="Arial" w:cs="Arial" w:eastAsia="Arial" w:hAnsi="Arial"/>
          <w:sz w:val="18"/>
          <w:szCs w:val="18"/>
          <w:color w:val="auto"/>
        </w:rPr>
      </w:pPr>
    </w:p>
    <w:p>
      <w:pPr>
        <w:ind w:left="1320" w:right="50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operating results and other operating metrics may fluctuate from quarter to quarter, which makes these metrics difficult to predict.</w:t>
      </w:r>
    </w:p>
    <w:p>
      <w:pPr>
        <w:spacing w:after="0" w:line="143" w:lineRule="exact"/>
        <w:rPr>
          <w:rFonts w:ascii="Arial" w:cs="Arial" w:eastAsia="Arial" w:hAnsi="Arial"/>
          <w:sz w:val="18"/>
          <w:szCs w:val="18"/>
          <w:color w:val="auto"/>
        </w:rPr>
      </w:pPr>
    </w:p>
    <w:p>
      <w:pPr>
        <w:ind w:left="1320" w:right="44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user metrics and other estimates are subject to inherent challenges in measurement, and real or perceived inaccuracies in those metrics may negatively affect our reputation and our business.</w:t>
      </w:r>
    </w:p>
    <w:p>
      <w:pPr>
        <w:spacing w:after="0" w:line="143" w:lineRule="exact"/>
        <w:rPr>
          <w:rFonts w:ascii="Arial" w:cs="Arial" w:eastAsia="Arial" w:hAnsi="Arial"/>
          <w:sz w:val="18"/>
          <w:szCs w:val="18"/>
          <w:color w:val="auto"/>
        </w:rPr>
      </w:pPr>
    </w:p>
    <w:p>
      <w:pPr>
        <w:ind w:left="1320" w:right="80" w:hanging="322"/>
        <w:spacing w:after="0" w:line="253"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51" w:lineRule="exact"/>
        <w:rPr>
          <w:rFonts w:ascii="Arial" w:cs="Arial" w:eastAsia="Arial" w:hAnsi="Arial"/>
          <w:sz w:val="18"/>
          <w:szCs w:val="18"/>
          <w:color w:val="auto"/>
        </w:rPr>
      </w:pPr>
    </w:p>
    <w:p>
      <w:pPr>
        <w:ind w:left="1320" w:hanging="322"/>
        <w:spacing w:after="0" w:line="254"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49" w:lineRule="exact"/>
        <w:rPr>
          <w:rFonts w:ascii="Arial" w:cs="Arial" w:eastAsia="Arial" w:hAnsi="Arial"/>
          <w:sz w:val="18"/>
          <w:szCs w:val="18"/>
          <w:color w:val="auto"/>
        </w:rPr>
      </w:pPr>
    </w:p>
    <w:p>
      <w:pPr>
        <w:ind w:left="1320" w:right="60" w:hanging="322"/>
        <w:spacing w:after="0" w:line="254"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49" w:lineRule="exact"/>
        <w:rPr>
          <w:rFonts w:ascii="Arial" w:cs="Arial" w:eastAsia="Arial" w:hAnsi="Arial"/>
          <w:sz w:val="18"/>
          <w:szCs w:val="18"/>
          <w:color w:val="auto"/>
        </w:rPr>
      </w:pPr>
    </w:p>
    <w:p>
      <w:pPr>
        <w:ind w:left="1320" w:right="22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collect, and use personal data about our users and payers, and to comply with applicable data privacy laws.</w:t>
      </w:r>
    </w:p>
    <w:p>
      <w:pPr>
        <w:spacing w:after="0" w:line="143" w:lineRule="exact"/>
        <w:rPr>
          <w:rFonts w:ascii="Arial" w:cs="Arial" w:eastAsia="Arial" w:hAnsi="Arial"/>
          <w:sz w:val="18"/>
          <w:szCs w:val="18"/>
          <w:color w:val="auto"/>
        </w:rPr>
      </w:pPr>
    </w:p>
    <w:p>
      <w:pPr>
        <w:ind w:left="1320" w:right="120" w:hanging="322"/>
        <w:spacing w:after="0" w:line="256"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47" w:lineRule="exact"/>
        <w:rPr>
          <w:rFonts w:ascii="Arial" w:cs="Arial" w:eastAsia="Arial" w:hAnsi="Arial"/>
          <w:sz w:val="18"/>
          <w:szCs w:val="18"/>
          <w:color w:val="auto"/>
        </w:rPr>
      </w:pPr>
    </w:p>
    <w:p>
      <w:pPr>
        <w:ind w:left="1320" w:right="60" w:hanging="322"/>
        <w:spacing w:after="0" w:line="256"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47" w:lineRule="exact"/>
        <w:rPr>
          <w:rFonts w:ascii="Arial" w:cs="Arial" w:eastAsia="Arial" w:hAnsi="Arial"/>
          <w:sz w:val="18"/>
          <w:szCs w:val="18"/>
          <w:color w:val="auto"/>
        </w:rPr>
      </w:pPr>
    </w:p>
    <w:p>
      <w:pPr>
        <w:ind w:left="1320" w:right="260" w:hanging="322"/>
        <w:spacing w:after="0" w:line="261"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143" w:lineRule="exact"/>
        <w:rPr>
          <w:rFonts w:ascii="Arial" w:cs="Arial" w:eastAsia="Arial" w:hAnsi="Arial"/>
          <w:sz w:val="18"/>
          <w:szCs w:val="18"/>
          <w:color w:val="auto"/>
        </w:rPr>
      </w:pPr>
    </w:p>
    <w:p>
      <w:pPr>
        <w:ind w:left="1320" w:right="160" w:hanging="322"/>
        <w:spacing w:after="0" w:line="254" w:lineRule="auto"/>
        <w:tabs>
          <w:tab w:leader="none" w:pos="1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80"/>
          </w:cols>
          <w:pgMar w:left="320" w:top="144" w:right="99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273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100" w:hanging="322"/>
        <w:spacing w:after="0" w:line="252" w:lineRule="auto"/>
        <w:tabs>
          <w:tab w:leader="none" w:pos="1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We were incorporated in August 2011 as a Delaware corporation. Our principal executive offices are located at 5900 Penn Avenue, Pittsburgh, Pennsylvania 15206, and our telephone number is (412) 567-6602. Our website address is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54" w:lineRule="exact"/>
        <w:rPr>
          <w:sz w:val="20"/>
          <w:szCs w:val="20"/>
          <w:color w:val="auto"/>
        </w:rPr>
      </w:pPr>
    </w:p>
    <w:p>
      <w:pPr>
        <w:ind w:left="680" w:right="360"/>
        <w:spacing w:after="0" w:line="268" w:lineRule="auto"/>
        <w:rPr>
          <w:sz w:val="20"/>
          <w:szCs w:val="20"/>
          <w:color w:val="auto"/>
        </w:rPr>
      </w:pPr>
      <w:r>
        <w:rPr>
          <w:rFonts w:ascii="Arial" w:cs="Arial" w:eastAsia="Arial" w:hAnsi="Arial"/>
          <w:sz w:val="18"/>
          <w:szCs w:val="18"/>
          <w:color w:val="auto"/>
        </w:rPr>
        <w:t>The Duolingo word mark, “Duolingo,” and our other registered or common law trademarks, service marks or tradenames appearing in this prospectus are the property of Duolingo, Inc. Solely for convenience, our trademarks, tradenames, and service marks referred to in this prospectus appear without the ®, TM,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07" w:lineRule="exact"/>
        <w:rPr>
          <w:sz w:val="20"/>
          <w:szCs w:val="20"/>
          <w:color w:val="auto"/>
        </w:rPr>
      </w:pPr>
    </w:p>
    <w:p>
      <w:pPr>
        <w:ind w:left="680" w:right="80"/>
        <w:spacing w:after="0" w:line="26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141" w:lineRule="exact"/>
        <w:rPr>
          <w:sz w:val="20"/>
          <w:szCs w:val="20"/>
          <w:color w:val="auto"/>
        </w:rPr>
      </w:pPr>
    </w:p>
    <w:p>
      <w:pPr>
        <w:ind w:left="1320" w:right="80" w:hanging="322"/>
        <w:spacing w:after="0" w:line="256"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financial statements, plus unaudited condensed financial statements for any interim period, and related management’s discussion and analysis of financial condition and results of operations;</w:t>
      </w:r>
    </w:p>
    <w:p>
      <w:pPr>
        <w:spacing w:after="0" w:line="147" w:lineRule="exact"/>
        <w:rPr>
          <w:rFonts w:ascii="Arial" w:cs="Arial" w:eastAsia="Arial" w:hAnsi="Arial"/>
          <w:sz w:val="18"/>
          <w:szCs w:val="18"/>
          <w:color w:val="auto"/>
        </w:rPr>
      </w:pPr>
    </w:p>
    <w:p>
      <w:pPr>
        <w:ind w:left="1320" w:right="200" w:hanging="322"/>
        <w:spacing w:after="0" w:line="261"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w:t>
      </w:r>
    </w:p>
    <w:p>
      <w:pPr>
        <w:spacing w:after="0" w:line="143" w:lineRule="exact"/>
        <w:rPr>
          <w:rFonts w:ascii="Arial" w:cs="Arial" w:eastAsia="Arial" w:hAnsi="Arial"/>
          <w:sz w:val="18"/>
          <w:szCs w:val="18"/>
          <w:color w:val="auto"/>
        </w:rPr>
      </w:pPr>
    </w:p>
    <w:p>
      <w:pPr>
        <w:ind w:left="1320" w:hanging="322"/>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71" w:lineRule="exact"/>
        <w:rPr>
          <w:rFonts w:ascii="Arial" w:cs="Arial" w:eastAsia="Arial" w:hAnsi="Arial"/>
          <w:sz w:val="18"/>
          <w:szCs w:val="18"/>
          <w:color w:val="auto"/>
        </w:rPr>
      </w:pPr>
    </w:p>
    <w:p>
      <w:pPr>
        <w:ind w:left="1320" w:right="740" w:hanging="322"/>
        <w:spacing w:after="0" w:line="261" w:lineRule="auto"/>
        <w:tabs>
          <w:tab w:leader="none" w:pos="1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80"/>
          </w:cols>
          <w:pgMar w:left="320" w:top="144" w:right="99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1830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320" w:top="144" w:right="107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6278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278880"/>
                    </a:xfrm>
                    <a:prstGeom prst="rect">
                      <a:avLst/>
                    </a:prstGeom>
                    <a:noFill/>
                  </pic:spPr>
                </pic:pic>
              </a:graphicData>
            </a:graphic>
          </wp:anchor>
        </w:drawing>
      </w:r>
    </w:p>
    <w:p>
      <w:pPr>
        <w:sectPr>
          <w:pgSz w:w="11900" w:h="16838" w:orient="portrait"/>
          <w:cols w:equalWidth="0" w:num="1">
            <w:col w:w="10520"/>
          </w:cols>
          <w:pgMar w:left="320" w:top="14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Class A common stock offered by us</w:t>
      </w:r>
    </w:p>
    <w:p>
      <w:pPr>
        <w:spacing w:after="0" w:line="185" w:lineRule="exact"/>
        <w:rPr>
          <w:sz w:val="20"/>
          <w:szCs w:val="20"/>
          <w:color w:val="auto"/>
        </w:rPr>
      </w:pPr>
    </w:p>
    <w:p>
      <w:pPr>
        <w:ind w:left="700" w:right="300"/>
        <w:spacing w:after="0" w:line="227" w:lineRule="auto"/>
        <w:rPr>
          <w:sz w:val="20"/>
          <w:szCs w:val="20"/>
          <w:color w:val="auto"/>
        </w:rPr>
      </w:pPr>
      <w:r>
        <w:rPr>
          <w:rFonts w:ascii="Arial" w:cs="Arial" w:eastAsia="Arial" w:hAnsi="Arial"/>
          <w:sz w:val="18"/>
          <w:szCs w:val="18"/>
          <w:color w:val="auto"/>
        </w:rPr>
        <w:t>Class A common stock offered by the selling stockholders</w:t>
      </w:r>
    </w:p>
    <w:p>
      <w:pPr>
        <w:spacing w:after="0" w:line="175" w:lineRule="exact"/>
        <w:rPr>
          <w:sz w:val="20"/>
          <w:szCs w:val="20"/>
          <w:color w:val="auto"/>
        </w:rPr>
      </w:pPr>
    </w:p>
    <w:p>
      <w:pPr>
        <w:ind w:left="700" w:right="140"/>
        <w:spacing w:after="0" w:line="241" w:lineRule="auto"/>
        <w:rPr>
          <w:sz w:val="20"/>
          <w:szCs w:val="20"/>
          <w:color w:val="auto"/>
        </w:rPr>
      </w:pPr>
      <w:r>
        <w:rPr>
          <w:rFonts w:ascii="Arial" w:cs="Arial" w:eastAsia="Arial" w:hAnsi="Arial"/>
          <w:sz w:val="17"/>
          <w:szCs w:val="17"/>
          <w:color w:val="auto"/>
        </w:rPr>
        <w:t>Option to purchase additional shares of Class A common stock offered by us</w:t>
      </w:r>
    </w:p>
    <w:p>
      <w:pPr>
        <w:spacing w:after="0" w:line="174"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Class A common stock to be outstanding after this offering</w:t>
      </w:r>
    </w:p>
    <w:p>
      <w:pPr>
        <w:spacing w:after="0" w:line="175"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Class B common stock to be outstanding after this offering</w:t>
      </w:r>
    </w:p>
    <w:p>
      <w:pPr>
        <w:spacing w:after="0" w:line="175" w:lineRule="exact"/>
        <w:rPr>
          <w:sz w:val="20"/>
          <w:szCs w:val="20"/>
          <w:color w:val="auto"/>
        </w:rPr>
      </w:pPr>
    </w:p>
    <w:p>
      <w:pPr>
        <w:ind w:left="700"/>
        <w:spacing w:after="0" w:line="22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3,700,000 shares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1,406,113 shares</w:t>
      </w:r>
    </w:p>
    <w:p>
      <w:pPr>
        <w:spacing w:after="0" w:line="18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765,916 shares. The underwriters can exercise this option at any time within 30 days from the date of this prospectus.</w:t>
      </w:r>
    </w:p>
    <w:p>
      <w:pPr>
        <w:spacing w:after="0" w:line="17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11,293,655 shares (or 12,059,571 shares if the underwriters exercise their option to purchase additional shares of Class A common stock in full).</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24,598,497 shares</w:t>
      </w:r>
    </w:p>
    <w:p>
      <w:pPr>
        <w:spacing w:after="0" w:line="18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35,892,152 shares (or 36,658,068 shares if the underwriters exercise their option to purchase additional shares of Class A common stock in full).</w:t>
      </w:r>
    </w:p>
    <w:p>
      <w:pPr>
        <w:spacing w:after="0" w:line="174"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We have two classes of common stock, Class A and Class B common stock. The rights of holders of Class A and Class B common stock are identical, except voting and conversion rights. Each share of Class A common stock is entitled to one vote. Each share of Class B common stock is entitled to 20 votes and is convertible at any time into one share of Class A common stock.</w:t>
      </w:r>
    </w:p>
    <w:p>
      <w:pPr>
        <w:spacing w:after="0" w:line="13"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The holders of our outstanding Class B common stock will hold 97.8% of the voting power of our outstanding capital stock following this offering, with our directors, executive officers, and 5% stockholders and their respective affiliates holding approximately 91.5% of the voting power. These holders will have the ability to control the outcome of matters submitted to our stockholders for approval, including the election of our directors and the approval of any change of control transaction. See the section titled “Description of Capital Stock” for additional information.</w:t>
      </w:r>
    </w:p>
    <w:p>
      <w:pPr>
        <w:spacing w:after="0" w:line="178"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We estimate that that we will receive net proceeds from this offering of approximately $335.9 million (or $406.2 million if the underwriters exercise their option to purchase additional shares of Class A common stock in full), based upon an assumed initial public offering price of $97.50 per share, which is the midpoint of the price range set forth on the cover page of this prospectus, after deducting underwriting discounts and commissions and estimated offering expenses payable by us.</w:t>
      </w:r>
    </w:p>
    <w:p>
      <w:pPr>
        <w:spacing w:after="0" w:line="123"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We will not receive any proceeds from the sale of shares of Class A common stock offered by the selling stockholders.</w:t>
      </w:r>
    </w:p>
    <w:p>
      <w:pPr>
        <w:spacing w:after="0" w:line="200" w:lineRule="exact"/>
        <w:rPr>
          <w:sz w:val="20"/>
          <w:szCs w:val="20"/>
          <w:color w:val="auto"/>
        </w:rPr>
      </w:pPr>
    </w:p>
    <w:p>
      <w:pPr>
        <w:sectPr>
          <w:pgSz w:w="11900" w:h="16838" w:orient="portrait"/>
          <w:cols w:equalWidth="0" w:num="2">
            <w:col w:w="3960" w:space="220"/>
            <w:col w:w="6340"/>
          </w:cols>
          <w:pgMar w:left="320" w:top="144"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0"/>
          </w:cols>
          <w:pgMar w:left="320" w:top="144" w:right="10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350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80" w:right="140"/>
        <w:spacing w:after="0" w:line="210"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 We currently intend to use the net proceeds from this offering for general corporate purposes, including working capital, operating expenses, and capital expenditures. We will have broad discretion in the way that we use the net proceeds of this offering. See the section titled “Use of Proceeds” for additional information.</w:t>
      </w:r>
    </w:p>
    <w:p>
      <w:pPr>
        <w:spacing w:after="0" w:line="145" w:lineRule="exact"/>
        <w:rPr>
          <w:sz w:val="20"/>
          <w:szCs w:val="20"/>
          <w:color w:val="auto"/>
        </w:rPr>
      </w:pPr>
    </w:p>
    <w:p>
      <w:pPr>
        <w:ind w:left="700"/>
        <w:spacing w:after="0"/>
        <w:tabs>
          <w:tab w:leader="none" w:pos="41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the section titled “Risk Factors” and the other information included in this</w:t>
      </w:r>
    </w:p>
    <w:p>
      <w:pPr>
        <w:ind w:left="4180" w:right="500"/>
        <w:spacing w:after="0" w:line="227" w:lineRule="auto"/>
        <w:rPr>
          <w:sz w:val="20"/>
          <w:szCs w:val="20"/>
          <w:color w:val="auto"/>
        </w:rPr>
      </w:pPr>
      <w:r>
        <w:rPr>
          <w:rFonts w:ascii="Arial" w:cs="Arial" w:eastAsia="Arial" w:hAnsi="Arial"/>
          <w:sz w:val="18"/>
          <w:szCs w:val="18"/>
          <w:color w:val="auto"/>
        </w:rPr>
        <w:t>prospectus for a discussion of factors you should carefully consider before deciding to invest in shares of our Class A common stock.</w:t>
      </w:r>
    </w:p>
    <w:p>
      <w:pPr>
        <w:spacing w:after="0" w:line="175" w:lineRule="exact"/>
        <w:rPr>
          <w:sz w:val="20"/>
          <w:szCs w:val="20"/>
          <w:color w:val="auto"/>
        </w:rPr>
      </w:pPr>
    </w:p>
    <w:p>
      <w:pPr>
        <w:ind w:left="700"/>
        <w:spacing w:after="0"/>
        <w:tabs>
          <w:tab w:leader="none" w:pos="416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“DUOL”</w:t>
      </w:r>
    </w:p>
    <w:p>
      <w:pPr>
        <w:spacing w:after="0" w:line="279" w:lineRule="exact"/>
        <w:rPr>
          <w:sz w:val="20"/>
          <w:szCs w:val="20"/>
          <w:color w:val="auto"/>
        </w:rPr>
      </w:pPr>
    </w:p>
    <w:p>
      <w:pPr>
        <w:ind w:left="680" w:right="80"/>
        <w:spacing w:after="0" w:line="271" w:lineRule="auto"/>
        <w:rPr>
          <w:sz w:val="20"/>
          <w:szCs w:val="20"/>
          <w:color w:val="auto"/>
        </w:rPr>
      </w:pPr>
      <w:r>
        <w:rPr>
          <w:rFonts w:ascii="Arial" w:cs="Arial" w:eastAsia="Arial" w:hAnsi="Arial"/>
          <w:sz w:val="18"/>
          <w:szCs w:val="18"/>
          <w:color w:val="auto"/>
        </w:rPr>
        <w:t>The number of shares of our common stock to be outstanding after this offering is based on 6,187,542 shares of Class A common stock and 26,004,610 shares of Class B common stock outstanding as of March 31, 2021 (after giving effect to the Transactions (as defined below)), and excludes:</w:t>
      </w:r>
    </w:p>
    <w:p>
      <w:pPr>
        <w:spacing w:after="0" w:line="136" w:lineRule="exact"/>
        <w:rPr>
          <w:sz w:val="20"/>
          <w:szCs w:val="20"/>
          <w:color w:val="auto"/>
        </w:rPr>
      </w:pPr>
    </w:p>
    <w:p>
      <w:pPr>
        <w:ind w:left="1320" w:right="380" w:hanging="322"/>
        <w:spacing w:after="0" w:line="256"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6,736,002 shares of our Class A common stock issuable upon the exercise of options to purchase shares of our Class A common stock that were outstanding as of March 31, 2021, with a weighted-average exercise price of $9.64 per share, pursuant to our 2011 Equity Incentive Plan, as amended (2011 Plan);</w:t>
      </w:r>
    </w:p>
    <w:p>
      <w:pPr>
        <w:spacing w:after="0" w:line="147" w:lineRule="exact"/>
        <w:rPr>
          <w:rFonts w:ascii="Arial" w:cs="Arial" w:eastAsia="Arial" w:hAnsi="Arial"/>
          <w:sz w:val="18"/>
          <w:szCs w:val="18"/>
          <w:color w:val="auto"/>
        </w:rPr>
      </w:pPr>
    </w:p>
    <w:p>
      <w:pPr>
        <w:ind w:left="1320" w:right="380" w:hanging="322"/>
        <w:spacing w:after="0" w:line="256"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1,034,500 shares of our Class B common stock issuable upon the exercise of options to purchase shares of our Class B common stock that were outstanding as of March 31, 2021, with a weighted-average exercise price of $20.17 per share, pursuant to our 2011 Plan;</w:t>
      </w:r>
    </w:p>
    <w:p>
      <w:pPr>
        <w:spacing w:after="0" w:line="147" w:lineRule="exact"/>
        <w:rPr>
          <w:rFonts w:ascii="Arial" w:cs="Arial" w:eastAsia="Arial" w:hAnsi="Arial"/>
          <w:sz w:val="18"/>
          <w:szCs w:val="18"/>
          <w:color w:val="auto"/>
        </w:rPr>
      </w:pPr>
    </w:p>
    <w:p>
      <w:pPr>
        <w:ind w:left="1320" w:right="200" w:hanging="322"/>
        <w:spacing w:after="0" w:line="254"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41,917 shares of our Class A common stock issuable upon the vesting and settlement of restricted stock units (RSUs) outstanding as of March 31, 2021, pursuant to our 2011 Plan, including 1,743 RSUs for which the service-based condition had been satisfied as of March 31, 2021 and the performance-based condition is expected to be satisfied in connection with this offering;</w:t>
      </w:r>
    </w:p>
    <w:p>
      <w:pPr>
        <w:spacing w:after="0" w:line="149" w:lineRule="exact"/>
        <w:rPr>
          <w:rFonts w:ascii="Arial" w:cs="Arial" w:eastAsia="Arial" w:hAnsi="Arial"/>
          <w:sz w:val="18"/>
          <w:szCs w:val="18"/>
          <w:color w:val="auto"/>
        </w:rPr>
      </w:pPr>
    </w:p>
    <w:p>
      <w:pPr>
        <w:ind w:left="1320" w:hanging="32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71,700 shares of our Class A common stock issuable upon the exercise of options to purchase shares of our</w:t>
      </w:r>
    </w:p>
    <w:p>
      <w:pPr>
        <w:spacing w:after="0" w:line="9" w:lineRule="exact"/>
        <w:rPr>
          <w:rFonts w:ascii="Arial" w:cs="Arial" w:eastAsia="Arial" w:hAnsi="Arial"/>
          <w:sz w:val="18"/>
          <w:szCs w:val="18"/>
          <w:color w:val="auto"/>
        </w:rPr>
      </w:pPr>
    </w:p>
    <w:p>
      <w:pPr>
        <w:ind w:left="1320" w:right="40"/>
        <w:spacing w:after="0" w:line="261" w:lineRule="auto"/>
        <w:rPr>
          <w:rFonts w:ascii="Arial" w:cs="Arial" w:eastAsia="Arial" w:hAnsi="Arial"/>
          <w:sz w:val="18"/>
          <w:szCs w:val="18"/>
          <w:color w:val="auto"/>
        </w:rPr>
      </w:pPr>
      <w:r>
        <w:rPr>
          <w:rFonts w:ascii="Arial" w:cs="Arial" w:eastAsia="Arial" w:hAnsi="Arial"/>
          <w:sz w:val="18"/>
          <w:szCs w:val="18"/>
          <w:color w:val="auto"/>
        </w:rPr>
        <w:t>Class A common stock that were granted after March 31, 2021, with an exercise price of $52.80 per share, pursuant to our 2011 Plan;</w:t>
      </w:r>
    </w:p>
    <w:p>
      <w:pPr>
        <w:spacing w:after="0" w:line="143" w:lineRule="exact"/>
        <w:rPr>
          <w:rFonts w:ascii="Arial" w:cs="Arial" w:eastAsia="Arial" w:hAnsi="Arial"/>
          <w:sz w:val="18"/>
          <w:szCs w:val="18"/>
          <w:color w:val="auto"/>
        </w:rPr>
      </w:pPr>
    </w:p>
    <w:p>
      <w:pPr>
        <w:ind w:left="1320" w:right="160" w:hanging="322"/>
        <w:spacing w:after="0" w:line="261"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552,788 shares of our Class A common stock issuable upon the vesting and settlement of RSUs that were granted after March 31, 2021, pursuant to our 2011 Plan;</w:t>
      </w:r>
    </w:p>
    <w:p>
      <w:pPr>
        <w:spacing w:after="0" w:line="143" w:lineRule="exact"/>
        <w:rPr>
          <w:rFonts w:ascii="Arial" w:cs="Arial" w:eastAsia="Arial" w:hAnsi="Arial"/>
          <w:sz w:val="18"/>
          <w:szCs w:val="18"/>
          <w:color w:val="auto"/>
        </w:rPr>
      </w:pPr>
    </w:p>
    <w:p>
      <w:pPr>
        <w:ind w:left="1320" w:right="160" w:hanging="322"/>
        <w:spacing w:after="0" w:line="254"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1,800,000 shares of our Class B common stock issuable upon the vesting and settlement of performance-based RSUs that were granted to Luis von Ahn and Severin Hacker (our Founders) after March 31, 2021, pursuant to our 2011 Plan, as more fully described in the section titled “Executive Compensation—Narrative to Summary Compensation Table—Fiscal 2021 Equity-Based Compensation;”</w:t>
      </w:r>
    </w:p>
    <w:p>
      <w:pPr>
        <w:spacing w:after="0" w:line="149" w:lineRule="exact"/>
        <w:rPr>
          <w:rFonts w:ascii="Arial" w:cs="Arial" w:eastAsia="Arial" w:hAnsi="Arial"/>
          <w:sz w:val="18"/>
          <w:szCs w:val="18"/>
          <w:color w:val="auto"/>
        </w:rPr>
      </w:pPr>
    </w:p>
    <w:p>
      <w:pPr>
        <w:ind w:left="1320" w:hanging="322"/>
        <w:spacing w:after="0" w:line="254"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7,832,000 shares of our Class A common stock reserved for future issuance under our 2021 Incentive Award Plan (2021 Plan), which will become effective on the date immediately prior to the date our registration statement of which this prospectus forms a part becomes effective (and which excludes any potential annual evergreen increases pursuant to the 2021 Plan); and</w:t>
      </w:r>
    </w:p>
    <w:p>
      <w:pPr>
        <w:spacing w:after="0" w:line="149" w:lineRule="exact"/>
        <w:rPr>
          <w:rFonts w:ascii="Arial" w:cs="Arial" w:eastAsia="Arial" w:hAnsi="Arial"/>
          <w:sz w:val="18"/>
          <w:szCs w:val="18"/>
          <w:color w:val="auto"/>
        </w:rPr>
      </w:pPr>
    </w:p>
    <w:p>
      <w:pPr>
        <w:ind w:left="1320" w:right="220" w:hanging="322"/>
        <w:spacing w:after="0" w:line="261" w:lineRule="auto"/>
        <w:tabs>
          <w:tab w:leader="none" w:pos="1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1,119,000 shares of our Class A common stock reserved for future issuance under our Employee Stock Purchase Plan (ESPP), which will become effective on the date immediately prior to the</w:t>
      </w:r>
    </w:p>
    <w:p>
      <w:pPr>
        <w:sectPr>
          <w:pgSz w:w="11900" w:h="16838" w:orient="portrait"/>
          <w:cols w:equalWidth="0" w:num="1">
            <w:col w:w="10580"/>
          </w:cols>
          <w:pgMar w:left="320" w:top="14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80"/>
          </w:cols>
          <w:pgMar w:left="320" w:top="144" w:right="99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6073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07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20" w:right="300"/>
        <w:spacing w:after="0" w:line="261" w:lineRule="auto"/>
        <w:rPr>
          <w:sz w:val="20"/>
          <w:szCs w:val="20"/>
          <w:color w:val="auto"/>
        </w:rPr>
      </w:pPr>
      <w:r>
        <w:rPr>
          <w:rFonts w:ascii="Arial" w:cs="Arial" w:eastAsia="Arial" w:hAnsi="Arial"/>
          <w:sz w:val="18"/>
          <w:szCs w:val="18"/>
          <w:color w:val="auto"/>
        </w:rPr>
        <w:t>date our registration statement of which this prospectus forms a part becomes effective (and which excludes any potential annual evergreen increases pursuant to the ESPP).</w:t>
      </w:r>
    </w:p>
    <w:p>
      <w:pPr>
        <w:spacing w:after="0" w:line="157" w:lineRule="exact"/>
        <w:rPr>
          <w:sz w:val="20"/>
          <w:szCs w:val="20"/>
          <w:color w:val="auto"/>
        </w:rPr>
      </w:pPr>
    </w:p>
    <w:p>
      <w:pPr>
        <w:ind w:left="680" w:right="260"/>
        <w:spacing w:after="0" w:line="268" w:lineRule="auto"/>
        <w:rPr>
          <w:sz w:val="20"/>
          <w:szCs w:val="20"/>
          <w:color w:val="auto"/>
        </w:rPr>
      </w:pPr>
      <w:r>
        <w:rPr>
          <w:rFonts w:ascii="Arial" w:cs="Arial" w:eastAsia="Arial" w:hAnsi="Arial"/>
          <w:sz w:val="18"/>
          <w:szCs w:val="18"/>
          <w:color w:val="auto"/>
        </w:rPr>
        <w:t>Our 2021 Plan and ESPP each provide for annual automatic increases in the number of shares reserved thereunder, and our 2021 Plan also provides for increases to the number of shares of Class A common stock that may be granted thereunder based on shares underlying any awards under our 2011 Plan that expire, are forfeited or are otherwise terminated, as more fully described in the section titled “Executive Compensation—Equity Compensation Plans—2021 Incentive Award Plan.”</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71" w:lineRule="exact"/>
        <w:rPr>
          <w:sz w:val="20"/>
          <w:szCs w:val="20"/>
          <w:color w:val="auto"/>
        </w:rPr>
      </w:pPr>
    </w:p>
    <w:p>
      <w:pPr>
        <w:ind w:left="1320" w:right="200" w:hanging="322"/>
        <w:spacing w:after="0" w:line="256"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147" w:lineRule="exact"/>
        <w:rPr>
          <w:rFonts w:ascii="Arial" w:cs="Arial" w:eastAsia="Arial" w:hAnsi="Arial"/>
          <w:sz w:val="18"/>
          <w:szCs w:val="18"/>
          <w:color w:val="auto"/>
        </w:rPr>
      </w:pPr>
    </w:p>
    <w:p>
      <w:pPr>
        <w:ind w:left="1320" w:right="120" w:hanging="322"/>
        <w:spacing w:after="0" w:line="253"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common stock as of March 31, 2021 into an equal number of shares of our Class A common stock and the subsequent exchange of all shares of Class A common stock held by our Founders into an aggregate of 6,930,334 shares of Class B common stock pursuant to the terms of an exchange agreement entered into with us, each of which will occur prior to completion of this offering (collectively, the Common Stock Reclassification and Exchange);</w:t>
      </w:r>
    </w:p>
    <w:p>
      <w:pPr>
        <w:spacing w:after="0" w:line="151" w:lineRule="exact"/>
        <w:rPr>
          <w:rFonts w:ascii="Arial" w:cs="Arial" w:eastAsia="Arial" w:hAnsi="Arial"/>
          <w:sz w:val="18"/>
          <w:szCs w:val="18"/>
          <w:color w:val="auto"/>
        </w:rPr>
      </w:pPr>
    </w:p>
    <w:p>
      <w:pPr>
        <w:ind w:left="1320" w:hanging="322"/>
        <w:spacing w:after="0" w:line="256"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as of March 31, 2021 into an aggregate of 19,074,276 shares of our Class B common stock, the conversion of which will occur immediately prior to the completion of this offering (the Preferred Stock Conversion);</w:t>
      </w:r>
    </w:p>
    <w:p>
      <w:pPr>
        <w:spacing w:after="0" w:line="147" w:lineRule="exact"/>
        <w:rPr>
          <w:rFonts w:ascii="Arial" w:cs="Arial" w:eastAsia="Arial" w:hAnsi="Arial"/>
          <w:sz w:val="18"/>
          <w:szCs w:val="18"/>
          <w:color w:val="auto"/>
        </w:rPr>
      </w:pPr>
    </w:p>
    <w:p>
      <w:pPr>
        <w:ind w:left="1320" w:right="20" w:hanging="322"/>
        <w:spacing w:after="0" w:line="253"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reclassification of all shares of common stock underlying outstanding equity awards under our 2011 Plan (other than those held by our Founders) into shares of Class A common stock pursuant to an amendment to the 2011 Plan and the amendment of the terms of all outstanding stock options to purchase shares of common stock and RSUs under our 2011 Plan held by our Founders to provide that such awards are exercisable for or settle into shares of Class B common stock, which will occur immediately prior to the completion of this offering;</w:t>
      </w:r>
    </w:p>
    <w:p>
      <w:pPr>
        <w:spacing w:after="0" w:line="151" w:lineRule="exact"/>
        <w:rPr>
          <w:rFonts w:ascii="Arial" w:cs="Arial" w:eastAsia="Arial" w:hAnsi="Arial"/>
          <w:sz w:val="18"/>
          <w:szCs w:val="18"/>
          <w:color w:val="auto"/>
        </w:rPr>
      </w:pPr>
    </w:p>
    <w:p>
      <w:pPr>
        <w:ind w:left="1320" w:hanging="322"/>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or settlement of outstanding RSUs except as described above; and</w:t>
      </w:r>
    </w:p>
    <w:p>
      <w:pPr>
        <w:spacing w:after="0" w:line="171" w:lineRule="exact"/>
        <w:rPr>
          <w:rFonts w:ascii="Arial" w:cs="Arial" w:eastAsia="Arial" w:hAnsi="Arial"/>
          <w:sz w:val="18"/>
          <w:szCs w:val="18"/>
          <w:color w:val="auto"/>
        </w:rPr>
      </w:pPr>
    </w:p>
    <w:p>
      <w:pPr>
        <w:ind w:left="1320" w:right="140" w:hanging="322"/>
        <w:spacing w:after="0" w:line="261" w:lineRule="auto"/>
        <w:tabs>
          <w:tab w:leader="none" w:pos="1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765,916 additional shares of our Class A common stock.</w:t>
      </w:r>
    </w:p>
    <w:p>
      <w:pPr>
        <w:spacing w:after="0" w:line="157" w:lineRule="exact"/>
        <w:rPr>
          <w:sz w:val="20"/>
          <w:szCs w:val="20"/>
          <w:color w:val="auto"/>
        </w:rPr>
      </w:pPr>
    </w:p>
    <w:p>
      <w:pPr>
        <w:ind w:left="680" w:right="20"/>
        <w:spacing w:after="0" w:line="271" w:lineRule="auto"/>
        <w:rPr>
          <w:sz w:val="20"/>
          <w:szCs w:val="20"/>
          <w:color w:val="auto"/>
        </w:rPr>
      </w:pPr>
      <w:r>
        <w:rPr>
          <w:rFonts w:ascii="Arial" w:cs="Arial" w:eastAsia="Arial" w:hAnsi="Arial"/>
          <w:sz w:val="18"/>
          <w:szCs w:val="18"/>
          <w:color w:val="auto"/>
        </w:rPr>
        <w:t>Unless otherwise specified or context otherwise requires, we refer to the Common Stock Reclassification and Exchange and the Preferred Stock Conversion, collectively as the “Transactions.” See the section titled “Description of Capital Stock” for additional information regarding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320" w:top="144" w:right="10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3338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333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07" w:lineRule="exact"/>
        <w:rPr>
          <w:sz w:val="20"/>
          <w:szCs w:val="20"/>
          <w:color w:val="auto"/>
        </w:rPr>
      </w:pPr>
    </w:p>
    <w:p>
      <w:pPr>
        <w:ind w:left="680"/>
        <w:spacing w:after="0" w:line="266" w:lineRule="auto"/>
        <w:rPr>
          <w:sz w:val="20"/>
          <w:szCs w:val="20"/>
          <w:color w:val="auto"/>
        </w:rPr>
      </w:pPr>
      <w:r>
        <w:rPr>
          <w:rFonts w:ascii="Arial" w:cs="Arial" w:eastAsia="Arial" w:hAnsi="Arial"/>
          <w:sz w:val="18"/>
          <w:szCs w:val="18"/>
          <w:color w:val="auto"/>
        </w:rPr>
        <w:t>The following tables summarize our consolidated financial and other data. The summary consolidated statements of operations data for the years ended December 31, 2019 and 2020 have been derived from our audited consolidated financial statements included elsewhere in this prospectus. We derived our summary consolidated statements of operations data for the three months ended March 31, 2020 and 2021 and the summary consolidated balance sheet data as of March 31, 2021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results to be expected in the future and our interim results are not necessarily indicative of the results that may be expected for the full fiscal year or any other future period. You should read the following summary consolidated financial and other data in conjunction with the section titled “Management's Discussion and Analysis of Financial Condition and Results of Operations” and our consolidated financial statements and related notes included elsewhere in this prospectus. The summary consolidated financial and other data in this section are not intended to replace, and are qualified in their entirety by,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320" w:top="144" w:right="10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539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27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161,696</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28,112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8"/>
                <w:szCs w:val="18"/>
                <w:color w:val="auto"/>
              </w:rPr>
              <w:t>Cost of revenues(1)(2)</w:t>
            </w:r>
          </w:p>
        </w:tc>
        <w:tc>
          <w:tcPr>
            <w:tcW w:w="1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45,987</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115,709</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3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Research and development(1)</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53,024</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0" w:type="dxa"/>
            <w:vAlign w:val="bottom"/>
          </w:tcPr>
          <w:p>
            <w:pPr>
              <w:spacing w:after="0"/>
              <w:rPr>
                <w:sz w:val="1"/>
                <w:szCs w:val="1"/>
                <w:color w:val="auto"/>
              </w:rPr>
            </w:pP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Sales and marketing(1)(2)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34,983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General and administrative(1)</w:t>
            </w:r>
          </w:p>
        </w:tc>
        <w:tc>
          <w:tcPr>
            <w:tcW w:w="1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2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43,713</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Impairment of capitalized software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DBDBDB"/>
            </w:tcBorders>
            <w:gridSpan w:val="2"/>
            <w:shd w:val="clear" w:color="auto" w:fill="DBDBDB"/>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1120" w:type="dxa"/>
            <w:vAlign w:val="bottom"/>
            <w:tcBorders>
              <w:top w:val="single" w:sz="8" w:color="auto"/>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64,148</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160" w:type="dxa"/>
            <w:vAlign w:val="bottom"/>
            <w:tcBorders>
              <w:top w:val="single" w:sz="8" w:color="auto"/>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131,720</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2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(16,011)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gridSpan w:val="4"/>
            <w:shd w:val="clear" w:color="auto" w:fill="DBDBDB"/>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w w:val="93"/>
              </w:rPr>
              <w:t>233</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DBDBDB"/>
            </w:tcBorders>
            <w:gridSpan w:val="2"/>
          </w:tcPr>
          <w:p>
            <w:pPr>
              <w:ind w:left="4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(15,708)</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spacing w:after="0"/>
              <w:rPr>
                <w:sz w:val="19"/>
                <w:szCs w:val="19"/>
                <w:color w:val="auto"/>
              </w:rPr>
            </w:pPr>
          </w:p>
        </w:tc>
        <w:tc>
          <w:tcPr>
            <w:tcW w:w="24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w w:val="99"/>
              </w:rPr>
              <w:t>68</w:t>
            </w:r>
          </w:p>
        </w:tc>
        <w:tc>
          <w:tcPr>
            <w:tcW w:w="8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(15,776)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3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2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Basic and diluted net loss per share(3)</w:t>
            </w:r>
          </w:p>
        </w:tc>
        <w:tc>
          <w:tcPr>
            <w:tcW w:w="14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(1.24)</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DBDBDB"/>
          </w:tcPr>
          <w:p>
            <w:pPr>
              <w:jc w:val="right"/>
              <w:ind w:right="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920" w:type="dxa"/>
            <w:vAlign w:val="bottom"/>
            <w:tcBorders>
              <w:top w:val="single" w:sz="8" w:color="DBDBDB"/>
              <w:bottom w:val="single" w:sz="8" w:color="DBDBDB"/>
            </w:tcBorders>
            <w:gridSpan w:val="2"/>
            <w:vMerge w:val="restart"/>
          </w:tcPr>
          <w:p>
            <w:pPr>
              <w:ind w:left="40"/>
              <w:spacing w:after="0" w:line="176" w:lineRule="exact"/>
              <w:rPr>
                <w:sz w:val="20"/>
                <w:szCs w:val="20"/>
                <w:color w:val="auto"/>
              </w:rPr>
            </w:pPr>
            <w:r>
              <w:rPr>
                <w:rFonts w:ascii="Arial" w:cs="Arial" w:eastAsia="Arial" w:hAnsi="Arial"/>
                <w:sz w:val="18"/>
                <w:szCs w:val="18"/>
                <w:color w:val="auto"/>
                <w:w w:val="99"/>
              </w:rPr>
              <w:t>Weighted-average shares used in computing net</w:t>
            </w:r>
          </w:p>
        </w:tc>
        <w:tc>
          <w:tcPr>
            <w:tcW w:w="1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loss per share attributable to common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12,735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190"/>
        </w:trPr>
        <w:tc>
          <w:tcPr>
            <w:tcW w:w="392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stockholders, basic and diluted (3)</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DBDBDB"/>
            </w:tcBorders>
          </w:tcPr>
          <w:p>
            <w:pPr>
              <w:spacing w:after="0" w:line="20" w:lineRule="exact"/>
              <w:rPr>
                <w:sz w:val="1"/>
                <w:szCs w:val="1"/>
                <w:color w:val="auto"/>
              </w:rPr>
            </w:pPr>
          </w:p>
        </w:tc>
        <w:tc>
          <w:tcPr>
            <w:tcW w:w="3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gridSpan w:val="2"/>
            <w:shd w:val="clear" w:color="auto" w:fill="DBDBDB"/>
          </w:tcPr>
          <w:p>
            <w:pPr>
              <w:ind w:left="40"/>
              <w:spacing w:after="0" w:line="155" w:lineRule="exact"/>
              <w:rPr>
                <w:sz w:val="20"/>
                <w:szCs w:val="20"/>
                <w:color w:val="auto"/>
              </w:rPr>
            </w:pPr>
            <w:r>
              <w:rPr>
                <w:rFonts w:ascii="Arial" w:cs="Arial" w:eastAsia="Arial" w:hAnsi="Arial"/>
                <w:sz w:val="17"/>
                <w:szCs w:val="17"/>
                <w:color w:val="auto"/>
              </w:rPr>
              <w:t>Pro forma net loss per share attributable to</w:t>
            </w:r>
          </w:p>
        </w:tc>
        <w:tc>
          <w:tcPr>
            <w:tcW w:w="14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gridSpan w:val="2"/>
            <w:shd w:val="clear" w:color="auto" w:fill="DBDBDB"/>
          </w:tcPr>
          <w:p>
            <w:pPr>
              <w:ind w:left="200"/>
              <w:spacing w:after="0" w:line="176" w:lineRule="exact"/>
              <w:rPr>
                <w:sz w:val="20"/>
                <w:szCs w:val="20"/>
                <w:color w:val="auto"/>
              </w:rPr>
            </w:pPr>
            <w:r>
              <w:rPr>
                <w:rFonts w:ascii="Arial" w:cs="Arial" w:eastAsia="Arial" w:hAnsi="Arial"/>
                <w:sz w:val="18"/>
                <w:szCs w:val="18"/>
                <w:color w:val="auto"/>
              </w:rPr>
              <w:t>common stockholders—basic and diluted</w:t>
            </w:r>
          </w:p>
        </w:tc>
        <w:tc>
          <w:tcPr>
            <w:tcW w:w="1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4"/>
            <w:vMerge w:val="restart"/>
            <w:shd w:val="clear" w:color="auto" w:fill="DBDBDB"/>
          </w:tcPr>
          <w:p>
            <w:pPr>
              <w:jc w:val="right"/>
              <w:ind w:right="20"/>
              <w:spacing w:after="0"/>
              <w:rPr>
                <w:sz w:val="20"/>
                <w:szCs w:val="20"/>
                <w:color w:val="auto"/>
              </w:rPr>
            </w:pPr>
            <w:r>
              <w:rPr>
                <w:rFonts w:ascii="Arial" w:cs="Arial" w:eastAsia="Arial" w:hAnsi="Arial"/>
                <w:sz w:val="18"/>
                <w:szCs w:val="18"/>
                <w:color w:val="auto"/>
              </w:rPr>
              <w:t>(0.68)</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DBDBDB"/>
            </w:tcBorders>
            <w:gridSpan w:val="2"/>
            <w:shd w:val="clear" w:color="auto" w:fill="DBDBDB"/>
          </w:tcPr>
          <w:p>
            <w:pPr>
              <w:ind w:left="200"/>
              <w:spacing w:after="0" w:line="190" w:lineRule="exact"/>
              <w:rPr>
                <w:sz w:val="20"/>
                <w:szCs w:val="20"/>
                <w:color w:val="auto"/>
              </w:rPr>
            </w:pPr>
            <w:r>
              <w:rPr>
                <w:rFonts w:ascii="Arial" w:cs="Arial" w:eastAsia="Arial" w:hAnsi="Arial"/>
                <w:sz w:val="18"/>
                <w:szCs w:val="18"/>
                <w:color w:val="auto"/>
              </w:rPr>
              <w:t>(unaudited)(4)</w:t>
            </w:r>
          </w:p>
        </w:tc>
        <w:tc>
          <w:tcPr>
            <w:tcW w:w="14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vMerge w:val="continue"/>
            <w:shd w:val="clear" w:color="auto" w:fill="DBDBDB"/>
          </w:tcPr>
          <w:p>
            <w:pPr>
              <w:spacing w:after="0"/>
              <w:rPr>
                <w:sz w:val="18"/>
                <w:szCs w:val="18"/>
                <w:color w:val="auto"/>
              </w:rPr>
            </w:pPr>
          </w:p>
        </w:tc>
        <w:tc>
          <w:tcPr>
            <w:tcW w:w="1160" w:type="dxa"/>
            <w:vAlign w:val="bottom"/>
            <w:tcBorders>
              <w:bottom w:val="single" w:sz="8" w:color="auto"/>
            </w:tcBorders>
            <w:gridSpan w:val="4"/>
            <w:vMerge w:val="continue"/>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vMerge w:val="continue"/>
            <w:shd w:val="clear" w:color="auto" w:fill="DBDBDB"/>
          </w:tcPr>
          <w:p>
            <w:pPr>
              <w:spacing w:after="0"/>
              <w:rPr>
                <w:sz w:val="18"/>
                <w:szCs w:val="18"/>
                <w:color w:val="auto"/>
              </w:rPr>
            </w:pPr>
          </w:p>
        </w:tc>
        <w:tc>
          <w:tcPr>
            <w:tcW w:w="1220" w:type="dxa"/>
            <w:vAlign w:val="bottom"/>
            <w:tcBorders>
              <w:bottom w:val="single" w:sz="8" w:color="auto"/>
            </w:tcBorders>
            <w:gridSpan w:val="2"/>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DBDBDB"/>
              <w:bottom w:val="single" w:sz="8" w:color="DBDBDB"/>
            </w:tcBorders>
            <w:gridSpan w:val="2"/>
            <w:vMerge w:val="restart"/>
          </w:tcPr>
          <w:p>
            <w:pPr>
              <w:ind w:left="40"/>
              <w:spacing w:after="0" w:line="176" w:lineRule="exact"/>
              <w:rPr>
                <w:sz w:val="20"/>
                <w:szCs w:val="20"/>
                <w:color w:val="auto"/>
              </w:rPr>
            </w:pPr>
            <w:r>
              <w:rPr>
                <w:rFonts w:ascii="Arial" w:cs="Arial" w:eastAsia="Arial" w:hAnsi="Arial"/>
                <w:sz w:val="18"/>
                <w:szCs w:val="18"/>
                <w:color w:val="auto"/>
                <w:w w:val="99"/>
              </w:rPr>
              <w:t>Weighted-average shares used in computing pro</w:t>
            </w:r>
          </w:p>
        </w:tc>
        <w:tc>
          <w:tcPr>
            <w:tcW w:w="1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6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forma net loss per share attributable to common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31,809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190"/>
        </w:trPr>
        <w:tc>
          <w:tcPr>
            <w:tcW w:w="3920" w:type="dxa"/>
            <w:vAlign w:val="bottom"/>
            <w:gridSpan w:val="2"/>
          </w:tcPr>
          <w:p>
            <w:pPr>
              <w:ind w:left="200"/>
              <w:spacing w:after="0" w:line="190" w:lineRule="exact"/>
              <w:rPr>
                <w:sz w:val="20"/>
                <w:szCs w:val="20"/>
                <w:color w:val="auto"/>
              </w:rPr>
            </w:pPr>
            <w:r>
              <w:rPr>
                <w:rFonts w:ascii="Arial" w:cs="Arial" w:eastAsia="Arial" w:hAnsi="Arial"/>
                <w:sz w:val="18"/>
                <w:szCs w:val="18"/>
                <w:color w:val="auto"/>
                <w:w w:val="99"/>
              </w:rPr>
              <w:t>stockholders—basic and diluted (unaudited)(4)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color w:val="auto"/>
              </w:rPr>
              <w:t>_________________</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9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060" w:type="dxa"/>
            <w:vAlign w:val="bottom"/>
            <w:gridSpan w:val="3"/>
          </w:tcPr>
          <w:p>
            <w:pPr>
              <w:ind w:left="20"/>
              <w:spacing w:after="0"/>
              <w:rPr>
                <w:sz w:val="20"/>
                <w:szCs w:val="20"/>
                <w:color w:val="auto"/>
              </w:rPr>
            </w:pPr>
            <w:r>
              <w:rPr>
                <w:rFonts w:ascii="Arial" w:cs="Arial" w:eastAsia="Arial" w:hAnsi="Arial"/>
                <w:sz w:val="14"/>
                <w:szCs w:val="14"/>
                <w:color w:val="auto"/>
              </w:rPr>
              <w:t>(1)  Includes stock-based compensation expenses as follows: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7"/>
          </w:tcPr>
          <w:p>
            <w:pPr>
              <w:jc w:val="right"/>
              <w:ind w:right="496"/>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8"/>
          </w:tcPr>
          <w:p>
            <w:pPr>
              <w:jc w:val="right"/>
              <w:ind w:right="710"/>
              <w:spacing w:after="0"/>
              <w:rPr>
                <w:sz w:val="20"/>
                <w:szCs w:val="20"/>
                <w:color w:val="auto"/>
              </w:rPr>
            </w:pPr>
            <w:r>
              <w:rPr>
                <w:rFonts w:ascii="Arial" w:cs="Arial" w:eastAsia="Arial" w:hAnsi="Arial"/>
                <w:sz w:val="13"/>
                <w:szCs w:val="13"/>
                <w:b w:val="1"/>
                <w:bCs w:val="1"/>
                <w:color w:val="auto"/>
                <w:w w:val="97"/>
              </w:rPr>
              <w:t>Three Months Ended March 31,</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380" w:type="dxa"/>
            <w:vAlign w:val="bottom"/>
            <w:gridSpan w:val="3"/>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3,725</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380" w:type="dxa"/>
            <w:vAlign w:val="bottom"/>
            <w:gridSpan w:val="3"/>
            <w:shd w:val="clear" w:color="auto" w:fill="DBDBDB"/>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000" w:right="540"/>
        <w:spacing w:after="0" w:line="258"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p>
    <w:p>
      <w:pPr>
        <w:spacing w:after="0" w:line="140" w:lineRule="exact"/>
        <w:rPr>
          <w:sz w:val="20"/>
          <w:szCs w:val="20"/>
          <w:color w:val="auto"/>
        </w:rPr>
      </w:pPr>
    </w:p>
    <w:p>
      <w:pPr>
        <w:ind w:left="680"/>
        <w:spacing w:after="0"/>
        <w:tabs>
          <w:tab w:leader="none" w:pos="96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5" w:lineRule="exact"/>
        <w:rPr>
          <w:sz w:val="20"/>
          <w:szCs w:val="20"/>
          <w:color w:val="auto"/>
        </w:rPr>
      </w:pPr>
    </w:p>
    <w:tbl>
      <w:tblPr>
        <w:tblLayout w:type="fixed"/>
        <w:tblInd w:w="100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5"/>
          </w:tcPr>
          <w:p>
            <w:pPr>
              <w:ind w:left="30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5"/>
                <w:szCs w:val="15"/>
                <w:color w:val="auto"/>
              </w:rPr>
            </w:pPr>
          </w:p>
        </w:tc>
        <w:tc>
          <w:tcPr>
            <w:tcW w:w="2480" w:type="dxa"/>
            <w:vAlign w:val="bottom"/>
            <w:gridSpan w:val="4"/>
          </w:tcPr>
          <w:p>
            <w:pPr>
              <w:jc w:val="right"/>
              <w:ind w:right="370"/>
              <w:spacing w:after="0"/>
              <w:rPr>
                <w:sz w:val="20"/>
                <w:szCs w:val="20"/>
                <w:color w:val="auto"/>
              </w:rPr>
            </w:pPr>
            <w:r>
              <w:rPr>
                <w:rFonts w:ascii="Arial" w:cs="Arial" w:eastAsia="Arial" w:hAnsi="Arial"/>
                <w:sz w:val="13"/>
                <w:szCs w:val="13"/>
                <w:b w:val="1"/>
                <w:bCs w:val="1"/>
                <w:color w:val="auto"/>
              </w:rPr>
              <w:t>Three Months Ended March 31,</w:t>
            </w:r>
          </w:p>
        </w:tc>
      </w:tr>
      <w:tr>
        <w:trPr>
          <w:trHeight w:val="175"/>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2021</w:t>
            </w:r>
          </w:p>
        </w:tc>
      </w:tr>
      <w:tr>
        <w:trPr>
          <w:trHeight w:val="183"/>
        </w:trPr>
        <w:tc>
          <w:tcPr>
            <w:tcW w:w="3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5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08"/>
        </w:trPr>
        <w:tc>
          <w:tcPr>
            <w:tcW w:w="3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35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320" w:right="40" w:hanging="322"/>
        <w:spacing w:after="0" w:line="258" w:lineRule="auto"/>
        <w:tabs>
          <w:tab w:leader="none" w:pos="13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60"/>
          </w:cols>
          <w:pgMar w:left="320" w:top="144" w:right="101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505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0" w:right="420" w:hanging="326"/>
        <w:spacing w:after="0" w:line="249" w:lineRule="auto"/>
        <w:tabs>
          <w:tab w:leader="none" w:pos="98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46" w:lineRule="exact"/>
        <w:rPr>
          <w:rFonts w:ascii="Arial" w:cs="Arial" w:eastAsia="Arial" w:hAnsi="Arial"/>
          <w:sz w:val="14"/>
          <w:szCs w:val="14"/>
          <w:color w:val="auto"/>
        </w:rPr>
      </w:pPr>
    </w:p>
    <w:p>
      <w:pPr>
        <w:ind w:left="1000" w:right="120" w:hanging="326"/>
        <w:spacing w:after="0" w:line="249" w:lineRule="auto"/>
        <w:tabs>
          <w:tab w:leader="none" w:pos="987"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46"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tbl>
      <w:tblPr>
        <w:tblLayout w:type="fixed"/>
        <w:tblInd w:w="700" w:type="dxa"/>
        <w:tblCellMar>
          <w:top w:w="0" w:type="dxa"/>
          <w:left w:w="0" w:type="dxa"/>
          <w:bottom w:w="0" w:type="dxa"/>
          <w:right w:w="0" w:type="dxa"/>
        </w:tblCellMar>
      </w:tblPr>
      <w:tr>
        <w:trPr>
          <w:trHeight w:val="145"/>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040" w:type="dxa"/>
            <w:vAlign w:val="bottom"/>
            <w:gridSpan w:val="4"/>
          </w:tcPr>
          <w:p>
            <w:pPr>
              <w:jc w:val="right"/>
              <w:ind w:right="129"/>
              <w:spacing w:after="0" w:line="145" w:lineRule="exact"/>
              <w:rPr>
                <w:sz w:val="20"/>
                <w:szCs w:val="20"/>
                <w:color w:val="auto"/>
              </w:rPr>
            </w:pPr>
            <w:r>
              <w:rPr>
                <w:rFonts w:ascii="Arial" w:cs="Arial" w:eastAsia="Arial" w:hAnsi="Arial"/>
                <w:sz w:val="13"/>
                <w:szCs w:val="13"/>
                <w:b w:val="1"/>
                <w:bCs w:val="1"/>
                <w:color w:val="auto"/>
                <w:w w:val="97"/>
              </w:rPr>
              <w:t>Year Ended December 31,Three Months Ended</w:t>
            </w:r>
          </w:p>
        </w:tc>
        <w:tc>
          <w:tcPr>
            <w:tcW w:w="0" w:type="dxa"/>
            <w:vAlign w:val="bottom"/>
          </w:tcPr>
          <w:p>
            <w:pPr>
              <w:spacing w:after="0"/>
              <w:rPr>
                <w:sz w:val="1"/>
                <w:szCs w:val="1"/>
                <w:color w:val="auto"/>
              </w:rPr>
            </w:pPr>
          </w:p>
        </w:tc>
      </w:tr>
      <w:tr>
        <w:trPr>
          <w:trHeight w:val="175"/>
        </w:trPr>
        <w:tc>
          <w:tcPr>
            <w:tcW w:w="6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March 31, 2021</w:t>
            </w:r>
          </w:p>
        </w:tc>
        <w:tc>
          <w:tcPr>
            <w:tcW w:w="0" w:type="dxa"/>
            <w:vAlign w:val="bottom"/>
          </w:tcPr>
          <w:p>
            <w:pPr>
              <w:spacing w:after="0"/>
              <w:rPr>
                <w:sz w:val="1"/>
                <w:szCs w:val="1"/>
                <w:color w:val="auto"/>
              </w:rPr>
            </w:pPr>
          </w:p>
        </w:tc>
      </w:tr>
      <w:tr>
        <w:trPr>
          <w:trHeight w:val="169"/>
        </w:trPr>
        <w:tc>
          <w:tcPr>
            <w:tcW w:w="620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adjustment for RSU compensation expense(a)</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Pro forma adjustment for executive stock option compensation expense(b)</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4"/>
                <w:szCs w:val="14"/>
                <w:color w:val="auto"/>
              </w:rPr>
              <w:t>forma net loss</w:t>
            </w:r>
          </w:p>
        </w:tc>
        <w:tc>
          <w:tcPr>
            <w:tcW w:w="340" w:type="dxa"/>
            <w:vAlign w:val="bottom"/>
            <w:tcBorders>
              <w:top w:val="single" w:sz="8" w:color="DBDBDB"/>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(21,607)</w:t>
            </w:r>
          </w:p>
        </w:tc>
        <w:tc>
          <w:tcPr>
            <w:tcW w:w="100" w:type="dxa"/>
            <w:vAlign w:val="bottom"/>
            <w:tcBorders>
              <w:top w:val="single" w:sz="8" w:color="DBDBDB"/>
            </w:tcBorders>
            <w:shd w:val="clear" w:color="auto" w:fill="DBDBDB"/>
          </w:tcPr>
          <w:p>
            <w:pPr>
              <w:spacing w:after="0"/>
              <w:rPr>
                <w:sz w:val="15"/>
                <w:szCs w:val="15"/>
                <w:color w:val="auto"/>
              </w:rPr>
            </w:pP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590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Weighted-average shares used in computing net loss per share attributable to common</w:t>
            </w:r>
          </w:p>
        </w:tc>
        <w:tc>
          <w:tcPr>
            <w:tcW w:w="34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12,735</w:t>
            </w:r>
          </w:p>
        </w:tc>
        <w:tc>
          <w:tcPr>
            <w:tcW w:w="10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ind w:right="9"/>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90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stockholders, basic and diluted</w:t>
            </w:r>
          </w:p>
        </w:tc>
        <w:tc>
          <w:tcPr>
            <w:tcW w:w="340" w:type="dxa"/>
            <w:vAlign w:val="bottom"/>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00" w:type="dxa"/>
            <w:vAlign w:val="bottom"/>
            <w:gridSpan w:val="2"/>
          </w:tcPr>
          <w:p>
            <w:pPr>
              <w:spacing w:after="0"/>
              <w:rPr>
                <w:sz w:val="20"/>
                <w:szCs w:val="20"/>
                <w:color w:val="auto"/>
              </w:rPr>
            </w:pPr>
            <w:r>
              <w:rPr>
                <w:rFonts w:ascii="Arial" w:cs="Arial" w:eastAsia="Arial" w:hAnsi="Arial"/>
                <w:sz w:val="14"/>
                <w:szCs w:val="14"/>
                <w:color w:val="auto"/>
              </w:rPr>
              <w:t>Pro forma adjustment to reflect assumed vesting and settlement of RSUs(c)</w:t>
            </w:r>
          </w:p>
        </w:tc>
        <w:tc>
          <w:tcPr>
            <w:tcW w:w="3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adjustment to reflect assumed conversion of convertible preferred stock</w:t>
            </w:r>
          </w:p>
        </w:tc>
        <w:tc>
          <w:tcPr>
            <w:tcW w:w="340" w:type="dxa"/>
            <w:vAlign w:val="bottom"/>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34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9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tcPr>
          <w:p>
            <w:pPr>
              <w:spacing w:after="0"/>
              <w:rPr>
                <w:sz w:val="20"/>
                <w:szCs w:val="20"/>
                <w:color w:val="auto"/>
              </w:rPr>
            </w:pPr>
            <w:r>
              <w:rPr>
                <w:rFonts w:ascii="Arial" w:cs="Arial" w:eastAsia="Arial" w:hAnsi="Arial"/>
                <w:sz w:val="14"/>
                <w:szCs w:val="14"/>
                <w:color w:val="auto"/>
              </w:rPr>
              <w:t>Pro</w:t>
            </w:r>
          </w:p>
        </w:tc>
        <w:tc>
          <w:tcPr>
            <w:tcW w:w="5900" w:type="dxa"/>
            <w:vAlign w:val="bottom"/>
            <w:shd w:val="clear" w:color="auto" w:fill="DBDBDB"/>
          </w:tcPr>
          <w:p>
            <w:pPr>
              <w:spacing w:after="0"/>
              <w:rPr>
                <w:sz w:val="20"/>
                <w:szCs w:val="20"/>
                <w:color w:val="auto"/>
              </w:rPr>
            </w:pPr>
            <w:r>
              <w:rPr>
                <w:rFonts w:ascii="Arial" w:cs="Arial" w:eastAsia="Arial" w:hAnsi="Arial"/>
                <w:sz w:val="14"/>
                <w:szCs w:val="14"/>
                <w:color w:val="auto"/>
              </w:rPr>
              <w:t>forma net loss per share, basic and diluted</w:t>
            </w:r>
          </w:p>
        </w:tc>
        <w:tc>
          <w:tcPr>
            <w:tcW w:w="34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left="1320" w:right="80" w:hanging="322"/>
        <w:spacing w:after="0" w:line="249" w:lineRule="auto"/>
        <w:tabs>
          <w:tab w:leader="none" w:pos="13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stock-based compensation expenses related to RSUs subject to both a service-based vesting condition and a performance-based vesting condition, where the performance-based vesting condition will be satisfied in connection with this offering. There was $1.2 million and $1.4 million of unrecognized expense as of December 31, 2020 and March 31, 2021 remaining after the pro forma RSU compensation expense.</w:t>
      </w:r>
    </w:p>
    <w:p>
      <w:pPr>
        <w:spacing w:after="0" w:line="146" w:lineRule="exact"/>
        <w:rPr>
          <w:rFonts w:ascii="Arial" w:cs="Arial" w:eastAsia="Arial" w:hAnsi="Arial"/>
          <w:sz w:val="14"/>
          <w:szCs w:val="14"/>
          <w:color w:val="auto"/>
        </w:rPr>
      </w:pPr>
    </w:p>
    <w:p>
      <w:pPr>
        <w:ind w:left="1320" w:right="40" w:hanging="322"/>
        <w:spacing w:after="0" w:line="249" w:lineRule="auto"/>
        <w:tabs>
          <w:tab w:leader="none" w:pos="13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compensation expense for stock options granted to our executive officers whereby the vesting accelerates in connection with this offering. There was $2.9 million and $2.5 million of unrecognized expense remaining as of December 31, 2020 and March 31, 2021, respectively, after giving effect to the pro forma stock-based compensation expense.</w:t>
      </w:r>
    </w:p>
    <w:p>
      <w:pPr>
        <w:spacing w:after="0" w:line="146" w:lineRule="exact"/>
        <w:rPr>
          <w:rFonts w:ascii="Arial" w:cs="Arial" w:eastAsia="Arial" w:hAnsi="Arial"/>
          <w:sz w:val="14"/>
          <w:szCs w:val="14"/>
          <w:color w:val="auto"/>
        </w:rPr>
      </w:pPr>
    </w:p>
    <w:p>
      <w:pPr>
        <w:ind w:left="1320" w:hanging="322"/>
        <w:spacing w:after="0" w:line="249" w:lineRule="auto"/>
        <w:tabs>
          <w:tab w:leader="none" w:pos="13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2"/>
                <w:szCs w:val="12"/>
                <w:color w:val="auto"/>
              </w:rPr>
            </w:pPr>
          </w:p>
        </w:tc>
        <w:tc>
          <w:tcPr>
            <w:tcW w:w="11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Pro Forma(1)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DBDBDB"/>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Adjusted(2)(3)</w:t>
            </w:r>
          </w:p>
        </w:tc>
        <w:tc>
          <w:tcPr>
            <w:tcW w:w="0" w:type="dxa"/>
            <w:vAlign w:val="bottom"/>
          </w:tcPr>
          <w:p>
            <w:pPr>
              <w:spacing w:after="0"/>
              <w:rPr>
                <w:sz w:val="1"/>
                <w:szCs w:val="1"/>
                <w:color w:val="auto"/>
              </w:rPr>
            </w:pPr>
          </w:p>
        </w:tc>
      </w:tr>
      <w:tr>
        <w:trPr>
          <w:trHeight w:val="223"/>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453,349</w:t>
            </w:r>
          </w:p>
        </w:tc>
        <w:tc>
          <w:tcPr>
            <w:tcW w:w="0" w:type="dxa"/>
            <w:vAlign w:val="bottom"/>
          </w:tcPr>
          <w:p>
            <w:pPr>
              <w:spacing w:after="0"/>
              <w:rPr>
                <w:sz w:val="1"/>
                <w:szCs w:val="1"/>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410,806</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512,764</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DBDBDB"/>
            </w:tcBorders>
          </w:tcPr>
          <w:p>
            <w:pPr>
              <w:ind w:left="40"/>
              <w:spacing w:after="0"/>
              <w:rPr>
                <w:sz w:val="20"/>
                <w:szCs w:val="20"/>
                <w:color w:val="auto"/>
              </w:rPr>
            </w:pPr>
            <w:r>
              <w:rPr>
                <w:rFonts w:ascii="Arial" w:cs="Arial" w:eastAsia="Arial" w:hAnsi="Arial"/>
                <w:sz w:val="18"/>
                <w:szCs w:val="18"/>
                <w:color w:val="auto"/>
              </w:rPr>
              <w:t>Total deferred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65,262</w:t>
            </w:r>
          </w:p>
        </w:tc>
        <w:tc>
          <w:tcPr>
            <w:tcW w:w="0" w:type="dxa"/>
            <w:vAlign w:val="bottom"/>
          </w:tcPr>
          <w:p>
            <w:pPr>
              <w:spacing w:after="0"/>
              <w:rPr>
                <w:sz w:val="1"/>
                <w:szCs w:val="1"/>
                <w:color w:val="auto"/>
              </w:rPr>
            </w:pPr>
          </w:p>
        </w:tc>
      </w:tr>
      <w:tr>
        <w:trPr>
          <w:trHeight w:val="243"/>
        </w:trPr>
        <w:tc>
          <w:tcPr>
            <w:tcW w:w="5500" w:type="dxa"/>
            <w:vAlign w:val="bottom"/>
            <w:shd w:val="clear" w:color="auto" w:fill="DBDBDB"/>
          </w:tcPr>
          <w:p>
            <w:pPr>
              <w:ind w:left="4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(97,785)</w:t>
            </w:r>
          </w:p>
        </w:tc>
        <w:tc>
          <w:tcPr>
            <w:tcW w:w="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84,826</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420,716</w:t>
            </w:r>
          </w:p>
        </w:tc>
        <w:tc>
          <w:tcPr>
            <w:tcW w:w="0" w:type="dxa"/>
            <w:vAlign w:val="bottom"/>
          </w:tcPr>
          <w:p>
            <w:pPr>
              <w:spacing w:after="0"/>
              <w:rPr>
                <w:sz w:val="1"/>
                <w:szCs w:val="1"/>
                <w:color w:val="auto"/>
              </w:rPr>
            </w:pPr>
          </w:p>
        </w:tc>
      </w:tr>
      <w:tr>
        <w:trPr>
          <w:trHeight w:val="20"/>
        </w:trPr>
        <w:tc>
          <w:tcPr>
            <w:tcW w:w="55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580" w:hanging="326"/>
        <w:spacing w:after="0" w:line="258"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balance sheet data reflects (a) the Transactions as if such Transactions had occurred on March 31, 2021, and (b) the filing and effectiveness of our amended and restated certificate of incorporation, which will occur immediately prior to the completion of this offering.</w:t>
      </w:r>
    </w:p>
    <w:p>
      <w:pPr>
        <w:spacing w:after="0" w:line="139" w:lineRule="exact"/>
        <w:rPr>
          <w:rFonts w:ascii="Arial" w:cs="Arial" w:eastAsia="Arial" w:hAnsi="Arial"/>
          <w:sz w:val="14"/>
          <w:szCs w:val="14"/>
          <w:color w:val="auto"/>
        </w:rPr>
      </w:pPr>
    </w:p>
    <w:p>
      <w:pPr>
        <w:ind w:left="1000" w:right="80" w:hanging="326"/>
        <w:spacing w:after="0" w:line="247"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reflects (a) the pro forma adjustments set forth in footnote (1) above and (b) our sale and issuance of 3,700,000 shares of our Class A common stock in this offering at an assumed initial public offering price per share of $97.50, which is the midpoint of the price range set forth on the cover page of this prospectus, after deducting underwriting discounts and commissions and estimated offering expenses payable by us.</w:t>
      </w:r>
    </w:p>
    <w:p>
      <w:pPr>
        <w:spacing w:after="0" w:line="147" w:lineRule="exact"/>
        <w:rPr>
          <w:rFonts w:ascii="Arial" w:cs="Arial" w:eastAsia="Arial" w:hAnsi="Arial"/>
          <w:sz w:val="14"/>
          <w:szCs w:val="14"/>
          <w:color w:val="auto"/>
        </w:rPr>
      </w:pPr>
    </w:p>
    <w:p>
      <w:pPr>
        <w:ind w:left="1000" w:right="180" w:hanging="326"/>
        <w:spacing w:after="0" w:line="258" w:lineRule="auto"/>
        <w:tabs>
          <w:tab w:leader="none" w:pos="98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per share of $97.50, which is the midpoint of the price range set forth on the cover page of this prospectus, would increase or decrease the amount of our pro forma as adjusted</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60"/>
          </w:cols>
          <w:pgMar w:left="320" w:top="144" w:right="101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7067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0"/>
        <w:spacing w:after="0" w:line="244" w:lineRule="auto"/>
        <w:rPr>
          <w:sz w:val="20"/>
          <w:szCs w:val="20"/>
          <w:color w:val="auto"/>
        </w:rPr>
      </w:pPr>
      <w:r>
        <w:rPr>
          <w:rFonts w:ascii="Arial" w:cs="Arial" w:eastAsia="Arial" w:hAnsi="Arial"/>
          <w:sz w:val="14"/>
          <w:szCs w:val="14"/>
          <w:color w:val="auto"/>
        </w:rPr>
        <w:t>cash and cash equivalents, working capital, total assets and total stockholders’ (deficit) equity by approximately $3.5 million, assuming the number of shares offered by us,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the amount of our pro forma as adjusted cash and cash equivalents, working capital, total assets and total stockholders’ (deficit) equity by approximately $91.9 million, assuming that the initial public offering price per share remains at $97.50, which is the midpoint of the price range set forth on the cover page of this prospectus, and after deducting underwriting discounts and commissions and estimated offering expenses payable by us.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left="680"/>
        <w:spacing w:after="0" w:line="267"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With respect to MAUs and DAUs, along with paid subscribers, these operating metrics help inform management about the underlying growth in users of our platform, and are a measure of our monetization efforts with respect to Duolingo Plus. Other companies, including companies in our industry, may calculate these measures differently or not at all, which reduces their usefulness as comparative measures. See “Selected Consolidated Financial and Other Data —Key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4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5"/>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320" w:type="dxa"/>
            <w:vAlign w:val="bottom"/>
          </w:tcPr>
          <w:p>
            <w:pPr>
              <w:spacing w:after="0"/>
              <w:rPr>
                <w:sz w:val="15"/>
                <w:szCs w:val="15"/>
                <w:color w:val="auto"/>
              </w:rPr>
            </w:pPr>
          </w:p>
        </w:tc>
        <w:tc>
          <w:tcPr>
            <w:tcW w:w="2560" w:type="dxa"/>
            <w:vAlign w:val="bottom"/>
            <w:gridSpan w:val="4"/>
          </w:tcPr>
          <w:p>
            <w:pPr>
              <w:jc w:val="right"/>
              <w:ind w:right="412"/>
              <w:spacing w:after="0"/>
              <w:rPr>
                <w:sz w:val="20"/>
                <w:szCs w:val="20"/>
                <w:color w:val="auto"/>
              </w:rPr>
            </w:pPr>
            <w:r>
              <w:rPr>
                <w:rFonts w:ascii="Arial" w:cs="Arial" w:eastAsia="Arial" w:hAnsi="Arial"/>
                <w:sz w:val="13"/>
                <w:szCs w:val="13"/>
                <w:b w:val="1"/>
                <w:bCs w:val="1"/>
                <w:color w:val="auto"/>
              </w:rPr>
              <w:t>Three Months Ended March 31,</w:t>
            </w:r>
          </w:p>
        </w:tc>
      </w:tr>
      <w:tr>
        <w:trPr>
          <w:trHeight w:val="189"/>
        </w:trPr>
        <w:tc>
          <w:tcPr>
            <w:tcW w:w="4060" w:type="dxa"/>
            <w:vAlign w:val="bottom"/>
            <w:tcBorders>
              <w:bottom w:val="single" w:sz="8" w:color="DBDBDB"/>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09"/>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Operating Metrics</w:t>
            </w:r>
          </w:p>
        </w:tc>
        <w:tc>
          <w:tcPr>
            <w:tcW w:w="3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Monthly active users (MAUs)(1)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Daily active users (DAUs)(2)</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Paid subscribers(3)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Subscription bookings(4)</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Total bookings(5)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190,181</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65,830</w:t>
            </w:r>
          </w:p>
        </w:tc>
      </w:tr>
      <w:tr>
        <w:trPr>
          <w:trHeight w:val="108"/>
        </w:trPr>
        <w:tc>
          <w:tcPr>
            <w:tcW w:w="4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rPr>
              <w:t>Non-GAAP Financial Measures</w:t>
            </w:r>
          </w:p>
        </w:tc>
        <w:tc>
          <w:tcPr>
            <w:tcW w:w="3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4060" w:type="dxa"/>
            <w:vAlign w:val="bottom"/>
          </w:tcPr>
          <w:p>
            <w:pPr>
              <w:ind w:left="40"/>
              <w:spacing w:after="0"/>
              <w:rPr>
                <w:sz w:val="20"/>
                <w:szCs w:val="20"/>
                <w:color w:val="auto"/>
              </w:rPr>
            </w:pPr>
            <w:r>
              <w:rPr>
                <w:rFonts w:ascii="Arial" w:cs="Arial" w:eastAsia="Arial" w:hAnsi="Arial"/>
                <w:sz w:val="18"/>
                <w:szCs w:val="18"/>
                <w:color w:val="auto"/>
              </w:rPr>
              <w:t>Net loss (GAAP)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Adjusted EBITDA(6)</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r>
      <w:tr>
        <w:trPr>
          <w:trHeight w:val="338"/>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(GAAP)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17,708</w:t>
            </w:r>
          </w:p>
        </w:tc>
        <w:tc>
          <w:tcPr>
            <w:tcW w:w="8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29"/>
        </w:trPr>
        <w:tc>
          <w:tcPr>
            <w:tcW w:w="4060" w:type="dxa"/>
            <w:vAlign w:val="bottom"/>
            <w:shd w:val="clear" w:color="auto" w:fill="DBDBDB"/>
          </w:tcPr>
          <w:p>
            <w:pPr>
              <w:ind w:left="40"/>
              <w:spacing w:after="0"/>
              <w:rPr>
                <w:sz w:val="20"/>
                <w:szCs w:val="20"/>
                <w:color w:val="auto"/>
              </w:rPr>
            </w:pPr>
            <w:r>
              <w:rPr>
                <w:rFonts w:ascii="Arial" w:cs="Arial" w:eastAsia="Arial" w:hAnsi="Arial"/>
                <w:sz w:val="18"/>
                <w:szCs w:val="18"/>
                <w:color w:val="auto"/>
              </w:rPr>
              <w:t>Free cash flow(7)</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r>
    </w:tbl>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1000" w:right="80" w:hanging="326"/>
        <w:spacing w:after="0" w:line="249" w:lineRule="auto"/>
        <w:tabs>
          <w:tab w:leader="none" w:pos="987"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46" w:lineRule="exact"/>
        <w:rPr>
          <w:rFonts w:ascii="Arial" w:cs="Arial" w:eastAsia="Arial" w:hAnsi="Arial"/>
          <w:sz w:val="14"/>
          <w:szCs w:val="14"/>
          <w:color w:val="auto"/>
        </w:rPr>
      </w:pPr>
    </w:p>
    <w:p>
      <w:pPr>
        <w:ind w:left="1000" w:right="20" w:hanging="326"/>
        <w:spacing w:after="0" w:line="249" w:lineRule="auto"/>
        <w:tabs>
          <w:tab w:leader="none" w:pos="987" w:val="left"/>
        </w:tabs>
        <w:numPr>
          <w:ilvl w:val="0"/>
          <w:numId w:val="18"/>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146" w:lineRule="exact"/>
        <w:rPr>
          <w:rFonts w:ascii="Arial" w:cs="Arial" w:eastAsia="Arial" w:hAnsi="Arial"/>
          <w:sz w:val="14"/>
          <w:szCs w:val="14"/>
          <w:color w:val="auto"/>
        </w:rPr>
      </w:pPr>
    </w:p>
    <w:p>
      <w:pPr>
        <w:ind w:left="1000" w:right="160" w:hanging="326"/>
        <w:spacing w:after="0" w:line="249" w:lineRule="auto"/>
        <w:tabs>
          <w:tab w:leader="none" w:pos="987"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46" w:lineRule="exact"/>
        <w:rPr>
          <w:rFonts w:ascii="Arial" w:cs="Arial" w:eastAsia="Arial" w:hAnsi="Arial"/>
          <w:sz w:val="14"/>
          <w:szCs w:val="14"/>
          <w:color w:val="auto"/>
        </w:rPr>
      </w:pPr>
    </w:p>
    <w:p>
      <w:pPr>
        <w:ind w:left="980" w:hanging="306"/>
        <w:spacing w:after="0"/>
        <w:tabs>
          <w:tab w:leader="none" w:pos="9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ectPr>
          <w:pgSz w:w="11900" w:h="16838" w:orient="portrait"/>
          <w:cols w:equalWidth="0" w:num="1">
            <w:col w:w="10560"/>
          </w:cols>
          <w:pgMar w:left="320" w:top="14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60"/>
          </w:cols>
          <w:pgMar w:left="320" w:top="144" w:right="101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136130" cy="1778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0" w:right="100" w:hanging="326"/>
        <w:spacing w:after="0" w:line="258" w:lineRule="auto"/>
        <w:tabs>
          <w:tab w:leader="none" w:pos="9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1000" w:hanging="326"/>
        <w:spacing w:after="0" w:line="258" w:lineRule="auto"/>
        <w:tabs>
          <w:tab w:leader="none" w:pos="9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EBITDA is defined as net loss excluding interest (income) expense, net, income tax provision, depreciation and amortization, IPO and public company readiness costs, stock-based compensation expense, tender offer-related costs, other expenses, and the impairment of capitalized software.</w:t>
      </w:r>
    </w:p>
    <w:p>
      <w:pPr>
        <w:spacing w:after="0" w:line="139" w:lineRule="exact"/>
        <w:rPr>
          <w:rFonts w:ascii="Arial" w:cs="Arial" w:eastAsia="Arial" w:hAnsi="Arial"/>
          <w:sz w:val="14"/>
          <w:szCs w:val="14"/>
          <w:color w:val="auto"/>
        </w:rPr>
      </w:pPr>
    </w:p>
    <w:p>
      <w:pPr>
        <w:ind w:left="1000" w:right="220" w:hanging="326"/>
        <w:spacing w:after="0" w:line="258" w:lineRule="auto"/>
        <w:tabs>
          <w:tab w:leader="none" w:pos="987" w:val="left"/>
        </w:tabs>
        <w:numPr>
          <w:ilvl w:val="0"/>
          <w:numId w:val="19"/>
        </w:numPr>
        <w:rPr>
          <w:rFonts w:ascii="Arial" w:cs="Arial" w:eastAsia="Arial" w:hAnsi="Arial"/>
          <w:sz w:val="14"/>
          <w:szCs w:val="14"/>
          <w:color w:val="auto"/>
        </w:rPr>
      </w:pPr>
      <w:r>
        <w:rPr>
          <w:rFonts w:ascii="Arial" w:cs="Arial" w:eastAsia="Arial" w:hAnsi="Arial"/>
          <w:sz w:val="14"/>
          <w:szCs w:val="14"/>
          <w:color w:val="auto"/>
        </w:rPr>
        <w:t>Free cash flow is defined as net cash provided by operating activities, reduced by capital expenditures and capitalized software development costs, and increased by IPO and public company readiness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320" w:top="144" w:right="1019" w:bottom="1440"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If any of the risks actually occur, our business, results of operations, financial condition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13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paying subscribers. There is no guarantee that we will not experience an erosion of our user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14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and the sharing of user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other subjects or have concerns related to security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if we introduce new products or services, or make changes to existing products and services, that are not favorably received;</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a decrease in user stickiness as a result of users no longer being interested in pursuing online language learning or reaching a point where they feel our product cannot advance their language ability;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143" w:lineRule="exact"/>
        <w:rPr>
          <w:rFonts w:ascii="Arial" w:cs="Arial" w:eastAsia="Arial" w:hAnsi="Arial"/>
          <w:sz w:val="18"/>
          <w:szCs w:val="18"/>
          <w:color w:val="auto"/>
        </w:rPr>
      </w:pPr>
    </w:p>
    <w:p>
      <w:pPr>
        <w:ind w:left="660" w:right="42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4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143"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could render our products less attractive to users, which is likely to have a material and adverse impact on our revenue, business, financial condition and results of operations. If our user growth rate slows or declines, we will become increasingly dependent on our ability to maintain or increase levels of user engagement and monetization in order to drive revenue growth.</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United States and abroad. It is possible that a new product could gain rapid scale at the expense of existing brands through harnessing a new technology, or a new or existing distribution channel, creating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4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2020, we launched our Duolingo ABC app, which has not yet generated any revenue for us. There is no guarantee that investing in new lines of business, new products, new product extensions and other initiatives will succeed. If our new or enhanced brands, products or product extensions fail to engage users, we may fail to attract or keep users or to generate sufficient revenue, operating margin, or other value to justify our investments, and our business may be materially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as a result, our past results may not be indicative of future operating performance.</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limited operating history, which makes it difficult to forecast our future results. You should not rely on our past quarterly operating results as indicators of future performance. You should take into account and evaluate our prospects in light of the risks and uncertainties frequently encountered by companies in rapidly-evolving markets like ours.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each year since our inception and we may not achieve or maintain profitability in the future.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have incurred operating losses each year since our inception and we may not achieve or maintain profitability in the future. Although our revenue has increased each quarter since the first quarter of 2018,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12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May 31, 2021, our headcount grew from approximately 140 employees to over 400 employees. Further, as we grow, our business becomes increasingly complex. To effectively manage and capitalize on our growth, we must continue to expand our sales and marketing, focus on innovative product and content development, upgrade our management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13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3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14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143" w:lineRule="exact"/>
        <w:rPr>
          <w:rFonts w:ascii="Arial" w:cs="Arial" w:eastAsia="Arial" w:hAnsi="Arial"/>
          <w:sz w:val="18"/>
          <w:szCs w:val="18"/>
          <w:color w:val="auto"/>
        </w:rPr>
      </w:pPr>
    </w:p>
    <w:p>
      <w:pPr>
        <w:ind w:left="660" w:right="48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business or macroeconomic conditions, including the impact of the current COVID-19 outbreak, lower consumer confidence in our business or in the online learning industry generally, recessionary conditions, increased unemployment rates, stagnant or declining wages, political unrest, armed conflicts, or natural disasters.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43"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measurement, and real or perceived inaccuracies in those metrics may negatively affect our reputation and our business.</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results of operations, and financial condition could be materially adversely affected.</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revenue.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 through and depend on the Apple App Store and the Google Play Store.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We pay Apple and Google, as applicable, a meaningful share (generally 30%) of the revenue we receive from transactions processed through in-app payment systems. In 2020, we derived 51% of our revenue and 53% of our total bookings from the Apple App Store, and 19% of our revenue and 20% of our total bookings from the Google Play Store. The timing of their payments also may change, which may negatively impact our cash receipts and working capital. While we do not anticipate any interruption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their distribution platforms or ability to accept customer payments, any such disruptions, even temporary, may have material impacts on our business and operations.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5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2020 Apple announced that a version update of iOS 14 will require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Based on statements from Apple, we anticipate these changes will take effect in 2021. We are continuing to evaluate how these rules or announced changes may affect our business, operations and financial results.</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 significantly reduce our ability to distribute our products to users, decrease the size of the user base we could convert into paying users, or decrease the revenues we derive from paying users or advertisers, each of which would materially and adversely affect our business, financial condition and results of operations.</w:t>
      </w:r>
    </w:p>
    <w:p>
      <w:pPr>
        <w:spacing w:after="0" w:line="136"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other similar issues arise that impact users’ ability to access our app or access social features, our business, financial condition, results of operations or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5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Any failure, disruption or interference with our use of hosted cloud computing services and systems provided by third-parties, like AWS or Google Cloud, could adversely impact our business, financial condition or results of operations. In addition, since many of the technical specialists responsible for managing disruptions to our technology infrastructure are working from home in accordance with shelter-in-place orders issued due to the COVID-19 pandemic, the time required to remedy any interruption may increase.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 w:right="37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52"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In 2020, approximately 17%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and enhance returns for our advertising partners. If our relationship with any advertising partners terminates for any reason, or if the commercial terms of our relationships are changed or do not continue to be renewed on favorable terms, we would need to qualify new advertising partners, which could negatively impact our revenues, at least in the short term.</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As of April 2021, Apple has deployed further changes, requiring its users with a version of iOS 14 (and presumably future iOS versions) to opt into the use of identifier-for-advertising on a per app basis.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these operating systems changes or potential future regulation on targeted advertising is highly uncertain.</w:t>
      </w:r>
    </w:p>
    <w:p>
      <w:pPr>
        <w:spacing w:after="0" w:line="11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Maintaining our brand will depend largely on our ability to continue to provide useful, reliable, trustworthy and innovative products, which we may not do successfully.</w:t>
      </w:r>
    </w:p>
    <w:p>
      <w:pPr>
        <w:spacing w:after="0" w:line="1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and use of social media influencers. Any failure in these efforts could materially adversely affect our business, financial condition and results of operations.</w:t>
      </w:r>
    </w:p>
    <w:p>
      <w:pPr>
        <w:spacing w:after="0" w:line="15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years ended December 31, 2019 and 2020, our sales and marketing expenses were $15.0 million and $35.0 million, respectively. For the three months ended March 31, 2020 and 2021, our sales and marketing expenses were $5.5 million and $19.8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expenditures to newer advertising channels, such as mobile and online video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Any failure to do so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Plus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may make decisions regarding our business and products in accordance with Duolingo’s mission and values that may reduce our short-or medium-term operating results if we believe those decisions are consistent with the mission and will improve the aggregate user experience. Although we expect that our commitment to Duolingo’s mission will, accordingly, improve our financial performance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Unfavorable publicity or media reports regarding us, our privacy practices,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could engage in misconduct that materially adversely affects us.”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resulting from the COVID-19 pandemic,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4" w:right="3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goals, as well as our business, financial condition, and results of operations generally, could be materially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seriously harm our business, brand image or reputation.”</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the acceptance by educational organizations of technology-based education does not continue to grow, or if technology-based education is discouraged by educational organizations, it could have a material adverse effect on our business.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Our success depends in part upon the continued adoption by educational organizations, such as schools, of technology-based education initiatives, including online learning. Some educators utilize our language learning application or Duolingo for Schools, our free web-based tool for teachers, as part of their curriculums or as a supplement to their curriculums. Based on a 2020 survey, we believe that almost 40% of foreign language teachers in US K-12 schools use Duolingo in their classrooms in some form. However, some academics and educators oppose online education in principle and have expressed concerns regarding the perceived loss of control over the education process that could result from offering or utilizing courses online. If the acceptance of technology-based education does not continue to grow, or if schools and other educational organizations do not continue to utilize our language learning application in the classroom or do not promote the utilization of our language learning application outside of the classroom, our ability to continue to grow our language learning application could be impaired.</w:t>
      </w:r>
    </w:p>
    <w:p>
      <w:pPr>
        <w:spacing w:after="0" w:line="12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If the recognition by schools and other educational organizations of the value of technology-based assessment does not continue to grow, or if schools and other organizations reduce their reliance on assessment in general, our ability to generate revenue from our assessment, including our Duolingo English Test, could be impaired.</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success of the Duolingo English Test depends in part upon the continued recognition and acceptance by schools and other educational organizations of technology-based assessment and upon the continued utilization of assessment in general. As a result of the COVID-19 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and other educational organizations reduce their reliance, or altogether cease to use standardized testing as part of admissions processes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4" w:right="37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reduce or eliminate reliance on standardized testing, it would have a material adverse effect on our Duolingo English Test business, which could adversely affect our revenues and results of operations.</w:t>
      </w:r>
    </w:p>
    <w:p>
      <w:pPr>
        <w:spacing w:after="0" w:line="1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Both our language learning application and the Duolingo English Test are available all over the world. Operating internationally, particularly in countries in which we have limited experience, exposes us to a number of additional risks, including:</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United States, as well as costs associated with repatriating funds to the United States;</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4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143"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(such as the COVID-19 pandemic) or the threat of any of these events; and</w:t>
      </w:r>
    </w:p>
    <w:p>
      <w:pPr>
        <w:spacing w:after="0" w:line="143"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44"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may particularly impact our operations in China. Further, as we expand our operations in China, we expect to continue to make modifications to the way our website, mobile apps, offerings, and features function in China as compared to other countries. In addition, we need to ensure that our business practices in China are compliant with local laws and regulations, which may be interpreted and enforced in ways that are different from our interpretation, and/or create obligations on us that are costly to meet or conflict with laws in other jurisdictions. Our office of approximately 17 employees in Beijing makes it easier for the Chinese authorities to bring enforcement actions against us.</w:t>
      </w:r>
    </w:p>
    <w:p>
      <w:pPr>
        <w:spacing w:after="0" w:line="1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10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results of operations may be materially adversely affected by the recent COVID-19 pandemic or other similar outbreaks.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business could be materially adversely affected by the outbreak of a widespread health epidemic or pandemic, including the COVID-19 pandemic. The COVID-19 pandemic has reached across the globe, resulting in the implementation of significant governmental measures, including lockdowns, closures, quarantines, and travel bans intended to control the spread of the virus. While some of these measures have been relaxed over the past few months in certain parts of the world, ongoing social distancing measures, and future prevention and mitigation measures, as well as the potential for some of these measures to be reinstituted in the event of repeat waves of the virus, are likely to have an adverse impact on global economic conditions and consumer confidence and spending, and could materially adversely affect demand, or users’ ability to pay, for our products and services.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public health epidemic or pandemic, including COVID-19, poses the risk that Duolingo or its employees, contractors, vendors, and other business partners may be prevented or impaired from conducting ordinary course business activities for an indefinite period of time, including due to shutdowns necessitated for the health and well-being of our employees, the employees of business partners, or shutdowns that may be requested or mandated by governmental authorities. In addition, in response to the COVID-19 outbreak, we have taken several precautions that may adversely impact employee productivity, such as requiring employees to work remotely, imposing travel restrictions, and temporarily closing office locations.</w:t>
      </w:r>
    </w:p>
    <w:p>
      <w:pPr>
        <w:spacing w:after="0" w:line="1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widespread epidemic, pandemic or other health crisis could also cause significant volatility in global markets. The COVID-19 outbreak has caused disruption in financial markets, which if it continues or intensifies, could reduce our ability to access capital and thereby negatively impact our liquidity.</w:t>
      </w:r>
    </w:p>
    <w:p>
      <w:pPr>
        <w:spacing w:after="0" w:line="149" w:lineRule="exact"/>
        <w:rPr>
          <w:sz w:val="20"/>
          <w:szCs w:val="20"/>
          <w:color w:val="auto"/>
        </w:rPr>
      </w:pPr>
    </w:p>
    <w:p>
      <w:pPr>
        <w:ind w:right="720"/>
        <w:spacing w:after="0" w:line="269" w:lineRule="auto"/>
        <w:rPr>
          <w:sz w:val="20"/>
          <w:szCs w:val="20"/>
          <w:color w:val="auto"/>
        </w:rPr>
      </w:pPr>
      <w:r>
        <w:rPr>
          <w:rFonts w:ascii="Arial" w:cs="Arial" w:eastAsia="Arial" w:hAnsi="Arial"/>
          <w:sz w:val="18"/>
          <w:szCs w:val="18"/>
          <w:color w:val="auto"/>
        </w:rPr>
        <w:t>We intend to continue to execute on our strategic plans and operational initiatives during the COVID-19 outbreak; however, the aforementioned uncertainties may result in delays or modifications to these plans and initiatives. Part of our growth strategy includes increasing the number of international users and expanding into additional geographies. The timing and success of our international expansion may be negatively impacted by COVID-19, which could impede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the COVID-19 outbreak could increase the magnitude of many of the other risks described in this prospectus, and may have other material adverse effects on our operations that we are not currently able to predict. If our business and the markets in which we operate experience a prolonged occurrence of adverse public health conditions, such as COVID-19, it could materially adversely affect our business, financial condition, and results of operations.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outbreak,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 motivations of such actors may vary, but breaches that compromise our information technology systems or the personal data processed on such systems can cause interruptions, delays or operational malfunctions, which in turn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addition,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We also regularly encounter attempts to create false or undesirable user accounts and ads or take other actions on our platform for objectionable ends. As a result of our prominence, the size of our user base, the volume of personal data on our systems,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software bugs or other technical malfunctions;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addition, third parties may attempt to fraudulently induce employees or users to disclose information in order to gain access to our data or our users’ data. Cyber-attacks continue to evolve in sophistication and volume, and may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Any of the foregoing could have a material adverse effect on our business, financial condition, results of operations and prospects.</w:t>
      </w:r>
    </w:p>
    <w:p>
      <w:pPr>
        <w:spacing w:after="0" w:line="154" w:lineRule="exact"/>
        <w:rPr>
          <w:sz w:val="20"/>
          <w:szCs w:val="20"/>
          <w:color w:val="auto"/>
        </w:rPr>
      </w:pPr>
    </w:p>
    <w:p>
      <w:pPr>
        <w:jc w:val="both"/>
        <w:ind w:right="620"/>
        <w:spacing w:after="0" w:line="271"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 store, transmit and otherwise process certain confidential, sensitive or personal information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44" w:right="39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5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credit card information and personal information of our employees and users. In some cases, we engage third-party service providers to process or store this information. We continuously develop and maintain systems to protect the security, integrity and confidentiality of this information, but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efforts.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and we may have to expend significant capital and other resources to mitigate the impact of such events, including developing and implementing protections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We are subject to a number of risks related to credit card payments, including data security breaches and fraud that we or third parties experience or additional regulation, any of which could materially adversely affect our business, financial condition and results of operations.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credit card transactions, certain online payment service providers, and mobile payment platforms. The ability to access credit card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or a third party experiences a data security breach involving credit card information, affected cardholders will often cancel their credit cards. In the case of a breach experienced by a third party, the more sizable the third party’s customer base and the greater the number of credit card accounts impacted, the more likely it is that our users would be impacted by such a breach. To the extent our users are ever affected by such a breach experienced by us or a third party, affected users would need to be contacted to obtain new credit card information and process any pending transactions. It is likely that we would not be able to reach all affected users, and even if we could, some users’ new credit card information may not be obtained and some pending transactions may not be processed, which could materially adversely affect our business, financial condition and results of operations.</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work with our payment service providers to utilize tokenization tools to replace sensitive cardholder information with a stand-in token to help secure individual cardholder bank account details in credit card transactions and to reduce the number of systems that have access to our customers’ credit card information. While these tokenization tools can help limit the data security risks associated with credit card transactions, it does not eliminate those risks altogether.</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credit cards online and choose alternative payment methods that are not as convenient for us or restrict our ability to process payments without significant cost or user effort.</w:t>
      </w:r>
    </w:p>
    <w:p>
      <w:pPr>
        <w:spacing w:after="0" w:line="149"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Additionally, if we fail to adequately prevent fraudulent credit card transactions, we may face litigation, fines, governmental enforcement action, civil liability, diminished public perception of our security measures, significantly higher credit card-related costs and substantial remediation costs, or refusal by credit card processors to continue to process payments on our behalf, any of which could materially adversely affect our business, financial condition and results of operations.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For example, under the Payment Services Regulation 2017, banks and other payment services providers are expected to develop and implement by September 14, 2021 strong customer authentication to check that the person requesting access to an account or trying to make a payment is permitted to do so. This could materially adversely affect our payment authorization rate and user journey. Legislation or regulation regarding the foregoing, or changes to existing legislation or regulation governing subscription payments, are being considered in many states in the US. While we monitor and attempt to comply with these legal developments, we have been in the past, and may be in the future, subject to claims under such legislation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 w:right="37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13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While we have backup systems in place for certain aspects of our operations, not all of our systems and infrastructures are fully redundant. We do not have a formal disaster recovery plan, and system backups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 Security breaches, improper access to or disclosure of our data or user data, other hacking and phishing attacks on our systems, or other cyber incidents could compromise sensitive information related to our business and/or personal data processed by us or on our behalf and expose us to liability, which could harm our reputation and materially adversely affect our business.”</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The identification of suitable acquisition candidates can be difficult, time-consuming and costly, and we may not be able to successfully complete identified acquisitions. We may experience operational and financial risks in connection with historical and future acquisitions if we are unable to:</w:t>
      </w:r>
    </w:p>
    <w:p>
      <w:pPr>
        <w:spacing w:after="0" w:line="13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24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5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functional currency is the US dollar,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opportunity estimates and expectations about market growth included in this prospectus are subject to significant uncertainty and are based on assumptions and estimates that may not prove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320" w:top="144" w:right="4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accurate. Even if the markets in which we compete meet the size estimates and growth expectations included in this prospectus, our business could fail to grow for a variety of reasons, which could adversely affect our results of operations.</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subject to a variety of laws and regulations in the United States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144" w:right="37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exposed to liabilities under the US Foreign Corrupt Practices Act and other US and foreign anti-corruption anti-money laundering, export control, sanctions and other trade laws and regulations, and any determination that we violated these laws could have a material adverse effect on our business.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are subject to rules and regulations of the United States and abroad relating to export controls and economic sanctions, including, but not limited to, trade sanctions administered by the Office of Foreign Assets Control within the US Department of the Treasury, as well as the Export Administration Regulations administered by the Department of Commerce. These regulations limit our ability to market, sell, distribute or otherwise transfer our products or technology to prohibited countries or persons.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Further, we have historically provided services to users in Iran, Cuba and Syria, countries that are presently the subject of comprehensive sanctions by the US government (Sanctioned Countries). We believe our provision of such services is either in compliance with generally available exemptions from sanctions laws or otherwise in compliance with applicable law, and have implemented various control mechanisms designed to prevent unauthorized dealings with Sanctioned Countries.</w:t>
      </w:r>
    </w:p>
    <w:p>
      <w:pPr>
        <w:spacing w:after="0" w:line="15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we have taken steps to comply with these rules and regulations, a determination that we have failed to comply, whether knowingly or inadvertently, may result in substantial penalties, including fines, enforcement actions, civil and/or criminal sanctions, the disgorgement of profits, and may materially adversely affect our business, results of operations and financial condition.</w:t>
      </w:r>
    </w:p>
    <w:p>
      <w:pPr>
        <w:spacing w:after="0" w:line="11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access, collect, and use personal data about our users and payers, and to comply with applicable data privacy laws.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Increased regulation of data utilization practices, including self-regulation, new laws, or findings or guidance under existing laws that limit our ability to collect, disclose, process, transfer, retain and use information and other data, could have a material adverse effect on our business. In addition, if we were to disclose information and other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concerning our treatment of customer and other personal information, such as laws regarding data localization and/or restrictions on data export. For example, in July 2020 the Court of Justice of the European Union (CJEU) invalidated the EU-US Privacy Shield Framework (Privacy Shield) under which personal data could be transferred from the European Economic Area (EEA) and the United Kingdom to entities in the United States who had self-certified under the Privacy Shield scheme. This has led to uncertainty about the adequate transfer mechanisms for other personal data transfers from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See “—The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varying and rapidly-evolving regulatory framework on privacy and data protection across jurisdictions could result in claims, changes to our business practices, monetary penalties, increased cost of operations, or declines in user growth or engagement, or otherwise harm our business.</w:t>
      </w:r>
    </w:p>
    <w:p>
      <w:pPr>
        <w:spacing w:after="0" w:line="15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As discussed above, we process personal information, personal data and other regulated information both from our employees and our users. There are numerous laws in the countries in which we operate regarding privacy and the storage, sharing, use, transfer, disclosure, protection and otherwise processing of this kind of information,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United States, the EEA and the United Kingdom. We are subject to various data protection laws, including: the General Data Protection Regulation 2016/679 (GDPR) in the EEA, the United Kingdom data protection regime consisting primarily of (i) the UK General Data Protection Regulation and (ii) the UK Data Protection Act 2018 (collectively (i) and (ii), the UK GDPR), the California Consumer Privacy Act (CCPA) in the United States, and the Brazilian General Data Protection Law, which imposes requirements similar to the GDPR on products and services offered to users in Brazil. We may be subject to additional privacy regulations in the future, including the Virginia Consumer Data Protection Act (VCDPA). Other comprehensive data privacy or data protection laws or regulations have been passed or are under consideration in other jurisdictions, including China, India and Japan. Laws such as these give rise to an increasingly complex set of compliance obligations on us, as well as on many of our service providers. These laws impose restrictions on our ability to gather personal data, provide individuals with the ability to opt out of personal data collection, impose obligations on our ability to share data with others, and potentially subject us to fines, lawsuits, and regulatory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4" w:right="3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pseudonymized (i.e., key-coded) data; imposing limitations on retention of personal data; maintaining a record of processing activities; and complying with the principle of accountability and the obligation to demonstrate compliance through policies, procedures, training and audit. The GDPR and the UK GDPR create compliance obligations that are also applicable to entities established outside the EEA/United Kingdom, which offer goods or services to individuals located in the EEA/United Kingdom or which observe the behavior of individuals located in the EEA/United Kingdom. This has created a greater compliance burden for us and other companies with users in the EEA and the United Kingdom, as the legal regimes may subject non-compliant entities to substantial monetary penalties. In particular, fines for the most serious violations under the GDPR and the UK GDPR may amount to the greater of €20 million/ £17.5 million or, in the case of an undertaking, up to 4% of the total worldwide annual group turnover of the preceding financial year.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noted above, the CJEU invalidated the Privacy Shield on July 16, 2020 and, while it upheld the adequacy of the EU standard contractual clauses (a standard form of contract approved by the European Commission (SCCs) as an adequate transfer mechanism for personal data, and potential alternative to the Privacy Shield), it made clear that reliance on them alone may not necessarily be sufficient in all circumstances. Use of the SCCs must be assessed on a case-by-case basis taking into account the legal regime applicable in the destination country, in particular surveillance laws and the rights of individuals and additional measures and/or contractual provisions may need to be adopted, however, the nature of these additional measures is currently uncertain.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We rely on a mixture of mechanisms to transfer personal data from the EEA and the United Kingdom to the United States and are evaluating what additional mechanisms may be required to establish adequate safeguards for personal data. As supervisory authorities continue to issue further guidance on personal data export mechanisms, including circumstances where the SCCs cannot be used and/or start taking enforcement action, there will be uncertainty as to how we comply with EEA and United Kingdom privacy laws and we could suffer additional costs, complaints, and/or regulatory investigations or fines. Moreover, if we are otherwise unable to transfer personal data between and among countries and regions in which we operate, it could affect the manner in which we provide our services, and we may find it necessary to establish systems in the EEA and the United Kingdom to maintain personal data originating from the EEA and the United Kingdom, which may involve substantial expense and distraction from other aspects of our business.</w:t>
      </w:r>
    </w:p>
    <w:p>
      <w:pPr>
        <w:spacing w:after="0" w:line="16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are also subject to evolving privacy laws in the EEA and the United Kingdom on cookies and e-marketing. Regulators are increasingly focusing on compliance with requirements in the online behavioral advertising ecosystem, and current national laws that implement the ePrivacy Directive are highly likely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be replaced by an EU regulation known as the ePrivacy Regulation which will significantly increase fines for non-compliance. In the EEA and the United Kingdom,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While the text of the ePrivacy Regulation is still under development, recent European court decisions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Brexit (as defined below) and ongoing developments in the United Kingdom have created additional uncertainty as the United Kingdom may become a “third country” for the purposes of personal data transfers from the EEA to the United Kingdom following the expiration of the four to six-month personal data transfer grace period (from January 1, 2021) set out in the EU and United Kingdom Trade and Cooperation Agreement, unless a relevant adequacy decision is adopted in favor of the United Kingdom (which would allow data transfers without additional measures). These changes may require us to find alternative solutions for the compliant transfer of personal data into the United Kingdom. Additionally, following Brexit, we may be exposed to two parallel enforcement regimes, each of which authorize similar fines and other enforcement actions for certain violations.</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With each such provider we attempt to mitigate the associated risks of using third parties by performing security assessments and detailed due diligence, entering into contractual arrangements to ensure that providers only process personal data according to our instructions, and that they have sufficient technical and organizational security measures in place. Where we transfer personal data outside the EEA or the United Kingdom to such third parties, we do so while considering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5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GDPR and the UK GDPR will continue to be interpreted by data protection regulators in the EEA and the United Kingdom. This may require us to make changes to our business practices, which could be time-consuming and expensive, and could generate additional risks and liabilities. Other countries have also passed or are considering passing laws requiring local data residency and/or restricting the international transfer of data.</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Multiple legislative proposals concerning privacy and the protection of user information are being considered by the US Congress. Various US state legislatures have announced intentions to consider additional privacy legislation, and US state legislatures such as California and Virginia have already passed and enacted comprehensive privacy legislation. For example, among other cases, the CCPA requires covered companies to provide new disclosures to California consumers and provide such consumers certain data protection and privacy rights, including the ability to opt-out of certain sales of personal information. The CCPA provides for civil penalties for violations, as well as a private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4"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action for certain data breaches. This private right of action may increase the likelihood of, and risks associated with, data breach litigation. A ballot initiative from privacy rights advocates intended to augment and expand the CCPA called the California Privacy Rights Act (CPRA) was passed in November 2020 and will take effect in January 2023 (with a look back to January 2022). The CPRA will significantly modify the CCPA, including by expanding consumers’ rights with respect to certain sensitive personal information. The CPRA also creates a new state agency that will be vested with authority to implement and enforce the CCPA and the CPRA. The VCDPA, which will go into effect in 2023, gives new data protection rights to Virginia residents and imposes additional obligations on controllers and processors of personal data. For example, like the CCPA, the VCDPA grants Virginia residents certain rights to access personal data that is being processed by the controller, the right to correct inaccuracies in that personal data and the right to require that their personal data be deleted by the data controller. In addition, Virginia residents will have the right to request a copy of their personal data in a format that permits them to transmit it to another data controller. Further, under the VCDPA, Virginia residents will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against companies found to be in violation of the Children’s Online Privacy Protection Act (COPPA), and obtaining twenty-year consent decrees mandating enhanced and specific requirements for information security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16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4"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policies or with any legal or regulatory requirements, standards, certifications or orders or other privacy or consumer protection-related laws and regulations applicable to us, could cause our users to reduce their use of our products and services.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we aim to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2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an increased risk of litigation and regulatory actions.</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variety of laws and regulations have been adopted in recent years aimed at protecting children using the internet such as the COPPA and Article 8 of the GDPR and the UK GDPR. We implement certain precautions to ensure that we comply. Despite our efforts, no assurances can be given that such measures will be sufficient to completely avoid allegations of COPPA violations, any of which could expose us to significant liability, penalties, reputational harm and loss of revenue, among other things. Additionally, new regulations are being considered in various jurisdictions to require the monitoring of user content or the verification of users’ identities and age. Such new regulations, or changes to existing regulations, could increase the cost of our operations.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“Business—Legal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We have users in the United Kingdom and the European Union and, as a result, we face risks associated with the potential uncertainty and disruptions that may follow Brexit and the implementation and application of the trade and cooperation agreement, including with respect to volatility in exchange rates and interest rates, disruptions to the free movement of data, goods, services, people and capital between the United Kingdom and the European Union and potential material changes to the regulatory regime applicable to our operations in the United Kingdom. The uncertainty concerning the United Kingdom’s future legal, political and economic relationship with the European Union could adversely affect political, regulatory, economic or market conditions in the European Union, the United Kingdom and worldwide and could contribute to instability in global political institutions, regulatory agencies and financial markets. These developments have had and may continue to have a material adverse effect on global economic conditions and the stability of global financial markets and could significantly reduce global market liquidity and limit the ability of key market participants to operate in certain financial markets.</w:t>
      </w:r>
    </w:p>
    <w:p>
      <w:pPr>
        <w:spacing w:after="0" w:line="15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may also face new regulatory costs and challenges as a result of Brexit that could have a material adverse effect on our operations. For example, as of January 1, 2021, the United Kingdom lost the benefits of global trade agreements negotiated by the European Union on behalf of its members, which may result in increased trade barriers that could make doing business in areas that are subject to such global trade agreements more difficult. In addition, Brexit could lead to legal uncertainty and potentially divergent national laws and regulations as the United Kingdom determines which laws of the European Union to replace or replicate. There may continue to be economic uncertainty surrounding the consequences of Brexit that adversely impact customer confidence resulting in fewer users using or paying for our services, which could materially adversely affect our business, financial condition and results of operations.</w:t>
      </w:r>
    </w:p>
    <w:p>
      <w:pPr>
        <w:spacing w:after="0" w:line="15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ongoing instability and uncertainty surrounding Brexit and the implementation and application of the Trade and Cooperation Agreement, could require us to restructure our business operations in the United Kingdom and the European Union and could have an adverse impact on our business and staff in the United Kingdom and European Union.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5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13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rights and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and service marks as they are developed and used, and reserve, register and renew domain names and social media handles as we deem appropriate. 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generic or determined to be infringing on other marks. Further, at times, competitors may adopt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also independently develop technologies that are substantially similar or superior to ours and we may not be able to stop such parties from using such independently developed technologies from competing with us.</w:t>
      </w:r>
    </w:p>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entered into such agreements with each party that has or may have had access to our proprietary information or trade secrets and,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from the intellectual property that we develop or license.</w:t>
      </w:r>
    </w:p>
    <w:p>
      <w:pPr>
        <w:spacing w:after="0" w:line="15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144" w:right="37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13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this offering, there has not been a public trading market for shares of our Class A common stock. The initial public offering price per share of Class A common stock will be determined by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among us, the selling stockholders and the representative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our company will lead to the development of an active trading market on the Nasdaq Global Select Market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151"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In addition, we currently anticipate that up to 1%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3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5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7" w:lineRule="exact"/>
        <w:rPr>
          <w:sz w:val="20"/>
          <w:szCs w:val="20"/>
          <w:color w:val="auto"/>
        </w:rPr>
      </w:pPr>
    </w:p>
    <w:p>
      <w:pPr>
        <w:ind w:right="146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3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reports on us, we could lose visibility in the financial markets, which in turn could cause our Class A common stock price or trading volume to decline and our Class A common stock to be less liquid.</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91.5% of the voting power of our capital stock as of March 31, 2021.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has 20 votes per share, and our Class A common stock, which is the stock that is being sold in this offering, has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vote per share. As of March 31, 2021, our directors, executive officers, and 5% stockholders and their affiliates held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aggregate 91.5% of the voting power of our capital stock. Because of the 20-to-one voting ratio between our Class B and Class A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the holders of our Class B common stock collectively could continue to control a significant percentage of the combined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and therefore be able to control all matters submitted to our stockholders for approval until all outstanding shares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 A and Class B common stock have converted automatically into shares of a single class of common stock. This concentrated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limit or preclude your ability to influence corporate matters for the foreseeable future, including the election of directors, amendments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and any merger, consolidation, sale of all or substantially all of our assets, or other major corporate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requiring stockholder approval. In addition, this may prevent or discourage unsolicited acquisition proposals or offers for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stock that you may believe are in your best interest as one of our stockholders.</w:t>
      </w:r>
    </w:p>
    <w:p>
      <w:pPr>
        <w:spacing w:after="0" w:line="1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this offering, any future issuances of Class B common stock would be dilutive to holders of Class A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index providers have announced restrictions on including companies with multiple class share structures in certain of their indices. For example, S&amp;P Dow Jones has stated that companies with multiple share classes will not be eligible for inclusion in the S&amp;P Composite 1500 (composed of the S&amp;P 500, S&amp;P MidCap 400 and S&amp;P SmallCap 600), although existing index constituents in July 2017 were grandfathered. Under the announced policies, our dual class capital structure would make us ineligible for inclusion in any of these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which may include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initial public offering price per share of Class A common stock will be substantially higher than our pro forma net tangible book value per share immediately after this offering.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the section entitled “Dilution.”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44" w:right="39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our common stock in the public market could cause the market price of our common stock to drop significantly, even if our business is doing well.</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closing of this offering, based on the number of shares outstanding as of March 31, 2021, we will have 11,293,655 shares of Class A common stock outstanding and 24,598,497 shares of Class B common stock outstanding.</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 Notwithstanding the foregoing, certain shares may automatically be released during the lock-up period pursuant to certain conditions being met. See “Shares Eligible for Future Sale” for a discussion of certain early release and other exceptions to transfer restrictions that would allow for sales during the lock-up period.</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 See the section titled “Shares Eligible for Future Sale” for additional information regarding shares of our Class A common stock that will be eligible for resale after this offering.</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Moreover, following this offering, the holders of up to 17,668,163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as described in the section of this prospectus entitled “Description of Capital Stock—Registration Rights.” Any registration statement we file to register additional shares, whether as a result of registration rights or otherwise, could cause the market price of our Class A common stock to decline or be volatile.</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Further, as of March 31, 2021, we had options outstanding that, if fully exercised, would result in the issuance of 6,736,002 shares of Class A common stock and 1,034,500 shares of Class B common stock, as well as 41,917 shares of Class A common stock issuable upon vesting and settlement of outstanding RSUs. After March 31, 2021, we issued additional options exercisable for 71,700 shares of Class A common stock and additional RSUs representing the right to receive an aggregate of 552,788 shares of Class A common stock upon vesting. We intend to file a registration statement on Form S-8 under the Securities Act to register the shares of our common stock subject to outstanding stock options and RSUs as of the date of this prospectus and shares that will be issuable pursuant to future awards granted under our equity incentive plan. Once we register these shares, they can be freely sold in the public market upon issuance, subject to applicable vesting requirements, compliance by affiliates with Rule 144, the market stand-off provisions and lock-up agreements described in the section of this prospectus entitled “Underwriting,” and other restrictions provided under the terms of the applicable plan and/or the award agreements entered into with participants.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substantial dilution to our existing stockholders and cause the trading price of our Class A common stock to decline.</w:t>
      </w:r>
    </w:p>
    <w:p>
      <w:pPr>
        <w:spacing w:after="0" w:line="14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only paid one dividend in our history and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 For more information, see the section titled “Management’s Discussion and Analysis of Financial Condition and Results of Operations—Liquidity and Capital Resources.”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provide for:</w:t>
      </w:r>
    </w:p>
    <w:p>
      <w:pPr>
        <w:spacing w:after="0" w:line="13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20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47"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4" w:right="37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separate series, to adopt, amend, or repeal certain provisions of our restated certificate of incorporation;</w:t>
      </w:r>
    </w:p>
    <w:p>
      <w:pPr>
        <w:spacing w:after="0" w:line="171" w:lineRule="exact"/>
        <w:rPr>
          <w:sz w:val="20"/>
          <w:szCs w:val="20"/>
          <w:color w:val="auto"/>
        </w:rPr>
      </w:pPr>
    </w:p>
    <w:p>
      <w:pPr>
        <w:ind w:left="660" w:right="3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3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provide that we will indemnify our directors and officers, in each case to the fullest extent permitted by Delaware law.</w:t>
      </w:r>
    </w:p>
    <w:p>
      <w:pPr>
        <w:spacing w:after="0" w:line="14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36" w:lineRule="exact"/>
        <w:rPr>
          <w:sz w:val="20"/>
          <w:szCs w:val="20"/>
          <w:color w:val="auto"/>
        </w:rPr>
      </w:pPr>
    </w:p>
    <w:p>
      <w:pPr>
        <w:ind w:left="660" w:right="60" w:hanging="328"/>
        <w:spacing w:after="0" w:line="273"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6" w:lineRule="exact"/>
        <w:rPr>
          <w:rFonts w:ascii="Arial" w:cs="Arial" w:eastAsia="Arial" w:hAnsi="Arial"/>
          <w:sz w:val="17"/>
          <w:szCs w:val="17"/>
          <w:color w:val="auto"/>
        </w:rPr>
      </w:pPr>
    </w:p>
    <w:p>
      <w:pPr>
        <w:ind w:left="660" w:right="12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520" w:hanging="328"/>
        <w:spacing w:after="0" w:line="291"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9" w:lineRule="exact"/>
        <w:rPr>
          <w:rFonts w:ascii="Arial" w:cs="Arial" w:eastAsia="Arial" w:hAnsi="Arial"/>
          <w:sz w:val="17"/>
          <w:szCs w:val="17"/>
          <w:color w:val="auto"/>
        </w:rPr>
      </w:pPr>
    </w:p>
    <w:p>
      <w:pPr>
        <w:ind w:left="660" w:right="2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61"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results of operations, and financial condition.</w:t>
      </w:r>
    </w:p>
    <w:p>
      <w:pPr>
        <w:spacing w:after="0" w:line="12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and relief from various reporting requirements that are applicable to other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 w:right="37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companies that are not emerging growth companies. In particular, while we are an emerging growth company, we will not be required to comply with the auditor attestation requirements of Section 404(b) of the Sarbanes-Oxley Act of 2002, or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may remain an emerging growth company until the earliest of (1) the last day of the fiscal year following the fifth anniversary of the consummation of this offering,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exact implications of the JOBS Act are subject to interpretation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results of operations, and financial condition.</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As a public company, we will incur significant legal, accounting, and other expenses that we have not incurred as a private company. We will be subject to the reporting requirements of the Securities Exchange Act of 1934, as amended (the Exchange Act), the applicable requirements of the Sarbanes-Oxley Act, the Dodd-Frank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44" w:right="37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either no or limited experience in managing publicly-traded companies. Our management team may not successfully or efficiently manage our transition to being a public company and the continuous scrutiny of securities analysts and investors. These new obligations and constituents will require significant attention from our senior management and could divert their attention away from the day-to-day management of our business, and could materially adversely affect our business, results of operations, and financial condition.</w:t>
      </w:r>
    </w:p>
    <w:p>
      <w:pPr>
        <w:spacing w:after="0" w:line="1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If we experience material weaknesses in the future or otherwise fail to implement and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2022.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including performing the evaluation needed to comply with Section 404, we will need to implement additional financial and management controls, reporting systems and procedures and hire additional accounting and finance staff.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3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71"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fiscal year 2019, we identified a material weakness with our internal control over financial reporting as we had not designed or maintained an effective control environment and associated control activities to meet our accounting and reporting requirements. Specifically we did not have a sufficient complement of personnel with an appropriate degree of internal controls and accounting knowledge, we did not have a sufficiently documented risk assessment process to identify and analyze risks of misstatement due to error and/or fraud and in certain cases we did not have appropriate reviews over journal entries and third party reported information to allow for reliable and timely financial reporting.</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2020, we established a remediation plan to address our material weakness and we have been actively engaged in the implementation of remediation efforts to address the material weakness. As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our commitment we have hired a complement of personnel, have established a risk assessment process, established reviews over journal entries and third party reported information and continue to evaluate the additional internal controls we have designed during 2020 and 2021. When we are satisfied these internal controls associated with the material weakness have operated within our business for a sufficient period of time, we will determine if we have remediated our material weakness. We have not been required to provide a management assessment of internal controls under section 404(a) of the Sarbanes-Oxley Act. It is possible that if we had a 404(a) assessment, additional material weaknesses may have been identified. Additionally, our registered independent public accounting firm has not been engaged to perform an audit of our internal controls over financial reporting.</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future, it is possible that additional material weaknesses or significant deficiencies may be identified that we may be unable to remedy before the requisite deadline for those reports. Our ability to comply with the annual internal control reporting requirements will depend on the effectiveness of our financial reporting and data systems and controls across our company.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our stock price.</w:t>
      </w:r>
    </w:p>
    <w:p>
      <w:pPr>
        <w:spacing w:after="0" w:line="1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When we cease to be an “emerging growth company” as defined under the JOBS Act, our auditors will be required to express an opinion on the effectiveness of our internal controls, unless we are then eligible for any other exemption from such requirement.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loss.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and could require significant investment in systems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139"/>
          </w:cols>
          <w:pgMar w:left="320" w:top="144" w:right="1440"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3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regarding future operating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 including our ability to grow our business in the countries we have identified as near-term priorities;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offerings and services to meet those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expansion into international markets and new industries;</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may become applicable to our business both in the United States and internationally and our expectations regarding various laws and restrictions that relate to our business;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intended use of the net proceeds from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prospectus.</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Among others, we refer to estimates compiled by the following industry sources:</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Global Web Index,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GSV Ventures, a venture capital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Comscore, a media measurement and analytics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eMarketer (Insider Intelligence Inc.),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 Annie Intelligence,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GSMA Intelligence (GSMA), an industry organization that represents the interests of mobile network operators worldwide;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Harris Poll, a market research and intelligence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HolonIQ, a market research and intelligence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 a marketing analytics company.</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independently verified the market and industry data from these third-party sources and thus the accuracy and completeness of such information cannot be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 w:right="35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estimate that we will receive net proceeds to us from this offering of approximately $335.9 million (or $406.2 million if the underwriters exercise their option to purchase additional shares of Class A common stock in full), based upon an assumed initial public offering price of $97.50 per share, which is the midpoint of the price range set forth on the cover page of this prospectus, and after deducting underwriting discounts and commissions and estimated offering expenses payable by us. We will not receive any proceeds from the sale of shares of our Class A common stock by the selling stockholders.</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Each $1.00 increase or decrease in the assumed initial public offering price per share of $97.50, which is the midpoint of the price range set forth on the cover page of this prospectus, would increase or decrease the net proceeds to us from this offering by approximately $3.5 million, assuming the number of shares of Class A common stock offered by us, as set forth on the cover page of this prospectus, remains the same and after deducting underwriting discounts and commissions and estimated offering expenses payable by us. Similarly, each</w:t>
      </w:r>
    </w:p>
    <w:p>
      <w:pPr>
        <w:ind w:right="160"/>
        <w:spacing w:after="0" w:line="269" w:lineRule="auto"/>
        <w:rPr>
          <w:sz w:val="20"/>
          <w:szCs w:val="20"/>
          <w:color w:val="auto"/>
        </w:rPr>
      </w:pPr>
      <w:r>
        <w:rPr>
          <w:rFonts w:ascii="Arial" w:cs="Arial" w:eastAsia="Arial" w:hAnsi="Arial"/>
          <w:sz w:val="18"/>
          <w:szCs w:val="18"/>
          <w:color w:val="auto"/>
        </w:rPr>
        <w:t>1.0 million share increase or decrease in the number of shares of Class A common stock offered by us in this offering would increase or decrease the net proceeds to us from this offering by approximately $91.9 million, assuming that the initial public offering price per share remains at $97.50, which is the midpoint of the price range set forth on the cover page of this prospectus, and after deducting underwriting discounts and commissions and estimated offering expenses payable by us.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to create a public market for our Class A common stock.</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working capital, operating expenses, and capital expenditures. We may also use a portion of the net proceeds to acquire or make investments in businesses, products, offerings, and technologies, although we do not have agreements or commitments for any material acquisitions or investments at this time.</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320" w:top="144" w:right="4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our results of operations, financial condition,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and cash equivalents, as well as our capitalization, as of March 31, 2021 as follows:</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basis, giving effect to (1) the Transactions as if such Transactions had occurred on March 31, 2021, and (2) the filing and effectiveness of our amended and restated certificate of incorporation in Delaware, which will occur immediately prior to the completion of this offering; and</w:t>
      </w:r>
    </w:p>
    <w:p>
      <w:pPr>
        <w:spacing w:after="0" w:line="93"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(1) the pro forma adjustments set forth above and (2) our sale and issuance of 3,700,000 shares of our Class A common stock in this offering at an assumed initial public offering price per share of $97.50, which is the midpoint of the price range set forth on the cover page of this prospectus, after deducting underwriting discounts and commissions and estimated offering expenses payable by us.</w:t>
      </w:r>
    </w:p>
    <w:p>
      <w:pPr>
        <w:spacing w:after="0" w:line="9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information below is illustrative only, and our cash and cash equivalents, additional paid-in capital, accumulated deficit, total stockholders’ (deficit) equity, and total capitalization following the closing of this offering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2"/>
                <w:szCs w:val="12"/>
                <w:color w:val="auto"/>
              </w:rPr>
            </w:pPr>
          </w:p>
        </w:tc>
        <w:tc>
          <w:tcPr>
            <w:tcW w:w="128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Adjusted(1)</w:t>
            </w:r>
          </w:p>
        </w:tc>
        <w:tc>
          <w:tcPr>
            <w:tcW w:w="0" w:type="dxa"/>
            <w:vAlign w:val="bottom"/>
          </w:tcPr>
          <w:p>
            <w:pPr>
              <w:spacing w:after="0"/>
              <w:rPr>
                <w:sz w:val="1"/>
                <w:szCs w:val="1"/>
                <w:color w:val="auto"/>
              </w:rPr>
            </w:pPr>
          </w:p>
        </w:tc>
      </w:tr>
      <w:tr>
        <w:trPr>
          <w:trHeight w:val="66"/>
        </w:trPr>
        <w:tc>
          <w:tcPr>
            <w:tcW w:w="4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60" w:type="dxa"/>
            <w:vAlign w:val="bottom"/>
            <w:gridSpan w:val="7"/>
          </w:tcPr>
          <w:p>
            <w:pPr>
              <w:jc w:val="center"/>
              <w:ind w:right="221"/>
              <w:spacing w:after="0"/>
              <w:rPr>
                <w:sz w:val="20"/>
                <w:szCs w:val="20"/>
                <w:color w:val="auto"/>
              </w:rPr>
            </w:pPr>
            <w:r>
              <w:rPr>
                <w:rFonts w:ascii="Arial" w:cs="Arial" w:eastAsia="Arial" w:hAnsi="Arial"/>
                <w:sz w:val="14"/>
                <w:szCs w:val="14"/>
                <w:color w:val="auto"/>
              </w:rPr>
              <w:t>(in thousands, except share and per share data)</w:t>
            </w:r>
          </w:p>
        </w:tc>
        <w:tc>
          <w:tcPr>
            <w:tcW w:w="0" w:type="dxa"/>
            <w:vAlign w:val="bottom"/>
          </w:tcPr>
          <w:p>
            <w:pPr>
              <w:spacing w:after="0"/>
              <w:rPr>
                <w:sz w:val="1"/>
                <w:szCs w:val="1"/>
                <w:color w:val="auto"/>
              </w:rPr>
            </w:pPr>
          </w:p>
        </w:tc>
      </w:tr>
      <w:tr>
        <w:trPr>
          <w:trHeight w:val="213"/>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117,459</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117,459</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453,349</w:t>
            </w:r>
          </w:p>
        </w:tc>
        <w:tc>
          <w:tcPr>
            <w:tcW w:w="0" w:type="dxa"/>
            <w:vAlign w:val="bottom"/>
          </w:tcPr>
          <w:p>
            <w:pPr>
              <w:spacing w:after="0"/>
              <w:rPr>
                <w:sz w:val="1"/>
                <w:szCs w:val="1"/>
                <w:color w:val="auto"/>
              </w:rPr>
            </w:pPr>
          </w:p>
        </w:tc>
      </w:tr>
      <w:tr>
        <w:trPr>
          <w:trHeight w:val="160"/>
        </w:trPr>
        <w:tc>
          <w:tcPr>
            <w:tcW w:w="698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Convertible preferred stock, $0.0001 par value; 19,074,276 shares authorized, issued and</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outstanding, actual; no shares authorized, issued and outstanding, pro forma and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2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182,609</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 (deficit):</w:t>
            </w:r>
          </w:p>
        </w:tc>
        <w:tc>
          <w:tcPr>
            <w:tcW w:w="19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98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Preferred stock, $0.0001 par value; no shares authorized, issued and outstanding, actual;</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20,000,000 shares authorized, no shares issued and outstanding, pro forma and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6980" w:type="dxa"/>
            <w:vAlign w:val="bottom"/>
            <w:gridSpan w:val="3"/>
            <w:shd w:val="clear" w:color="auto" w:fill="DBDBDB"/>
          </w:tcPr>
          <w:p>
            <w:pPr>
              <w:ind w:left="20"/>
              <w:spacing w:after="0" w:line="181" w:lineRule="exact"/>
              <w:rPr>
                <w:sz w:val="20"/>
                <w:szCs w:val="20"/>
                <w:color w:val="auto"/>
              </w:rPr>
            </w:pPr>
            <w:r>
              <w:rPr>
                <w:rFonts w:ascii="Arial" w:cs="Arial" w:eastAsia="Arial" w:hAnsi="Arial"/>
                <w:sz w:val="16"/>
                <w:szCs w:val="16"/>
                <w:color w:val="auto"/>
              </w:rPr>
              <w:t>Common stock, $0.0001 par value; 42,800,000 shares authorized, 13,117,876 issued and</w:t>
            </w: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outstanding, actual, no shares issued and outstanding, pro forma and pro forma as</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adjusted</w:t>
            </w:r>
          </w:p>
        </w:tc>
        <w:tc>
          <w:tcPr>
            <w:tcW w:w="19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980" w:type="dxa"/>
            <w:vAlign w:val="bottom"/>
            <w:gridSpan w:val="3"/>
          </w:tcPr>
          <w:p>
            <w:pPr>
              <w:ind w:left="20"/>
              <w:spacing w:after="0" w:line="178" w:lineRule="exact"/>
              <w:rPr>
                <w:sz w:val="20"/>
                <w:szCs w:val="20"/>
                <w:color w:val="auto"/>
              </w:rPr>
            </w:pPr>
            <w:r>
              <w:rPr>
                <w:rFonts w:ascii="Arial" w:cs="Arial" w:eastAsia="Arial" w:hAnsi="Arial"/>
                <w:sz w:val="16"/>
                <w:szCs w:val="16"/>
                <w:color w:val="auto"/>
              </w:rPr>
              <w:t>Class A common stock, $0.0001 par value; no shares authorized, issued and outstanding,</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actual; 2,000,000,000 shares authorized, 6,187,542 shares issued and outstanding,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3"/>
          </w:tcPr>
          <w:p>
            <w:pPr>
              <w:ind w:left="180"/>
              <w:spacing w:after="0" w:line="162" w:lineRule="exact"/>
              <w:rPr>
                <w:sz w:val="20"/>
                <w:szCs w:val="20"/>
                <w:color w:val="auto"/>
              </w:rPr>
            </w:pPr>
            <w:r>
              <w:rPr>
                <w:rFonts w:ascii="Arial" w:cs="Arial" w:eastAsia="Arial" w:hAnsi="Arial"/>
                <w:sz w:val="16"/>
                <w:szCs w:val="16"/>
                <w:color w:val="auto"/>
              </w:rPr>
              <w:t>forma; 2,000,000,000 shares authorized, 11,293,655 shares issued and outstanding, pro</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0"/>
        </w:trPr>
        <w:tc>
          <w:tcPr>
            <w:tcW w:w="47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Class B common stock, $0.0001 par value; no shares authorized,</w:t>
            </w:r>
          </w:p>
        </w:tc>
        <w:tc>
          <w:tcPr>
            <w:tcW w:w="2220" w:type="dxa"/>
            <w:vAlign w:val="bottom"/>
            <w:gridSpan w:val="2"/>
            <w:shd w:val="clear" w:color="auto" w:fill="DBDBDB"/>
          </w:tcPr>
          <w:p>
            <w:pPr>
              <w:jc w:val="right"/>
              <w:ind w:right="399"/>
              <w:spacing w:after="0" w:line="181" w:lineRule="exact"/>
              <w:rPr>
                <w:sz w:val="20"/>
                <w:szCs w:val="20"/>
                <w:color w:val="auto"/>
              </w:rPr>
            </w:pPr>
            <w:r>
              <w:rPr>
                <w:rFonts w:ascii="Arial" w:cs="Arial" w:eastAsia="Arial" w:hAnsi="Arial"/>
                <w:sz w:val="16"/>
                <w:szCs w:val="16"/>
                <w:color w:val="auto"/>
              </w:rPr>
              <w:t>issued and outstanding,</w:t>
            </w:r>
          </w:p>
        </w:tc>
        <w:tc>
          <w:tcPr>
            <w:tcW w:w="11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actual; 30,000,000 shares authorized, 26,004,610 shares issued and outstanding, pro</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80" w:type="dxa"/>
            <w:vAlign w:val="bottom"/>
            <w:gridSpan w:val="3"/>
            <w:shd w:val="clear" w:color="auto" w:fill="DBDBDB"/>
          </w:tcPr>
          <w:p>
            <w:pPr>
              <w:ind w:left="180"/>
              <w:spacing w:after="0" w:line="162" w:lineRule="exact"/>
              <w:rPr>
                <w:sz w:val="20"/>
                <w:szCs w:val="20"/>
                <w:color w:val="auto"/>
              </w:rPr>
            </w:pPr>
            <w:r>
              <w:rPr>
                <w:rFonts w:ascii="Arial" w:cs="Arial" w:eastAsia="Arial" w:hAnsi="Arial"/>
                <w:sz w:val="16"/>
                <w:szCs w:val="16"/>
                <w:color w:val="auto"/>
              </w:rPr>
              <w:t>forma; 30,000,000 shares authorized, 24,598,497 shares issued and outstanding, pro</w:t>
            </w:r>
          </w:p>
        </w:tc>
        <w:tc>
          <w:tcPr>
            <w:tcW w:w="11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forma as adjusted</w:t>
            </w:r>
          </w:p>
        </w:tc>
        <w:tc>
          <w:tcPr>
            <w:tcW w:w="19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26,465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544,964</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Accumulated deficit</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(124,251)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stockholders’ (deficit) equity</w:t>
            </w:r>
          </w:p>
        </w:tc>
        <w:tc>
          <w:tcPr>
            <w:tcW w:w="192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(97,785)</w:t>
            </w:r>
          </w:p>
        </w:tc>
        <w:tc>
          <w:tcPr>
            <w:tcW w:w="8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84,826</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420,716</w:t>
            </w:r>
          </w:p>
        </w:tc>
        <w:tc>
          <w:tcPr>
            <w:tcW w:w="0" w:type="dxa"/>
            <w:vAlign w:val="bottom"/>
          </w:tcPr>
          <w:p>
            <w:pPr>
              <w:spacing w:after="0"/>
              <w:rPr>
                <w:sz w:val="1"/>
                <w:szCs w:val="1"/>
                <w:color w:val="auto"/>
              </w:rPr>
            </w:pPr>
          </w:p>
        </w:tc>
      </w:tr>
      <w:tr>
        <w:trPr>
          <w:trHeight w:val="210"/>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capitalization</w:t>
            </w:r>
          </w:p>
        </w:tc>
        <w:tc>
          <w:tcPr>
            <w:tcW w:w="19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19,674</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84,826</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420,716</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100" w:hanging="332"/>
        <w:spacing w:after="0" w:line="249"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$1.00 increase or decrease in the assumed initial public offering price per share of $97.50, which is the midpoint of the price range set forth on the cover page of this prospectus, would increase or decrease each of cash and cash equivalents, additional paid-in capital, total stockholders’ (deficit) equity, and total capitalization on a pro forma as adjusted basis by approximately $3.5 million, assuming the number of shares offered, as set forth on the cover page of this prospectus,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line="245" w:lineRule="auto"/>
        <w:rPr>
          <w:sz w:val="20"/>
          <w:szCs w:val="20"/>
          <w:color w:val="auto"/>
        </w:rPr>
      </w:pPr>
      <w:r>
        <w:rPr>
          <w:rFonts w:ascii="Arial" w:cs="Arial" w:eastAsia="Arial" w:hAnsi="Arial"/>
          <w:sz w:val="14"/>
          <w:szCs w:val="14"/>
          <w:color w:val="auto"/>
        </w:rPr>
        <w:t>the same and after deducting underwriting discounts and commissions and estimated offering expenses payable by us. Similarly, each 1.0 million share increase or decrease in the number of shares offered by us in this offering would increase or decrease each of cash and cash equivalents, additional paid-in capital, total stockholders’ (deficit) equity, and total capitalization on a pro forma as adjusted basis by approximately $91.9 million, assuming that the initial public offering price per share remains at $97.50, which is the midpoint of the price range set forth on the cover page of this prospectus,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144" w:right="39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Class A common stock and the pro forma as adjusted net tangible book value per share of our Class A and Class B common stock immediately after this offering.</w:t>
      </w:r>
    </w:p>
    <w:p>
      <w:pPr>
        <w:spacing w:after="0" w:line="1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historical net tangible book value as of March 31, 2021 was $(108.2) million, or $(8.25) per share. Net tangible book value per share represents the amount of our total tangible assets less our total liabilities and convertible preferred stock, divided by the number of shares of our Class A and Class B common stock outstanding as of March 31, 2021.</w:t>
      </w:r>
    </w:p>
    <w:p>
      <w:pPr>
        <w:spacing w:after="0" w:line="14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pro forma net tangible book value as of March 31, 2021 was $74.4 million, or $2.31 per share. Pro forma net tangible book value per share represents the amount of our total tangible assets less our total liabilities, divided by the number of our shares of Class A and Class B common stock outstanding as of March 31, 2021, after giving effect to (1) the Transactions as if such Transactions had occurred on March 31, 2021 and (2) the filing and effectiveness of our amended and restated certificate of incorporation in Delaware, which will occur immediately prior to the completion of this offering.</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After giving effect to the sale and issuance by us of 3,700,000 shares of Class A common stock in this offering at an assumed initial public offering price per share of $97.50, which is the midpoint of the price range set forth on the cover page of this prospectus, and after deducting underwriting discounts and commissions and estimated offering expenses, our pro forma as adjusted net tangible book value as of March 31, 2021 would have been $410.3 million, or $11.43 per share. This amount represents an immediate increase in pro forma as adjusted net tangible book value of $9.12 per share to our existing stockholders and an immediate dilution in pro forma as adjusted net tangible book value of $86.07 per share to new investors purchasing Class A common stock in this offering.</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determine dilution by subtracting the pro forma as adjusted net tangible book value per share after this offering from the initial public offering price per share paid by new investors for a share of Class A common stock. The following table illustrates this dilution on a per share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600" w:type="dxa"/>
            <w:vAlign w:val="bottom"/>
            <w:shd w:val="clear" w:color="auto" w:fill="DBDBDB"/>
          </w:tcPr>
          <w:p>
            <w:pPr>
              <w:spacing w:after="0"/>
              <w:rPr>
                <w:sz w:val="19"/>
                <w:szCs w:val="19"/>
                <w:color w:val="auto"/>
              </w:rPr>
            </w:pPr>
          </w:p>
        </w:tc>
        <w:tc>
          <w:tcPr>
            <w:tcW w:w="1660" w:type="dxa"/>
            <w:vAlign w:val="bottom"/>
            <w:gridSpan w:val="3"/>
            <w:shd w:val="clear" w:color="auto" w:fill="DBDBDB"/>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97.50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6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March 31, 2021</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798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Increase in pro forma net tangible book value per share attributable to new investors purchasing</w:t>
            </w:r>
          </w:p>
        </w:tc>
        <w:tc>
          <w:tcPr>
            <w:tcW w:w="60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r>
      <w:tr>
        <w:trPr>
          <w:trHeight w:val="217"/>
        </w:trPr>
        <w:tc>
          <w:tcPr>
            <w:tcW w:w="79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shares of Class A common stock in this offering</w:t>
            </w:r>
          </w:p>
        </w:tc>
        <w:tc>
          <w:tcPr>
            <w:tcW w:w="60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600" w:type="dxa"/>
            <w:vAlign w:val="bottom"/>
            <w:tcBorders>
              <w:bottom w:val="single" w:sz="8" w:color="DBDBDB"/>
            </w:tcBorders>
          </w:tcPr>
          <w:p>
            <w:pPr>
              <w:spacing w:after="0"/>
              <w:rPr>
                <w:sz w:val="19"/>
                <w:szCs w:val="19"/>
                <w:color w:val="auto"/>
              </w:rPr>
            </w:pPr>
          </w:p>
        </w:tc>
        <w:tc>
          <w:tcPr>
            <w:tcW w:w="98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86.07</w:t>
            </w:r>
          </w:p>
        </w:tc>
      </w:tr>
    </w:tbl>
    <w:p>
      <w:pPr>
        <w:spacing w:after="0" w:line="2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dilution information discussed above is illustrative only and may change based on the actual initial public offering price and other terms of this offering. Each $1.00 increase or decrease in the assumed initial public offering price per share of $97.50, which is the midpoint of the price range set forth on the cover page of this prospectus, would increase or decrease, as applicable, our pro forma as adjusted net tangible book value per share after this offering by $0.10 per share and the dilution per share to new investors participating in this offering by $0.10 per share, assuming that the number of shares of Class A common stock offered by us, as set forth on the cover page of this prospectus, remains the same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after deducting underwriting discounts and commissions and estimated offering expenses payable by us. Similarly, a 1.0 million share increase in the number of shares of Class A common stock offered by us would increase the pro forma as adjusted net tangible book value after this offering by $2.18 per share and decrease the dilution per share to new investors participating in this offering by $2.18 per share, and a 1.0 million share decrease in the number of shares of Class A common stock offered by us would decrease the pro forma as adjusted net tangible book value by $2.30 per share, and increase the dilution per share to new investors in this offering by $2.30 per share, assuming that the assumed initial public offering price per share of $97.50, which is the midpoint of the price range set forth on the cover page of this prospectus, remains the same and after deducting underwriting discounts and commissions and estimated offering expenses payable by us.</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If the underwriters exercise in full their option to purchase additional shares of Class A common stock from us, the pro forma as adjusted net tangible book value per share after giving effect to this offering would be $13.11 per share, and the dilution to investors participating in this offering would be $84.39 per share.</w:t>
      </w:r>
    </w:p>
    <w:p>
      <w:pPr>
        <w:spacing w:after="0" w:line="14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summarizes on the pro forma as adjusted basis described above, the differences between the number of shares purchased from us, the total consideration paid and the average price per share paid to us by existing stockholders and by investors purchasing shares of Class A common stock in this offering at the assumed initial public offering price per share of $97.50, which is the midpoint of the price range set forth on the cover page on this prospectus, before deducting underwriting discounts and commissions and estimated offering expenses payable by us: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3360" w:type="dxa"/>
            <w:vAlign w:val="bottom"/>
            <w:gridSpan w:val="4"/>
          </w:tcPr>
          <w:p>
            <w:pPr>
              <w:ind w:left="1000"/>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6"/>
                <w:szCs w:val="16"/>
                <w:color w:val="auto"/>
              </w:rPr>
            </w:pPr>
          </w:p>
        </w:tc>
        <w:tc>
          <w:tcPr>
            <w:tcW w:w="3020" w:type="dxa"/>
            <w:vAlign w:val="bottom"/>
            <w:gridSpan w:val="3"/>
          </w:tcPr>
          <w:p>
            <w:pPr>
              <w:jc w:val="right"/>
              <w:ind w:right="895"/>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85"/>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vMerge w:val="restart"/>
          </w:tcPr>
          <w:p>
            <w:pPr>
              <w:jc w:val="center"/>
              <w:ind w:right="185"/>
              <w:spacing w:after="0" w:line="95" w:lineRule="exact"/>
              <w:rPr>
                <w:sz w:val="20"/>
                <w:szCs w:val="20"/>
                <w:color w:val="auto"/>
              </w:rPr>
            </w:pPr>
            <w:r>
              <w:rPr>
                <w:rFonts w:ascii="Arial" w:cs="Arial" w:eastAsia="Arial" w:hAnsi="Arial"/>
                <w:sz w:val="10"/>
                <w:szCs w:val="10"/>
                <w:b w:val="1"/>
                <w:bCs w:val="1"/>
                <w:color w:val="auto"/>
              </w:rPr>
              <w:t>Average</w:t>
            </w: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60" w:type="dxa"/>
            <w:vAlign w:val="bottom"/>
          </w:tcPr>
          <w:p>
            <w:pPr>
              <w:spacing w:after="0"/>
              <w:rPr>
                <w:sz w:val="11"/>
                <w:szCs w:val="11"/>
                <w:color w:val="auto"/>
              </w:rPr>
            </w:pPr>
          </w:p>
        </w:tc>
        <w:tc>
          <w:tcPr>
            <w:tcW w:w="15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1"/>
                <w:szCs w:val="11"/>
                <w:color w:val="auto"/>
              </w:rPr>
            </w:pPr>
          </w:p>
        </w:tc>
        <w:tc>
          <w:tcPr>
            <w:tcW w:w="164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6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205"/>
              <w:spacing w:after="0" w:line="135"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6"/>
        </w:trPr>
        <w:tc>
          <w:tcPr>
            <w:tcW w:w="2960" w:type="dxa"/>
            <w:vAlign w:val="bottom"/>
            <w:tcBorders>
              <w:bottom w:val="single" w:sz="8" w:color="DBDBDB"/>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2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Existing stockholders</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32,192,152</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89.7 %</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191,515,231</w:t>
            </w:r>
          </w:p>
        </w:tc>
        <w:tc>
          <w:tcPr>
            <w:tcW w:w="100" w:type="dxa"/>
            <w:vAlign w:val="bottom"/>
            <w:shd w:val="clear" w:color="auto" w:fill="DBDBDB"/>
          </w:tcPr>
          <w:p>
            <w:pPr>
              <w:spacing w:after="0"/>
              <w:rPr>
                <w:sz w:val="19"/>
                <w:szCs w:val="19"/>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34.7 %</w:t>
            </w:r>
          </w:p>
        </w:tc>
        <w:tc>
          <w:tcPr>
            <w:tcW w:w="3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ind w:right="5"/>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New investors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3,700,000</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360,750,000</w:t>
            </w:r>
          </w:p>
        </w:tc>
        <w:tc>
          <w:tcPr>
            <w:tcW w:w="100" w:type="dxa"/>
            <w:vAlign w:val="bottom"/>
            <w:tcBorders>
              <w:bottom w:val="single" w:sz="8" w:color="DBDBDB"/>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65.3 %</w:t>
            </w:r>
          </w:p>
        </w:tc>
        <w:tc>
          <w:tcPr>
            <w:tcW w:w="360" w:type="dxa"/>
            <w:vAlign w:val="bottom"/>
            <w:tcBorders>
              <w:bottom w:val="single" w:sz="8" w:color="DBDBDB"/>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tcPr>
          <w:p>
            <w:pPr>
              <w:jc w:val="right"/>
              <w:ind w:right="5"/>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35,892,152</w:t>
            </w:r>
          </w:p>
        </w:tc>
        <w:tc>
          <w:tcPr>
            <w:tcW w:w="10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552,265,231</w:t>
            </w:r>
          </w:p>
        </w:tc>
        <w:tc>
          <w:tcPr>
            <w:tcW w:w="100" w:type="dxa"/>
            <w:vAlign w:val="bottom"/>
            <w:tcBorders>
              <w:bottom w:val="single" w:sz="8" w:color="DBDBDB"/>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A $1.00 increase or decrease in the assumed initial public offering price per share of $97.50, which is the midpoint of the price range set forth on the cover page of this prospectus, would increase or decrease, as applicable, the total consideration paid by new investors by $3.7 million and, in the case of an increase, would increase the percentage of total consideration paid by new investors to 65.6% and, in the case of a decrease, would decrease the percentage of total consideration paid by new investors to 65.1%, assuming that the number of shares offered by us, as set forth on the cover page of this prospectus, remains the same. Similarly, a 1.0 million share increase or decrease in the number of shares offered by us would increase or decrease, as applicable, the total consideration paid by new investors by $97.5 million and, in the case of an increase, would increase the percentage of total consideration paid by new investors to 70.5% and, in the case of a decrease, would decrease the percentage of total consideration paid by new investors to 57.9%, assuming that the assumed initial public offering price per share of $97.50, which is the midpoint of the price range set forth on the cover page of this prospectus, remains the same.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the underwriters exercise their option to purchase additional shares of Class A common stock in full, our existing stockholders would</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own 87.8% and our new investors would own 12.2% of the total number of shares of our common stock outstanding upon the completion of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shares of the Class A common stock by the selling stockholders in this offering.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there will be no dilutive impact as a result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tables set forth our selected consolidated financial and other data. The selected consolidated statements of operations data for the years ended December 31, 2019 and 2020 and the selected consolidated balance sheet data as of December 31, 2019 and 2020 have been derived from our audited consolidated financial statements included elsewhere in this prospectus. The selected consolidated statements of operations data for the three months ended March 31, 2020 and 2021 and the selected consolidated balance sheet data as of March 31, 2021 have been derived from our unaudited interim consolidated financial statements included elsewhere in this prospectus. In our opinion, the unaudited interim consolidated financial statements have been prepared on a basis consistent with our audited consolidated financial statements and contain all adjustments, consisting only of normal and recurring adjustments, necessary for a fair presentation of such interim financial statements. Our historical results are not necessarily indicative of the results that may be expected in the future and our interim results are not necessarily indicative of the results that may be expected for the full fiscal year or any other future period. You should read the following selected consolidated financial and other data in conjunction with the section titled “Management’s Discussion and Analysis of Financial Condition and Results of Operations” and our consolidated financial statements included elsewhere in this prospectus. The selected consolidated financial and other data in this section are not intended to replace, and are qualified in their entirety by, the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 (1)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(1)</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Sales and marketing (1) (2)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19,773</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(1) (3)</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Impairment of 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22,353</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Basic and diluted net loss per share (4)</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net loss per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share attributable to common stockholders, basic and</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12,735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diluted (4)</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DBDBDB"/>
          </w:tcPr>
          <w:p>
            <w:pPr>
              <w:ind w:left="20"/>
              <w:spacing w:after="0" w:line="155" w:lineRule="exact"/>
              <w:rPr>
                <w:sz w:val="20"/>
                <w:szCs w:val="20"/>
                <w:color w:val="auto"/>
              </w:rPr>
            </w:pPr>
            <w:r>
              <w:rPr>
                <w:rFonts w:ascii="Arial" w:cs="Arial" w:eastAsia="Arial" w:hAnsi="Arial"/>
                <w:sz w:val="17"/>
                <w:szCs w:val="17"/>
                <w:color w:val="auto"/>
              </w:rPr>
              <w:t>Pro forma net loss per share attributable to common</w:t>
            </w:r>
          </w:p>
        </w:tc>
        <w:tc>
          <w:tcPr>
            <w:tcW w:w="3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BDBDB"/>
            </w:tcBorders>
            <w:shd w:val="clear" w:color="auto" w:fill="DBDBDB"/>
          </w:tcPr>
          <w:p>
            <w:pPr>
              <w:ind w:left="180"/>
              <w:spacing w:after="0" w:line="190" w:lineRule="exact"/>
              <w:rPr>
                <w:sz w:val="20"/>
                <w:szCs w:val="20"/>
                <w:color w:val="auto"/>
              </w:rPr>
            </w:pPr>
            <w:r>
              <w:rPr>
                <w:rFonts w:ascii="Arial" w:cs="Arial" w:eastAsia="Arial" w:hAnsi="Arial"/>
                <w:sz w:val="18"/>
                <w:szCs w:val="18"/>
                <w:color w:val="auto"/>
              </w:rPr>
              <w:t>stockholders—basic and diluted (unaudited)(5)</w:t>
            </w:r>
          </w:p>
        </w:tc>
        <w:tc>
          <w:tcPr>
            <w:tcW w:w="36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vMerge w:val="continue"/>
            <w:shd w:val="clear" w:color="auto" w:fill="DBDBDB"/>
          </w:tcPr>
          <w:p>
            <w:pPr>
              <w:spacing w:after="0"/>
              <w:rPr>
                <w:sz w:val="18"/>
                <w:szCs w:val="18"/>
                <w:color w:val="auto"/>
              </w:rPr>
            </w:pP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auto"/>
            </w:tcBorders>
            <w:vMerge w:val="continue"/>
            <w:shd w:val="clear" w:color="auto" w:fill="DBDBDB"/>
          </w:tcPr>
          <w:p>
            <w:pPr>
              <w:spacing w:after="0"/>
              <w:rPr>
                <w:sz w:val="18"/>
                <w:szCs w:val="18"/>
                <w:color w:val="auto"/>
              </w:rPr>
            </w:pPr>
          </w:p>
        </w:tc>
        <w:tc>
          <w:tcPr>
            <w:tcW w:w="120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bottom w:val="single" w:sz="8" w:color="DBDBDB"/>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shares used in computing pro forma</w:t>
            </w:r>
          </w:p>
        </w:tc>
        <w:tc>
          <w:tcPr>
            <w:tcW w:w="36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31,992</w:t>
            </w:r>
          </w:p>
        </w:tc>
        <w:tc>
          <w:tcPr>
            <w:tcW w:w="0" w:type="dxa"/>
            <w:vAlign w:val="bottom"/>
          </w:tcPr>
          <w:p>
            <w:pPr>
              <w:spacing w:after="0"/>
              <w:rPr>
                <w:sz w:val="1"/>
                <w:szCs w:val="1"/>
                <w:color w:val="auto"/>
              </w:rPr>
            </w:pPr>
          </w:p>
        </w:tc>
      </w:tr>
      <w:tr>
        <w:trPr>
          <w:trHeight w:val="190"/>
        </w:trPr>
        <w:tc>
          <w:tcPr>
            <w:tcW w:w="4700" w:type="dxa"/>
            <w:vAlign w:val="bottom"/>
          </w:tcPr>
          <w:p>
            <w:pPr>
              <w:ind w:left="180"/>
              <w:spacing w:after="0" w:line="190" w:lineRule="exact"/>
              <w:rPr>
                <w:sz w:val="20"/>
                <w:szCs w:val="20"/>
                <w:color w:val="auto"/>
              </w:rPr>
            </w:pPr>
            <w:r>
              <w:rPr>
                <w:rFonts w:ascii="Arial" w:cs="Arial" w:eastAsia="Arial" w:hAnsi="Arial"/>
                <w:sz w:val="18"/>
                <w:szCs w:val="18"/>
                <w:color w:val="auto"/>
              </w:rPr>
              <w:t>—basic and diluted (unaudited)(5)</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stock-based compensation expenses as follows:</w:t>
      </w:r>
    </w:p>
    <w:p>
      <w:pPr>
        <w:spacing w:after="0" w:line="24"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412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4120" w:type="dxa"/>
            <w:vAlign w:val="bottom"/>
            <w:tcBorders>
              <w:bottom w:val="single" w:sz="8" w:color="DBDBDB"/>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1,552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9"/>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shd w:val="clear" w:color="auto" w:fill="DBDBDB"/>
          </w:tcPr>
          <w:p>
            <w:pPr>
              <w:spacing w:after="0"/>
              <w:rPr>
                <w:sz w:val="16"/>
                <w:szCs w:val="16"/>
                <w:color w:val="auto"/>
              </w:rPr>
            </w:pPr>
          </w:p>
        </w:tc>
        <w:tc>
          <w:tcPr>
            <w:tcW w:w="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341</w:t>
            </w:r>
          </w:p>
        </w:tc>
        <w:tc>
          <w:tcPr>
            <w:tcW w:w="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1,826</w:t>
            </w:r>
          </w:p>
        </w:tc>
        <w:tc>
          <w:tcPr>
            <w:tcW w:w="80" w:type="dxa"/>
            <w:vAlign w:val="bottom"/>
            <w:tcBorders>
              <w:bottom w:val="single" w:sz="8" w:color="DBDBDB"/>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0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shd w:val="clear" w:color="auto" w:fill="DBDBDB"/>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3,725</w:t>
            </w:r>
          </w:p>
        </w:tc>
        <w:tc>
          <w:tcPr>
            <w:tcW w:w="8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40"/>
        <w:spacing w:after="0" w:line="244"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 In addition, subsequent to March 31, 2021, we granted (1) options to purchase 71.7 thousand shares of common stock at an exercise price of $52.80 per share and 552.8 thousand RSUs to employees, which have aggregate estimated unrecognized compensation expense of approximately $1.8 million and $29.2 million, respectively, that is expected to be recognized over a period of four years, and (2) 1.8 million performance-based RSUs to our Founders, which have aggregate estimated unrecognized compensation expense of approximately $100.5 million that is expected to be recognized over a period of one to seven years, depending on the achievement of performance-based vesting conditions. See “Executive Compensation—Narrative to Summary Compensation Table—Fiscal 2021 Equity-Based Compensation” for additional information regarding these awards to our Founders.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gridSpan w:val="2"/>
          </w:tcPr>
          <w:p>
            <w:pPr>
              <w:spacing w:after="0"/>
              <w:rPr>
                <w:sz w:val="20"/>
                <w:szCs w:val="20"/>
                <w:color w:val="auto"/>
              </w:rPr>
            </w:pPr>
            <w:r>
              <w:rPr>
                <w:rFonts w:ascii="Arial" w:cs="Arial" w:eastAsia="Arial" w:hAnsi="Arial"/>
                <w:sz w:val="14"/>
                <w:szCs w:val="14"/>
                <w:color w:val="auto"/>
              </w:rPr>
              <w:t>(2)  Includes amortization of capitalized software as follows: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340" w:type="dxa"/>
            <w:vAlign w:val="bottom"/>
          </w:tcPr>
          <w:p>
            <w:pPr>
              <w:spacing w:after="0"/>
              <w:rPr>
                <w:sz w:val="13"/>
                <w:szCs w:val="13"/>
                <w:color w:val="auto"/>
              </w:rPr>
            </w:pPr>
          </w:p>
        </w:tc>
        <w:tc>
          <w:tcPr>
            <w:tcW w:w="412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4120" w:type="dxa"/>
            <w:vAlign w:val="bottom"/>
            <w:tcBorders>
              <w:bottom w:val="single" w:sz="8" w:color="DBDBDB"/>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8"/>
        </w:trPr>
        <w:tc>
          <w:tcPr>
            <w:tcW w:w="340" w:type="dxa"/>
            <w:vAlign w:val="bottom"/>
          </w:tcPr>
          <w:p>
            <w:pPr>
              <w:spacing w:after="0"/>
              <w:rPr>
                <w:sz w:val="17"/>
                <w:szCs w:val="17"/>
                <w:color w:val="auto"/>
              </w:rPr>
            </w:pPr>
          </w:p>
        </w:tc>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76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Depreciation of property and equipment is predominately included within General and administrative, with nominal amounts in Cost of revenues, Research and development and Sales and marketing in the Company’s consolidated statement of operations.</w:t>
      </w:r>
    </w:p>
    <w:p>
      <w:pPr>
        <w:spacing w:after="0" w:line="139"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13 to our audited consolidated financial statements and Note 12 to our unaudited interim condensed consolidated financial statements included elsewhere in this prospectus for an explanation of the method used to calculate our basic and diluted net loss per share attributable to common stockholders.</w:t>
      </w:r>
    </w:p>
    <w:p>
      <w:pPr>
        <w:spacing w:after="0" w:line="139" w:lineRule="exact"/>
        <w:rPr>
          <w:rFonts w:ascii="Arial" w:cs="Arial" w:eastAsia="Arial" w:hAnsi="Arial"/>
          <w:sz w:val="14"/>
          <w:szCs w:val="14"/>
          <w:color w:val="auto"/>
        </w:rPr>
      </w:pPr>
    </w:p>
    <w:p>
      <w:pPr>
        <w:jc w:val="both"/>
        <w:ind w:left="340" w:hanging="332"/>
        <w:spacing w:after="0" w:line="249"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have presented the unaudited pro forma basic and diluted net loss per share which has been computed to give effect to the conversion of our stock-based awards and convertible preferred stock into common stock (using the if-converted method) as though the conversion had occurred as of the beginning of the period. The unaudited pro forma net loss per share does not include shares being offered in this offering.</w:t>
      </w:r>
    </w:p>
    <w:p>
      <w:pPr>
        <w:spacing w:after="0" w:line="14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following table sets forth the computation of our unaudited pro forma basic and diluted net loss per share:</w:t>
      </w: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69"/>
        </w:trPr>
        <w:tc>
          <w:tcPr>
            <w:tcW w:w="7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120" w:type="dxa"/>
            <w:vAlign w:val="bottom"/>
            <w:tcBorders>
              <w:top w:val="single" w:sz="8" w:color="auto"/>
            </w:tcBorders>
            <w:shd w:val="clear" w:color="auto" w:fill="DBDBDB"/>
          </w:tcPr>
          <w:p>
            <w:pPr>
              <w:spacing w:after="0"/>
              <w:rPr>
                <w:sz w:val="14"/>
                <w:szCs w:val="14"/>
                <w:color w:val="auto"/>
              </w:rPr>
            </w:pPr>
          </w:p>
        </w:tc>
        <w:tc>
          <w:tcPr>
            <w:tcW w:w="142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8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(15,776)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89"/>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for RSU compensation expense(a)</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 forma adjustment for executive stock option compensation expense(b)</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83"/>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net loss</w:t>
            </w:r>
          </w:p>
        </w:tc>
        <w:tc>
          <w:tcPr>
            <w:tcW w:w="120" w:type="dxa"/>
            <w:vAlign w:val="bottom"/>
            <w:shd w:val="clear" w:color="auto" w:fill="DBDBDB"/>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(21,607)</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(19,345)</w:t>
            </w: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32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Weighted-average shares used in computing net loss per share attributable to common stockholders, basic and</w:t>
            </w:r>
          </w:p>
        </w:tc>
        <w:tc>
          <w:tcPr>
            <w:tcW w:w="120" w:type="dxa"/>
            <w:vAlign w:val="bottom"/>
            <w:shd w:val="clear" w:color="auto" w:fill="DBDBDB"/>
          </w:tcPr>
          <w:p>
            <w:pPr>
              <w:spacing w:after="0"/>
              <w:rPr>
                <w:sz w:val="13"/>
                <w:szCs w:val="13"/>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12,735</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3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12,916</w:t>
            </w:r>
          </w:p>
        </w:tc>
        <w:tc>
          <w:tcPr>
            <w:tcW w:w="0" w:type="dxa"/>
            <w:vAlign w:val="bottom"/>
          </w:tcPr>
          <w:p>
            <w:pPr>
              <w:spacing w:after="0"/>
              <w:rPr>
                <w:sz w:val="1"/>
                <w:szCs w:val="1"/>
                <w:color w:val="auto"/>
              </w:rPr>
            </w:pPr>
          </w:p>
        </w:tc>
      </w:tr>
      <w:tr>
        <w:trPr>
          <w:trHeight w:val="171"/>
        </w:trPr>
        <w:tc>
          <w:tcPr>
            <w:tcW w:w="7320" w:type="dxa"/>
            <w:vAlign w:val="bottom"/>
            <w:shd w:val="clear" w:color="auto" w:fill="DBDBDB"/>
          </w:tcPr>
          <w:p>
            <w:pPr>
              <w:ind w:left="3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DBDBDB"/>
          </w:tcPr>
          <w:p>
            <w:pPr>
              <w:spacing w:after="0"/>
              <w:rPr>
                <w:sz w:val="14"/>
                <w:szCs w:val="14"/>
                <w:color w:val="auto"/>
              </w:rPr>
            </w:pPr>
          </w:p>
        </w:tc>
        <w:tc>
          <w:tcPr>
            <w:tcW w:w="14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6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0"/>
              <w:spacing w:after="0"/>
              <w:rPr>
                <w:sz w:val="20"/>
                <w:szCs w:val="20"/>
                <w:color w:val="auto"/>
              </w:rPr>
            </w:pPr>
            <w:r>
              <w:rPr>
                <w:rFonts w:ascii="Arial" w:cs="Arial" w:eastAsia="Arial" w:hAnsi="Arial"/>
                <w:sz w:val="14"/>
                <w:szCs w:val="14"/>
                <w:color w:val="auto"/>
              </w:rPr>
              <w:t>Pro forma adjustment to reflect assumed vesting and settlement of RSUs(c)</w:t>
            </w:r>
          </w:p>
        </w:tc>
        <w:tc>
          <w:tcPr>
            <w:tcW w:w="12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adjustment to reflect assumed conversion of convertible preferred stock</w:t>
            </w: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19,074</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183"/>
        </w:trPr>
        <w:tc>
          <w:tcPr>
            <w:tcW w:w="7320" w:type="dxa"/>
            <w:vAlign w:val="bottom"/>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 basic and diluted</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31,992</w:t>
            </w:r>
          </w:p>
        </w:tc>
        <w:tc>
          <w:tcPr>
            <w:tcW w:w="0" w:type="dxa"/>
            <w:vAlign w:val="bottom"/>
          </w:tcPr>
          <w:p>
            <w:pPr>
              <w:spacing w:after="0"/>
              <w:rPr>
                <w:sz w:val="1"/>
                <w:szCs w:val="1"/>
                <w:color w:val="auto"/>
              </w:rPr>
            </w:pPr>
          </w:p>
        </w:tc>
      </w:tr>
      <w:tr>
        <w:trPr>
          <w:trHeight w:val="20"/>
        </w:trPr>
        <w:tc>
          <w:tcPr>
            <w:tcW w:w="7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Pro forma net loss per share, basic and diluted</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120" w:hanging="328"/>
        <w:spacing w:after="0" w:line="258" w:lineRule="auto"/>
        <w:tabs>
          <w:tab w:leader="none" w:pos="6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stock-based compensation expenses related to RSUs subject to both a service-based vesting condition and a performance-based vesting condition, where the performance-based vesting condition will be satisfied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320" w:top="144" w:right="41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300"/>
        <w:spacing w:after="0" w:line="258" w:lineRule="auto"/>
        <w:rPr>
          <w:sz w:val="20"/>
          <w:szCs w:val="20"/>
          <w:color w:val="auto"/>
        </w:rPr>
      </w:pPr>
      <w:r>
        <w:rPr>
          <w:rFonts w:ascii="Arial" w:cs="Arial" w:eastAsia="Arial" w:hAnsi="Arial"/>
          <w:sz w:val="14"/>
          <w:szCs w:val="14"/>
          <w:color w:val="auto"/>
        </w:rPr>
        <w:t>this offering. There was $1.2 million and $1.4 million of unrecognized expense as of December 31, 2020 and March 31, 2021, respectively, remaining after the pro forma RSU compensation expense.</w:t>
      </w:r>
    </w:p>
    <w:p>
      <w:pPr>
        <w:spacing w:after="0" w:line="140" w:lineRule="exact"/>
        <w:rPr>
          <w:sz w:val="20"/>
          <w:szCs w:val="20"/>
          <w:color w:val="auto"/>
        </w:rPr>
      </w:pPr>
    </w:p>
    <w:p>
      <w:pPr>
        <w:ind w:left="660" w:right="180" w:hanging="328"/>
        <w:spacing w:after="0" w:line="249" w:lineRule="auto"/>
        <w:tabs>
          <w:tab w:leader="none" w:pos="647"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compensation expense for options granted to our executive officers whereby the vesting accelerates in connection with this offering. There was $2.9 million and $2.5 million of unrecognized expense remaining as of December 31, 2020 and March 31, 2021, respectively, after giving effect to the pro forma stock-based compensation expense.</w:t>
      </w:r>
    </w:p>
    <w:p>
      <w:pPr>
        <w:spacing w:after="0" w:line="146" w:lineRule="exact"/>
        <w:rPr>
          <w:rFonts w:ascii="Arial" w:cs="Arial" w:eastAsia="Arial" w:hAnsi="Arial"/>
          <w:sz w:val="14"/>
          <w:szCs w:val="14"/>
          <w:color w:val="auto"/>
        </w:rPr>
      </w:pPr>
    </w:p>
    <w:p>
      <w:pPr>
        <w:ind w:left="660" w:right="180" w:hanging="328"/>
        <w:spacing w:after="0" w:line="258" w:lineRule="auto"/>
        <w:tabs>
          <w:tab w:leader="none" w:pos="652"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Reflects RSUs that have vested as of December 31, 2020 and March 31, 2021 for which the service-based vesting condition had been satisfied as of December 31, 2020 and March 31, 2021, respectively, and for which the performance-based vesting condition will be satisfied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 of March 31,</w:t>
            </w:r>
          </w:p>
        </w:tc>
      </w:tr>
      <w:tr>
        <w:trPr>
          <w:trHeight w:val="18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DBDBDB"/>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ind w:left="580"/>
              <w:spacing w:after="0"/>
              <w:rPr>
                <w:sz w:val="20"/>
                <w:szCs w:val="20"/>
                <w:color w:val="auto"/>
              </w:rPr>
            </w:pPr>
            <w:r>
              <w:rPr>
                <w:rFonts w:ascii="Arial" w:cs="Arial" w:eastAsia="Arial" w:hAnsi="Arial"/>
                <w:sz w:val="18"/>
                <w:szCs w:val="18"/>
                <w:color w:val="auto"/>
              </w:rPr>
              <w:t>59,843</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46,816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74,916</w:t>
            </w: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ind w:left="580"/>
              <w:spacing w:after="0"/>
              <w:rPr>
                <w:sz w:val="20"/>
                <w:szCs w:val="20"/>
                <w:color w:val="auto"/>
              </w:rPr>
            </w:pPr>
            <w:r>
              <w:rPr>
                <w:rFonts w:ascii="Arial" w:cs="Arial" w:eastAsia="Arial" w:hAnsi="Arial"/>
                <w:sz w:val="18"/>
                <w:szCs w:val="18"/>
                <w:color w:val="auto"/>
              </w:rPr>
              <w:t>95,059</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176,874</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Total deferred revenues</w:t>
            </w:r>
          </w:p>
        </w:tc>
        <w:tc>
          <w:tcPr>
            <w:tcW w:w="360" w:type="dxa"/>
            <w:vAlign w:val="bottom"/>
          </w:tcPr>
          <w:p>
            <w:pPr>
              <w:spacing w:after="0"/>
              <w:rPr>
                <w:sz w:val="19"/>
                <w:szCs w:val="19"/>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26,307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65,262</w:t>
            </w:r>
          </w:p>
        </w:tc>
      </w:tr>
      <w:tr>
        <w:trPr>
          <w:trHeight w:val="230"/>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deficit</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ind w:left="520"/>
              <w:spacing w:after="0"/>
              <w:rPr>
                <w:sz w:val="20"/>
                <w:szCs w:val="20"/>
                <w:color w:val="auto"/>
              </w:rPr>
            </w:pPr>
            <w:r>
              <w:rPr>
                <w:rFonts w:ascii="Arial" w:cs="Arial" w:eastAsia="Arial" w:hAnsi="Arial"/>
                <w:sz w:val="18"/>
                <w:szCs w:val="18"/>
                <w:color w:val="auto"/>
              </w:rPr>
              <w:t>(83,976)</w:t>
            </w: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(97,785)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measures prepared in accordance with GAAP. Other companies, including companies in our industry, may calculate these measures differently or not at all, which reduces their usefulness as comparative measures. A reconciliation of the non-GAAP financial measures, Adjusted EBITDA and free cash flow to the most directly comparable financial measure calculated in accordance with GAAP is set forth below under “—Non-GAAP Financial Measures.”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millions, except dollar amounts in thousands)</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47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DBDBDB"/>
            </w:tcBorders>
            <w:shd w:val="clear" w:color="auto" w:fill="DBDBDB"/>
          </w:tcPr>
          <w:p>
            <w:pPr>
              <w:spacing w:after="0"/>
              <w:rPr>
                <w:sz w:val="20"/>
                <w:szCs w:val="20"/>
                <w:color w:val="auto"/>
              </w:rPr>
            </w:pPr>
          </w:p>
        </w:tc>
        <w:tc>
          <w:tcPr>
            <w:tcW w:w="124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DBDBDB"/>
            </w:tcBorders>
            <w:shd w:val="clear" w:color="auto" w:fill="DBDBDB"/>
          </w:tcPr>
          <w:p>
            <w:pPr>
              <w:spacing w:after="0"/>
              <w:rPr>
                <w:sz w:val="20"/>
                <w:szCs w:val="20"/>
                <w:color w:val="auto"/>
              </w:rPr>
            </w:pPr>
          </w:p>
        </w:tc>
        <w:tc>
          <w:tcPr>
            <w:tcW w:w="1200" w:type="dxa"/>
            <w:vAlign w:val="bottom"/>
            <w:tcBorders>
              <w:bottom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Monthly active users (MAUs)(1)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(DAUs)(2)</w:t>
            </w: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Paid subscribers(3)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bookings(4)</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c>
          <w:tcPr>
            <w:tcW w:w="0" w:type="dxa"/>
            <w:vAlign w:val="bottom"/>
          </w:tcPr>
          <w:p>
            <w:pPr>
              <w:spacing w:after="0"/>
              <w:rPr>
                <w:sz w:val="1"/>
                <w:szCs w:val="1"/>
                <w:color w:val="auto"/>
              </w:rPr>
            </w:pP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color w:val="auto"/>
              </w:rPr>
              <w:t>Total bookings(5)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65,830</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EBITDA(6)</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378"/>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7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flow(6)</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DBDBDB"/>
          </w:tcPr>
          <w:p>
            <w:pPr>
              <w:spacing w:after="0"/>
              <w:rPr>
                <w:sz w:val="23"/>
                <w:szCs w:val="23"/>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80" w:hanging="332"/>
        <w:spacing w:after="0" w:line="249"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MAUs are defined as unique Duolingo users who engage with our mobile language learning application or 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146"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DAUs are defined as unique Duolingo users who engage with our mobile language learning application or the language learning section of our website each calendar day. DAUs are reported for a measurement period by taking the average of the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44" w:right="3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DAUs for each day in that measurement period. DAUs are a measure of the consistent engagement of our global user community on Duolingo.</w:t>
      </w:r>
    </w:p>
    <w:p>
      <w:pPr>
        <w:spacing w:after="0" w:line="163" w:lineRule="exact"/>
        <w:rPr>
          <w:sz w:val="20"/>
          <w:szCs w:val="20"/>
          <w:color w:val="auto"/>
        </w:rPr>
      </w:pPr>
    </w:p>
    <w:p>
      <w:pPr>
        <w:ind w:left="340" w:right="140" w:hanging="332"/>
        <w:spacing w:after="0" w:line="249"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Paid subscribers are defined as users who pay for access to Duolingo Plus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146"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Subscription bookings represent the amounts we receive from a purchase of a subscription to Duolingo Plus.</w:t>
      </w:r>
    </w:p>
    <w:p>
      <w:pPr>
        <w:spacing w:after="0" w:line="163" w:lineRule="exact"/>
        <w:rPr>
          <w:rFonts w:ascii="Arial" w:cs="Arial" w:eastAsia="Arial" w:hAnsi="Arial"/>
          <w:sz w:val="14"/>
          <w:szCs w:val="14"/>
          <w:color w:val="auto"/>
        </w:rPr>
      </w:pPr>
    </w:p>
    <w:p>
      <w:pPr>
        <w:ind w:left="340" w:right="240" w:hanging="332"/>
        <w:spacing w:after="0" w:line="258" w:lineRule="auto"/>
        <w:tabs>
          <w:tab w:leader="none" w:pos="32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Total bookings represent the amounts we receive from a purchase of a subscription to Duolingo Plus, a registration for a Duolingo English Test, an in-app purchase for a virtual good and from advertising networks for advertisements served to our users.</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See “—Non-GAAP Financial Measures” below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use certain non-GAAP financial measures to supplement our consolidated financial statements, which are presented in accordance with GAAP. These non-GAAP financial measures include Adjusted EBITDA and free cash flow. We use these non-GAAP financial measures for financial and operational decision-making and as a means to evaluate period-to-period comparisons. By excluding certain items that may not be indicative of our recurring core operating results, we believe that Adjusted EBITDA and free cash flow provide meaningful supplemental info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financials measures differently or not at all, which reduces their usefulness as comparative measures.</w:t>
      </w:r>
    </w:p>
    <w:p>
      <w:pPr>
        <w:spacing w:after="0" w:line="13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defined as net loss excluding interest (income) expense, net, income tax provision,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IPO and public company readiness costs, stock-based compensation expense, tender offer-related costs, other expenses, and the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The following table presents a reconciliation of our net loss, the most directly comparable financial measure presented in accordance with GAAP,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47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IPO and public company readiness costs(1)</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Tender offer-related costs(2)</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expenses(3)</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Impairment of capitalized software(4)</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580" w:hanging="332"/>
        <w:spacing w:after="0" w:line="258"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139" w:lineRule="exact"/>
        <w:rPr>
          <w:rFonts w:ascii="Arial" w:cs="Arial" w:eastAsia="Arial" w:hAnsi="Arial"/>
          <w:sz w:val="14"/>
          <w:szCs w:val="14"/>
          <w:color w:val="auto"/>
        </w:rPr>
      </w:pPr>
    </w:p>
    <w:p>
      <w:pPr>
        <w:ind w:left="340" w:right="440" w:hanging="332"/>
        <w:spacing w:after="0" w:line="260"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costs related to our tender offer initiated in February 2021 (see Note 14 to our audited consolidated financial statements and Note 9 to our unaudited interim condensed consolidated financial statements included elsewhere in this prospectus), including fees incurred, as follows</w:t>
      </w:r>
      <w:r>
        <w:rPr>
          <w:rFonts w:ascii="Arial" w:cs="Arial" w:eastAsia="Arial" w:hAnsi="Arial"/>
          <w:sz w:val="17"/>
          <w:szCs w:val="17"/>
          <w:color w:val="auto"/>
        </w:rPr>
        <w:t>:</w:t>
      </w:r>
    </w:p>
    <w:p>
      <w:pPr>
        <w:spacing w:after="0" w:line="30"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520" w:type="dxa"/>
            <w:vAlign w:val="bottom"/>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of revenues</w:t>
            </w: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Research and</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General and</w:t>
            </w:r>
          </w:p>
        </w:tc>
        <w:tc>
          <w:tcPr>
            <w:tcW w:w="340" w:type="dxa"/>
            <w:vAlign w:val="bottom"/>
          </w:tcPr>
          <w:p>
            <w:pPr>
              <w:spacing w:after="0"/>
              <w:rPr>
                <w:sz w:val="16"/>
                <w:szCs w:val="16"/>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development</w:t>
            </w:r>
          </w:p>
        </w:tc>
        <w:tc>
          <w:tcPr>
            <w:tcW w:w="16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administrative</w:t>
            </w:r>
          </w:p>
        </w:tc>
        <w:tc>
          <w:tcPr>
            <w:tcW w:w="3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Tender offer</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tcBorders>
            <w:shd w:val="clear" w:color="auto" w:fill="DBDBDB"/>
          </w:tcPr>
          <w:p>
            <w:pPr>
              <w:spacing w:after="0"/>
              <w:rPr>
                <w:sz w:val="15"/>
                <w:szCs w:val="15"/>
                <w:color w:val="auto"/>
              </w:rPr>
            </w:pPr>
          </w:p>
        </w:tc>
        <w:tc>
          <w:tcPr>
            <w:tcW w:w="660" w:type="dxa"/>
            <w:vAlign w:val="bottom"/>
            <w:tcBorders>
              <w:top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top w:val="single" w:sz="8" w:color="DBDBDB"/>
            </w:tcBorders>
            <w:shd w:val="clear" w:color="auto" w:fill="DBDBDB"/>
          </w:tcPr>
          <w:p>
            <w:pPr>
              <w:spacing w:after="0"/>
              <w:rPr>
                <w:sz w:val="15"/>
                <w:szCs w:val="15"/>
                <w:color w:val="auto"/>
              </w:rPr>
            </w:pPr>
          </w:p>
        </w:tc>
        <w:tc>
          <w:tcPr>
            <w:tcW w:w="34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color w:val="auto"/>
              </w:rPr>
              <w:t>Fees and taxes paid on tender offer</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08"/>
        </w:trPr>
        <w:tc>
          <w:tcPr>
            <w:tcW w:w="25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3,302</w:t>
            </w: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5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60" w:hanging="332"/>
        <w:spacing w:after="0" w:line="249"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one-time cash awards to Duolingo contributors under our non-employee volunteer program included within Sales and marketing expenses within our Consolidated Statement of Operations. See Note 14 to our audited consolidated financial statements and Note 2 to our unaudited interim consolidated financial statements included elsewhere in this prospectus.</w:t>
      </w:r>
    </w:p>
    <w:p>
      <w:pPr>
        <w:spacing w:after="0" w:line="146" w:lineRule="exact"/>
        <w:rPr>
          <w:rFonts w:ascii="Arial" w:cs="Arial" w:eastAsia="Arial" w:hAnsi="Arial"/>
          <w:sz w:val="14"/>
          <w:szCs w:val="14"/>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write off of the capitalization of an internal-use software project prior to being launched to the user base.</w:t>
      </w:r>
    </w:p>
    <w:p>
      <w:pPr>
        <w:spacing w:after="0" w:line="149"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in the same manner as our management and board of directors. The following table presents a reconciliation of net cash provided by operating activities, the most directly comparable financial measure calculated in accordance with GAAP to free cash flow: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5,123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Less: Capitalized software development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Plus: IPO and public company readiness costs(1)</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48"/>
        </w:trPr>
        <w:tc>
          <w:tcPr>
            <w:tcW w:w="4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3,825</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580" w:hanging="332"/>
        <w:spacing w:after="0" w:line="258" w:lineRule="auto"/>
        <w:tabs>
          <w:tab w:leader="none" w:pos="3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IPO and public company readiness costs include costs associated with IPO readiness and establishment of our public company structure and processes, including consultant costs. These costs are included within General and administrative expenses within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 w:right="339" w:bottom="1440"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and Other Data” and our consolidated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 Our historical results are not necessarily indicative of the results that may be expected for any period in the future. Except as otherwise noted, all references to 2019 refer to the year ended December 31, 2019 and references to 2020 refer to the year ended December 31, 2020. Subscriber metrics refer to the specific date denoted.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Duolingo is the leading global mobile learning platform, offering courses in 40 languages to approximately 40 million monthly active users. Our flagship app has organically become the world’s most popular way to learn languages and the top-grossing app in the Education category on both Google Play and the Apple App Store. We believe that we have become the preeminent online destination for language learning due to our beautifully designed products, exceptional user engagement, and demonstrated learning efficacy.</w:t>
      </w:r>
    </w:p>
    <w:p>
      <w:pPr>
        <w:spacing w:after="0" w:line="15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Our mission is to develop the best education in the world and make it universally available. Education has the ability to transform lives and create opportunities for social and economic advancement. However, access to high quality education is out of reach for too many people worldwide. We started Duolingo to provide access to quality education to everyone, and we started with a focus on language learning because of its potential to power both economic advancement and deep human connection.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global market for consumer language learning is large, growing, and shifting online, and we believe we have a significant opportunity to expand our impact. There are 1.8 billion people in the world learning a new language, according to HolonIQ. In addition, we believe we are expanding the language learning market. For example, according to a survey we conducted in 2021, almost 80% of Duolingo users in the US were not already learning a language when they began using Duolingo.</w:t>
      </w:r>
    </w:p>
    <w:p>
      <w:pPr>
        <w:spacing w:after="0" w:line="152"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Duolingo’s products are built on the belief that the hardest thing about learning a new language is staying motivated. Our product philosophy is centered around ensuring that learners have fun while also achieving their learning goals. We encourage our learners to return to our products day after day through our gamified experience. Our engaged learner base completes more than 500 million exercises each day.</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technology is at the core of everything we do. In addition to our obsession with beautiful, engaging design, we utilize the latest in machine learning and data analytics, along with a relentless focus on A/B testing, to leverage our significant data scale to improve our learners’ experience.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extensions.</w:t>
      </w:r>
    </w:p>
    <w:p>
      <w:pPr>
        <w:spacing w:after="0" w:line="15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Since Duolingo’s launch in 2011, we have consistently invested in improving our platform to provide our learners a fun, engaging, and effective learning experience while remaining committed to our mission of making high quality education universally available. Over the years, we have experienced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 w:right="35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growth in learners on our platform, primarily through organic word-of-mouth virality rather than paid user acquisition. Below are some of the most important milestones in our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211455</wp:posOffset>
            </wp:positionV>
            <wp:extent cx="5349240" cy="2434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core competencies in engineering, A/B testing, data analytics, product design, gamification, personalization, and assessment are applicable not only to language learning but also to additional subjects. For example, in 2016, we launched the Duolingo English Test, which is our modern approach to testing and a pioneer in online, on-demand, high-stakes English proficiency assessment. In 2020, over 344,000 individual Duolingo English Tests were purchased compared to approximately 17,000 in 2019, a growth of approximately 2,000%. In early 2020, we launched Duolingo ABC, a new product focused on early literacy designed for children ages three to six.</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Since our founding, we have made extensive investments in technology and data analytics. Both the Duolingo English Test and Duolingo ABC leverage our shared technology infrastructure, and we believe our platform and its capabilities are extensible to additional products and subject areas.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2020, we generated:</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revenues of $70.8 million and $161.7 million, respectively, representing year-over-year growth of 129%;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Subscription revenues of $54.8 million and $117.5 million, respectively, representing year-over-year growth of 114%;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profit of $50.0 million and $115.7 million, respectively, representing year-over-year growth of 131%;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loss of $13.6 million and $15.8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of $(8.0) million and $3.6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cash provided by operating activities of $2.2 million and $17.7 million, respectively;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Free cash flow of $(3.1)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60"/>
          </w:cols>
          <w:pgMar w:left="320" w:top="144" w:right="41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2021, we generated:</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revenues of $28.1 million and $55.4 million, respectively, representing period-over-period growth of 97%;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Subscription revenues of $22.2 million and $40.1 million, respectively, representing period-over-period growth of 81%;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Gross profit of $19.9 million and $40.3 million, respectively, representing period-over-period growth of 103%;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loss of $2.2 million and $13.5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of $(0.9) million and $0.9, million respectively;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cash provided by operating activities of $4.7 million and $5.1 million, respectively;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Free cash flow of $3.0 million and $3.8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Generate Revenue</w:t>
      </w:r>
    </w:p>
    <w:p>
      <w:pPr>
        <w:spacing w:after="0" w:line="20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use a freemium business model that relies on a premium subscription offering, advertising, and in-app-purchases (IAPs) to produce revenue. We believe the following key attributes of our freemium subscription business model are core to our success.</w:t>
      </w:r>
    </w:p>
    <w:p>
      <w:pPr>
        <w:spacing w:after="0" w:line="10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Large Market</w:t>
      </w:r>
      <w:r>
        <w:rPr>
          <w:rFonts w:ascii="Arial" w:cs="Arial" w:eastAsia="Arial" w:hAnsi="Arial"/>
          <w:sz w:val="18"/>
          <w:szCs w:val="18"/>
          <w:color w:val="auto"/>
        </w:rPr>
        <w:t>: There is an enormous pool of potential language learners globally that HolonIQ estimates at 1.8 billion people.</w:t>
      </w:r>
    </w:p>
    <w:p>
      <w:pPr>
        <w:spacing w:after="0" w:line="171" w:lineRule="exact"/>
        <w:rPr>
          <w:rFonts w:ascii="Arial" w:cs="Arial" w:eastAsia="Arial" w:hAnsi="Arial"/>
          <w:sz w:val="18"/>
          <w:szCs w:val="18"/>
          <w:color w:val="auto"/>
        </w:rPr>
      </w:pPr>
    </w:p>
    <w:p>
      <w:pPr>
        <w:ind w:left="660" w:right="32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Free Users</w:t>
      </w:r>
      <w:r>
        <w:rPr>
          <w:rFonts w:ascii="Arial" w:cs="Arial" w:eastAsia="Arial" w:hAnsi="Arial"/>
          <w:sz w:val="18"/>
          <w:szCs w:val="18"/>
          <w:color w:val="auto"/>
        </w:rPr>
        <w:t>: Since none of our learning content is behind a paywall, anyone can download the Duolingo app, use it for as long as</w:t>
      </w:r>
      <w:r>
        <w:rPr>
          <w:rFonts w:ascii="Arial" w:cs="Arial" w:eastAsia="Arial" w:hAnsi="Arial"/>
          <w:sz w:val="18"/>
          <w:szCs w:val="18"/>
          <w:b w:val="1"/>
          <w:bCs w:val="1"/>
          <w:color w:val="auto"/>
        </w:rPr>
        <w:t xml:space="preserve"> </w:t>
      </w:r>
      <w:r>
        <w:rPr>
          <w:rFonts w:ascii="Arial" w:cs="Arial" w:eastAsia="Arial" w:hAnsi="Arial"/>
          <w:sz w:val="18"/>
          <w:szCs w:val="18"/>
          <w:color w:val="auto"/>
        </w:rPr>
        <w:t>they like, and complete any of our courses free of charge. This has allowed us to scale to 40 million MAUs for the quarter ended March 31, 2021. These millions of learners provide two benefits to our business model:</w:t>
      </w:r>
    </w:p>
    <w:p>
      <w:pPr>
        <w:spacing w:after="0" w:line="138" w:lineRule="exact"/>
        <w:rPr>
          <w:rFonts w:ascii="Arial" w:cs="Arial" w:eastAsia="Arial" w:hAnsi="Arial"/>
          <w:sz w:val="18"/>
          <w:szCs w:val="18"/>
          <w:color w:val="auto"/>
        </w:rPr>
      </w:pPr>
    </w:p>
    <w:p>
      <w:pPr>
        <w:ind w:left="1300" w:hanging="320"/>
        <w:spacing w:after="0" w:line="256"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They become advocates for Duolingo and provide word-of-mouth publicity for our product, which enables our growth and has allowed us to make very selective and efficient marketing investments. From 2011 through the end of 2019, we spent a cumulative $14.5 million dollars on external marketing, even as Duolingo was downloaded hundreds of millions of times.</w:t>
      </w:r>
    </w:p>
    <w:p>
      <w:pPr>
        <w:spacing w:after="0" w:line="147" w:lineRule="exact"/>
        <w:rPr>
          <w:rFonts w:ascii="Arial" w:cs="Arial" w:eastAsia="Arial" w:hAnsi="Arial"/>
          <w:sz w:val="18"/>
          <w:szCs w:val="18"/>
          <w:color w:val="auto"/>
        </w:rPr>
      </w:pPr>
    </w:p>
    <w:p>
      <w:pPr>
        <w:jc w:val="both"/>
        <w:ind w:left="1300" w:right="40" w:hanging="320"/>
        <w:spacing w:after="0" w:line="256" w:lineRule="auto"/>
        <w:tabs>
          <w:tab w:leader="none" w:pos="1296" w:val="left"/>
        </w:tabs>
        <w:numPr>
          <w:ilvl w:val="1"/>
          <w:numId w:val="46"/>
        </w:numPr>
        <w:rPr>
          <w:rFonts w:ascii="Arial" w:cs="Arial" w:eastAsia="Arial" w:hAnsi="Arial"/>
          <w:sz w:val="18"/>
          <w:szCs w:val="18"/>
          <w:color w:val="auto"/>
        </w:rPr>
      </w:pPr>
      <w:r>
        <w:rPr>
          <w:rFonts w:ascii="Arial" w:cs="Arial" w:eastAsia="Arial" w:hAnsi="Arial"/>
          <w:sz w:val="18"/>
          <w:szCs w:val="18"/>
          <w:color w:val="auto"/>
        </w:rPr>
        <w:t>Our users complete over 500 million exercises every day, generating large amounts of data that powers our high-volume A/B testing and novel AI techniques. We use this data and the insights that come from it to continually improve both engagement and efficacy.</w:t>
      </w:r>
    </w:p>
    <w:p>
      <w:pPr>
        <w:spacing w:after="0" w:line="125" w:lineRule="exact"/>
        <w:rPr>
          <w:rFonts w:ascii="Arial" w:cs="Arial" w:eastAsia="Arial" w:hAnsi="Arial"/>
          <w:sz w:val="18"/>
          <w:szCs w:val="18"/>
          <w:color w:val="auto"/>
        </w:rPr>
      </w:pPr>
    </w:p>
    <w:p>
      <w:pPr>
        <w:jc w:val="both"/>
        <w:ind w:left="660" w:right="340" w:hanging="328"/>
        <w:spacing w:after="0" w:line="268"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Paid Subscriber Conversion</w:t>
      </w:r>
      <w:r>
        <w:rPr>
          <w:rFonts w:ascii="Arial" w:cs="Arial" w:eastAsia="Arial" w:hAnsi="Arial"/>
          <w:sz w:val="18"/>
          <w:szCs w:val="18"/>
          <w:color w:val="auto"/>
        </w:rPr>
        <w:t>: As learners tend to use our product for months or even years before they decide to subscribe, we</w:t>
      </w:r>
      <w:r>
        <w:rPr>
          <w:rFonts w:ascii="Arial" w:cs="Arial" w:eastAsia="Arial" w:hAnsi="Arial"/>
          <w:sz w:val="18"/>
          <w:szCs w:val="18"/>
          <w:b w:val="1"/>
          <w:bCs w:val="1"/>
          <w:color w:val="auto"/>
        </w:rPr>
        <w:t xml:space="preserve"> </w:t>
      </w:r>
      <w:r>
        <w:rPr>
          <w:rFonts w:ascii="Arial" w:cs="Arial" w:eastAsia="Arial" w:hAnsi="Arial"/>
          <w:sz w:val="18"/>
          <w:szCs w:val="18"/>
          <w:color w:val="auto"/>
        </w:rPr>
        <w:t>enjoy economic benefits from attracting new users well into their tenure on the platform. In 2020, approximately 4% of our MAUs were paying subscribers. As of March 31, 2021, approximately 5% of our MAUs were paying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8460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subscription offering is called Duolingo Plus. It offers learners features such as an ad-free experience, along with additional learning and gamification features that enhance their learning experience. One such enhancement is unlimited Hearts, which give learners more flexibility in how they move through course content. As of December 31, 2020, Duolingo Plus has approximately 1.6 million paying subscribers, and in 2020 subscriptions accounted for approximately 73% of our revenue. As of March 31, 2021, Duolingo Plus had approximately 1.8 million paid subscribers, and in the three months ended March 31, 2021 subscriptions accounted for approximately 72% of our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Duolingo Plus has three primary subscription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Learning app plans</w:t>
            </w:r>
          </w:p>
        </w:tc>
        <w:tc>
          <w:tcPr>
            <w:tcW w:w="80" w:type="dxa"/>
            <w:vAlign w:val="bottom"/>
            <w:vMerge w:val="restart"/>
          </w:tcPr>
          <w:p>
            <w:pPr>
              <w:spacing w:after="0"/>
              <w:rPr>
                <w:sz w:val="14"/>
                <w:szCs w:val="14"/>
                <w:color w:val="auto"/>
              </w:rPr>
            </w:pPr>
          </w:p>
        </w:tc>
        <w:tc>
          <w:tcPr>
            <w:tcW w:w="24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Payment Basis</w:t>
            </w:r>
          </w:p>
        </w:tc>
        <w:tc>
          <w:tcPr>
            <w:tcW w:w="80" w:type="dxa"/>
            <w:vAlign w:val="bottom"/>
            <w:vMerge w:val="restart"/>
          </w:tcPr>
          <w:p>
            <w:pPr>
              <w:spacing w:after="0"/>
              <w:rPr>
                <w:sz w:val="14"/>
                <w:szCs w:val="14"/>
                <w:color w:val="auto"/>
              </w:rPr>
            </w:pPr>
          </w:p>
        </w:tc>
        <w:tc>
          <w:tcPr>
            <w:tcW w:w="3640" w:type="dxa"/>
            <w:vAlign w:val="bottom"/>
            <w:vMerge w:val="restart"/>
          </w:tcPr>
          <w:p>
            <w:pPr>
              <w:jc w:val="right"/>
              <w:ind w:right="1434"/>
              <w:spacing w:after="0"/>
              <w:rPr>
                <w:sz w:val="20"/>
                <w:szCs w:val="20"/>
                <w:color w:val="auto"/>
              </w:rPr>
            </w:pPr>
            <w:r>
              <w:rPr>
                <w:rFonts w:ascii="Arial" w:cs="Arial" w:eastAsia="Arial" w:hAnsi="Arial"/>
                <w:sz w:val="14"/>
                <w:szCs w:val="14"/>
                <w:b w:val="1"/>
                <w:bCs w:val="1"/>
                <w:color w:val="auto"/>
              </w:rPr>
              <w:t>Duration</w:t>
            </w:r>
          </w:p>
        </w:tc>
        <w:tc>
          <w:tcPr>
            <w:tcW w:w="100" w:type="dxa"/>
            <w:vAlign w:val="bottom"/>
            <w:vMerge w:val="restart"/>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iOS/Android Price</w:t>
            </w:r>
          </w:p>
        </w:tc>
        <w:tc>
          <w:tcPr>
            <w:tcW w:w="15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Web Price (US$)</w:t>
            </w:r>
          </w:p>
        </w:tc>
        <w:tc>
          <w:tcPr>
            <w:tcW w:w="0" w:type="dxa"/>
            <w:vAlign w:val="bottom"/>
          </w:tcPr>
          <w:p>
            <w:pPr>
              <w:spacing w:after="0"/>
              <w:rPr>
                <w:sz w:val="1"/>
                <w:szCs w:val="1"/>
                <w:color w:val="auto"/>
              </w:rPr>
            </w:pPr>
          </w:p>
        </w:tc>
      </w:tr>
      <w:tr>
        <w:trPr>
          <w:trHeight w:val="175"/>
        </w:trPr>
        <w:tc>
          <w:tcPr>
            <w:tcW w:w="1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3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(US$)(1)</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1-month</w:t>
            </w:r>
          </w:p>
        </w:tc>
        <w:tc>
          <w:tcPr>
            <w:tcW w:w="254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 month from date of purchase (28-31 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12.99/mo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12.99/mo</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47.99</w:t>
            </w:r>
          </w:p>
        </w:tc>
        <w:tc>
          <w:tcPr>
            <w:tcW w:w="10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217"/>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6-month(2)</w:t>
            </w:r>
          </w:p>
        </w:tc>
        <w:tc>
          <w:tcPr>
            <w:tcW w:w="2540" w:type="dxa"/>
            <w:vAlign w:val="bottom"/>
            <w:gridSpan w:val="2"/>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tcPr>
          <w:p>
            <w:pPr>
              <w:jc w:val="right"/>
              <w:ind w:right="120"/>
              <w:spacing w:after="0"/>
              <w:rPr>
                <w:sz w:val="20"/>
                <w:szCs w:val="20"/>
                <w:color w:val="auto"/>
              </w:rPr>
            </w:pPr>
            <w:r>
              <w:rPr>
                <w:rFonts w:ascii="Arial" w:cs="Arial" w:eastAsia="Arial" w:hAnsi="Arial"/>
                <w:sz w:val="18"/>
                <w:szCs w:val="18"/>
                <w:color w:val="auto"/>
              </w:rPr>
              <w:t>6 months from date of purchase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(7.99/mo)</w:t>
            </w:r>
          </w:p>
        </w:tc>
        <w:tc>
          <w:tcPr>
            <w:tcW w:w="1560" w:type="dxa"/>
            <w:vAlign w:val="bottom"/>
          </w:tcPr>
          <w:p>
            <w:pPr>
              <w:jc w:val="right"/>
              <w:spacing w:after="0"/>
              <w:rPr>
                <w:sz w:val="20"/>
                <w:szCs w:val="20"/>
                <w:color w:val="auto"/>
              </w:rPr>
            </w:pPr>
            <w:r>
              <w:rPr>
                <w:rFonts w:ascii="Arial" w:cs="Arial" w:eastAsia="Arial" w:hAnsi="Arial"/>
                <w:sz w:val="18"/>
                <w:szCs w:val="18"/>
                <w:color w:val="auto"/>
              </w:rPr>
              <w:t>(7.99/mo)</w:t>
            </w:r>
          </w:p>
        </w:tc>
        <w:tc>
          <w:tcPr>
            <w:tcW w:w="0" w:type="dxa"/>
            <w:vAlign w:val="bottom"/>
          </w:tcPr>
          <w:p>
            <w:pPr>
              <w:spacing w:after="0"/>
              <w:rPr>
                <w:sz w:val="1"/>
                <w:szCs w:val="1"/>
                <w:color w:val="auto"/>
              </w:rPr>
            </w:pPr>
          </w:p>
        </w:tc>
      </w:tr>
      <w:tr>
        <w:trPr>
          <w:trHeight w:val="188"/>
        </w:trPr>
        <w:tc>
          <w:tcPr>
            <w:tcW w:w="16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740" w:type="dxa"/>
            <w:vAlign w:val="bottom"/>
            <w:gridSpan w:val="2"/>
            <w:shd w:val="clear" w:color="auto" w:fill="DBDBDB"/>
          </w:tcPr>
          <w:p>
            <w:pPr>
              <w:jc w:val="right"/>
              <w:ind w:right="120"/>
              <w:spacing w:after="0" w:line="189" w:lineRule="exact"/>
              <w:rPr>
                <w:sz w:val="20"/>
                <w:szCs w:val="20"/>
                <w:color w:val="auto"/>
              </w:rPr>
            </w:pPr>
            <w:r>
              <w:rPr>
                <w:rFonts w:ascii="Arial" w:cs="Arial" w:eastAsia="Arial" w:hAnsi="Arial"/>
                <w:sz w:val="18"/>
                <w:szCs w:val="18"/>
                <w:color w:val="auto"/>
              </w:rPr>
              <w:t>12 month from date of purchase (365-366</w:t>
            </w:r>
          </w:p>
        </w:tc>
        <w:tc>
          <w:tcPr>
            <w:tcW w:w="156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79.99</w:t>
            </w: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line="189" w:lineRule="exact"/>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7"/>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12-month</w:t>
            </w:r>
          </w:p>
        </w:tc>
        <w:tc>
          <w:tcPr>
            <w:tcW w:w="2540" w:type="dxa"/>
            <w:vAlign w:val="bottom"/>
            <w:gridSpan w:val="2"/>
            <w:shd w:val="clear" w:color="auto" w:fill="DBDBDB"/>
          </w:tcPr>
          <w:p>
            <w:pPr>
              <w:ind w:left="780"/>
              <w:spacing w:after="0"/>
              <w:rPr>
                <w:sz w:val="20"/>
                <w:szCs w:val="20"/>
                <w:color w:val="auto"/>
              </w:rPr>
            </w:pPr>
            <w:r>
              <w:rPr>
                <w:rFonts w:ascii="Arial" w:cs="Arial" w:eastAsia="Arial" w:hAnsi="Arial"/>
                <w:sz w:val="18"/>
                <w:szCs w:val="18"/>
                <w:color w:val="auto"/>
              </w:rPr>
              <w:t>Upfront, subscription</w:t>
            </w:r>
          </w:p>
        </w:tc>
        <w:tc>
          <w:tcPr>
            <w:tcW w:w="37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days)</w:t>
            </w:r>
          </w:p>
        </w:tc>
        <w:tc>
          <w:tcPr>
            <w:tcW w:w="166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(6.67/mo)</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(6.99/mo)</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Prices listed in the table are list prices only. Internationally, prices across all platforms are adjusted to match the US dollar price based on country exchange rates.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6-month subscription plan is being deprecated starting from the fourth quarter of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20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hours of engagement of our free users, and our ability to provide innovative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advertising products that are relevant to our users and enhance returns for our advertising partners. Advertising revenue represented approximately 17% of our revenue in 2020.</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In-app purchases consist of learners purchasing one-time benefits within the app, such as “streak freezes” and “timer boosts.” In 2020, we generated approximately 1% of our revenue from in-app purchases.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monetizing the Duolingo language learning app, we generate revenue from the Duolingo English Test by charging test takers a one-time fee of $49. University program acceptance is a driver of Duolingo English Test revenue. As of June 2021, over 3,000 higher education programs around the world accept the Duolingo English Test results as proof of English proficiency for international student admissions, including 17 of the top 20 undergraduate programs in the United States according to US News and World Report. Fee revenue from the Duolingo English Test accounted for approximately 9% of our revenue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Invest in Our Business</w:t>
      </w:r>
    </w:p>
    <w:p>
      <w:pPr>
        <w:spacing w:after="0" w:line="20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We are a product-driven company and believe that by investing in engineering, product development, and design we will see measurable return on investment (ROI) as we improve existing products and launch new offerings that will serve our learners’ needs. Our continual investment in research and development drives learner engagement and efficacy on our platform. This, in turn, drives organic user growth, and our user growth leads to subscriber growth.</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Research and development expenses were 45% and 33% of our total revenue in 2019 and 2020, and 34% and 41% of our total revenue in the three months ended March 31, 2020 and 2021. We expect to continue to spend a significant portion of our revenue on research and development in the future. We anticipate funding this spending on research and development through improvements in our gross profit. For example, because we pay fees to app platforms (i.e., Google Play and Apple App Store) representing approximately 30% of revenue for sales in the first 12 months of a subscriber’s tenure and 15% of revenue for bookings thereafter, we believe we can improve our gross margin by retaining subscribers past 12 months.</w:t>
      </w:r>
    </w:p>
    <w:p>
      <w:pPr>
        <w:spacing w:after="0" w:line="1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Because of our focus on our organic growth, we have been able to spend efficiently on marketing. Our investments to date are focused on high-leverage brand advertising and, to a lesser extent, performance marketing. From our founding in 2011 to the end of 2020, we have grown to our current scale while having spent only $41.8 million in aggregate on external marketing, $27.4 million of which was in 2020. In total in 2020, we spent 22% of revenue on sales and marketing—including the costs of our sales and marketing personnel—and we expect these costs to grow at a slower pace than revenue over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See “Selected Consolidated Financial and Other Data—Key Operating Metrics and Non-GAAP Financial Measures” for additional information on the operating metrics and non-GAAP financial measures set forth below, including a reconciliation of the non-GAAP financial measures Adjusted EBITDA and free cash flow to the most directly comparable financial measure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6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dollar amounts 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0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Paid subscribers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Subscription bookings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72,115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144,379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50,466</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Total bookings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88,033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190,181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65,830</w:t>
            </w:r>
          </w:p>
        </w:tc>
      </w:tr>
      <w:tr>
        <w:trPr>
          <w:trHeight w:val="108"/>
        </w:trPr>
        <w:tc>
          <w:tcPr>
            <w:tcW w:w="4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Net loss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871</w:t>
            </w:r>
          </w:p>
        </w:tc>
      </w:tr>
      <w:tr>
        <w:trPr>
          <w:trHeight w:val="364"/>
        </w:trPr>
        <w:tc>
          <w:tcPr>
            <w:tcW w:w="46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29"/>
        </w:trPr>
        <w:tc>
          <w:tcPr>
            <w:tcW w:w="46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3,825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Duolingo users who engage with our mobile language learning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language learning section of our website each month. MAUs are reported for a measurement period by taking the average of each calendar month in that measurement period. MAUs are a measure of the size of our global active user community on Duolingo.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For 2019 and 2020, we had approximately 27.3 million and 36.7 million MAUs, respectively, representing a year-over-year increase of 34% and a CAGR of 20% from 2016 to 2020. We grow MAUs by attracting new users, retaining existing users, and by tapping into the millions of former users who return to our language learning app because of our product initiatives and brand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 xml:space="preserve">Daily Active Users (DAUs). </w:t>
      </w:r>
      <w:r>
        <w:rPr>
          <w:rFonts w:ascii="Arial" w:cs="Arial" w:eastAsia="Arial" w:hAnsi="Arial"/>
          <w:sz w:val="17"/>
          <w:szCs w:val="17"/>
          <w:color w:val="auto"/>
        </w:rPr>
        <w:t>DAUs are defined as unique Duolingo users who engage with our mobile language learning application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 learning section of our website each calendar day. DAUs are reported for a measurement period by taking the average of the DAUs for each day in that measurement period. DAUs are a measure of the consistent engagement of our global user community on Duolingo.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67945</wp:posOffset>
            </wp:positionV>
            <wp:extent cx="5349240" cy="290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For 2019 and 2020, we had approximately 5.2 million and 8.2 million DAUs, respectively, representing a year-over-year increase of 58% and a CAGR of 31% from 2016 to 2020. From 2019 to 2020, the DAU / MAU ratio, which we believe is another indicator of user engagement, increased from 19% to 22%. We grow DAUs by making the product more fun and engaging, as well as through our marketing efforts.</w:t>
      </w:r>
    </w:p>
    <w:p>
      <w:pPr>
        <w:spacing w:after="0" w:line="122"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Duolingo Plus and had an active subscription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measurement period. Each unique user account is treated as a single paid subscriber regardless of whether such user purchases multiple subscriptions, and the count of paid subscribers does not include users who are currently on a free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888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720"/>
        <w:spacing w:after="0" w:line="271" w:lineRule="auto"/>
        <w:rPr>
          <w:sz w:val="20"/>
          <w:szCs w:val="20"/>
          <w:color w:val="auto"/>
        </w:rPr>
      </w:pPr>
      <w:r>
        <w:rPr>
          <w:rFonts w:ascii="Arial" w:cs="Arial" w:eastAsia="Arial" w:hAnsi="Arial"/>
          <w:sz w:val="18"/>
          <w:szCs w:val="18"/>
          <w:color w:val="auto"/>
        </w:rPr>
        <w:t>As of December 31, 2019 and 2020, we had approximately 0.9 million and 1.6 million paid subscribers, respectively, representing an increase of 84% year-over-year and a CAGR of 195% from 2017 to 2020. We grow paid subscribers by growing our free user base, converting a greater number of users to paid subscribers, and retaining subscribers.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 subscription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Duolingo Plus. Total bookings represent the amounts we receive from a purchase of a subscription to Duolingo Plus, a registration for a Duolingo English Test, an in-app purchase for a virtual good and from advertising networks for advertisements served to our users. We believe bookings provide an indication of trends in our operating results, including cash flows, that are not necessarily reflected in our revenue because we recognize subscription revenue ratably over the lifetime of a subscription, which is generally from one to twelve months.</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years ended December 31, 2019 and 2020, we generated $ 88.0 million and $190.2 million total bookings, respectively, representing a year-over-year increase of 116%. For the years ended December 31, 2019 and 2020, we generated $72.1 million and $144.4 million of subscription bookings, respectively, representing a year-over-year increase of 100%. For the three months ended March 31, 2020 and 2021, we generated $36.9 million and $65.8 million total bookings, respectively, representing a year-over-year increase of 78%. For the three months ended March 31, 2020 and 2021, we generated $30.7 million and $ 50.5 million of subscription bookings, respectively, representing a period-over-period increase of 64%. We generate subscription bookings by selling first time and renewal subscriptions as well as subscriptions to subscribers who previously had a subscription and return. As we grow our user base, convert a greater proportion of users to first time subscribers, increase renewal rates, and increase the proportion of re-subscribers, we increase subscription bookings.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Earnings (loss) before interest, taxes, depreciation and amortization (EBITDA) is one of the metrics used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evaluate the financial performance of our business. Adjusted EBITDA is defined as net loss excluding interest (income) expense, net, income tax provision, depreciation and amortization, IPO and public company readiness costs as we prepare to be a public company, stock-based compensation expense, tender offer-related costs, other expenses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increases as we grow revenue, improve gross margin, and reduce operating expenses as a percentage of revenue, or through a combination of those drivers. For the years ended December 31, 2019 and 2020, we generated $(8.0) million and $3.6 million of Adjusted EBITDA, respectively. The year-over-year increase in Adjusted EBITDA occurred because gross margin improved and revenue grew at a faster rate than the growth of our operating expenses. For the three months ended March 31, 2020 and 2021, we generated $(0.9) million and $0.9 million of Adjusted EBITDA, respectively. The period-over-period increase in Adjusted EBITDA occurred because gross profit improved and operating expenses in the three months ended March 31, 2021 grew less rapidly than revenue when adjusted for costs incurred related to IPO and public company readiness and other costs which did not occur in the prior year.</w:t>
      </w:r>
    </w:p>
    <w:p>
      <w:pPr>
        <w:spacing w:after="0" w:line="12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Free cash flow represents net cash provided by operating activities, reduced by purchases of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software development costs, and increased by IPO and public company readiness costs,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years ended December 31, 2019 and 2020, we generated $(3.1) million and $14.0 million of free cash flow, respectively. Subscribers prepay for subscriptions at the time of purchase, so the year-over-year increase in subscription bookings led to this increase in free cash flow. Growing bookings and reducing costs as a percentage of bookings generate improvements in free cash flow. For the three months ended March 31, 2020 and 2021, we generated $3.0 million and $3.8 million of free cash flow, respectively. Free cash flow was impacted by an increase in cash from operations related to increased bookings and improvements in working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0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results of operations and financial condition have been, and will continue to be, affected by a number of factors that present significant opportunities for us but also pose risks and challenges, including those discussed below and in the section of this prospectus titled “Risk Factors.”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Users and Paid Subscribers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business model is dependent upon our ability to grow and maintain a large user base, and it also requires that we grow and keep paid subscribers.</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2016, our free users, as measured by MAUs, have more than doubled. This increase in free user scale enables our learning and investment flywheels.</w:t>
      </w:r>
    </w:p>
    <w:p>
      <w:pPr>
        <w:spacing w:after="0" w:line="108" w:lineRule="exact"/>
        <w:rPr>
          <w:sz w:val="20"/>
          <w:szCs w:val="20"/>
          <w:color w:val="auto"/>
        </w:rPr>
      </w:pPr>
    </w:p>
    <w:p>
      <w:pPr>
        <w:ind w:left="660" w:right="300" w:hanging="328"/>
        <w:spacing w:after="0" w:line="268"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Investment flywheel</w:t>
      </w:r>
      <w:r>
        <w:rPr>
          <w:rFonts w:ascii="Arial" w:cs="Arial" w:eastAsia="Arial" w:hAnsi="Arial"/>
          <w:sz w:val="18"/>
          <w:szCs w:val="18"/>
          <w:color w:val="auto"/>
        </w:rPr>
        <w:t>: Our user scale and word-of-mouth growth allow us to focus our capital investments on product innovation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data analytics, as opposed to brand or performance marketing. The more learners use Duolingo and convert into paid subscribers, the more we are able to invest in creating an even more delightful, engaging and effective learning experience.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00"/>
        <w:spacing w:after="0" w:line="261" w:lineRule="auto"/>
        <w:rPr>
          <w:sz w:val="20"/>
          <w:szCs w:val="20"/>
          <w:color w:val="auto"/>
        </w:rPr>
      </w:pPr>
      <w:r>
        <w:rPr>
          <w:rFonts w:ascii="Arial" w:cs="Arial" w:eastAsia="Arial" w:hAnsi="Arial"/>
          <w:sz w:val="18"/>
          <w:szCs w:val="18"/>
          <w:color w:val="auto"/>
        </w:rPr>
        <w:t>turn, this increases our popularity and user scale, as well as the effectiveness of our data analytics, further widening our competitive moat.</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to the growth in free users, we have consistently grown the percentage of MAUs that pay us a subscription. Learners on our platform typically begin by engaging with our free offering, which serves as a funnel to grow our user base as well as drive conversion to our paid subscription. We engage our free learners by providing them a highly engaging and fun user experience and a well-designed product. Over time, as they experience the product or want to access more features, a portion of our free user base purchases our subscription offering. Starting from less than 1% paid subscriber penetration in 2017, we have increased to approximately 4% paid subscriber penetration in 2020.</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While we believe we are in the early days of increasing the number of learners on our platform and increasing our paid subscriber penetration, at some point we may face challenges to increasing both of the metrics. These challenges may include increasing competition from alternative products and a lack of appealing new product features. We may also at some point find that growth in paid subscribers slows due to saturation of our paid subscribers as a percentage of our total learners.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3017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User and Subscriber Cohort Characteristics</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believe that our business has attractive cohort characteristics because of our user growth, the improving conversion of free users to paid subscribers, and the stickiness of subscribers. As a result of our freemium model, we are able to cost-effectively attract learners to the platform, and these learners often use our product for months or even years for free before becoming subscribers.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In the chart below we illustrate the power of this dynamic. User cohorts convert into paid subscribers over time, not solely in the year they first use Duolingo. For example, in 2020, approximately 53% of our first time subscription bookings came from users who joined the platform that year (in green), and approximately 47% came from users who joined before 2020 (in gray). We believe this is a business justification for having a high quality, deeply engaging free user experience: it leads to users staying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4" w:right="3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platform over long-periods of time and provides us with repeated opportunities to convert them to paid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109220</wp:posOffset>
            </wp:positionV>
            <wp:extent cx="5349240" cy="317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guarantee that these trends in user growth or conversion improvement will continue in the future. If any of these trends degrades, it will diminish the attractiveness of our user and subscriber cohorts.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Lifetime Value of Subscribers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average lifetime value of our subscribers is driven by the length of their subscription plans and by the mix of plans purchased.</w:t>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Subscribers on our annual subscription plan tend to stay on our platform longer and are stickier than subscribers on our monthly plan. As of March 31, 2021, for subscribers who purchased annual plans in 2018, 2019, and 2020, the percentage who renewed their subscription after 12 months was approximately 40% for each period. For monthly subscribers over that same period, the percentage of subscribers who renewed their subscription after 12 months was approximately 9% for each period. As a result, even though the annual plan has a lower average revenue per user, the lifetime value of subscribers on our annual plan is approximately twice as high as the lifetime value of subscribers on our monthly plan. Given the limited history of our subscription product, which we launched in late 2017, we calculate lifetime value of our subscribers based on three-year historical cohort behavior and extrapolate this data for recent cohorts that have less than three years of data. At some point, the stickiness of our subscribers and their lifetime value may decrease if we do not continue to improve our subscriber experience or product features, or if competition increases in our industry.</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been successful in shifting our mix of paid subscribers to favor annual subscriptions over time. For example, annual subscribers made up approximately 47% of our paid subscribers as of the end of 2018, increasing to 71% of paid subscribers as of the end of 2020. This shift toward annual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 w:right="35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has had a positive impact on subscriber lifetime value. We plan to continue to shift our subscriber mix toward annual subscribers, but we may face increased challenges in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330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Efficient User Acquisition and Strong Unit Economics</w:t>
      </w:r>
    </w:p>
    <w:p>
      <w:pPr>
        <w:spacing w:after="0" w:line="2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investment in developing free, fun, engaging, and effective products creates an efficient user acquisition model, which drives strong unit economics.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gross margins are over 70% of revenue, with payment-processing and platform fees we pay the app platforms (i.e., Google Play and Apple App Store) making up a majority of our Cost of Revenue. This gross margin, coupled with our primarily word-of-mouth driven, unpaid organic user acquisition model, leads to strong unit economics. For our paid user acquisition, we take a balanced and disciplined approach to marketing with no dependency on one channel. Our strategy includes brand marketing campaigns and our owned media marketing.</w:t>
      </w:r>
    </w:p>
    <w:p>
      <w:pPr>
        <w:spacing w:after="0" w:line="1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expect to continue to invest in product and marketing, while balancing growth with strong unit economics. Our marketing investments could increase, particularly as we expand internationally, if we need to spend more to acquire new users.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Consistent with our mission, we are focused on providing global access to learning and we are working to grow our platform reach around the world. Because we believe that language learning is even more valuable to users in certain international markets than it is in the United States, we are focused on entering new markets while investing in under-penetrated markets. Specifically, we see a significant opportunity to expand our learner base in many regions in Asia and Latin America. Expanding our learner base and increasing our paid subscribers in new geographies will require increased costs related to marketing and localization of product features. Potential risks to our expansion into new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include competition and compliance with foreign laws and regulations, as well as risks that our pricing and subscription plans are received differently or adopted at different rates across geographies.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Adoption of the Duolingo English Test</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Duolingo English Test has grown significantly from 2019 to 2020, driven in part by an expansion of accepting programs and by increased demand due to the COVID-19 pandemic. As of June 2021, over 3,000 higher education programs around the world accept the Duolingo English Test as proof of English proficiency for international student admissions. Going forward, we may face challenges in increasing the number of schools that accept the Duolingo English Test as the pandemic recedes, and we may see a decrease in demand as competition intensifies.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While Driving Long-Term Profitability</w:t>
      </w:r>
    </w:p>
    <w:p>
      <w:pPr>
        <w:spacing w:after="0" w:line="207"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We have demonstrated our ability to balance investment in product, technology and marketing while managing cash flow and achieving positive Adjusted EBITDA. Our language product has offered us a proven playbook for how to efficiently acquire users and drive monetization. We believe we can leverage this playbook across new areas of growth, like our recent entry into the literacy market with the release of Duolingo ABC.</w:t>
      </w:r>
    </w:p>
    <w:p>
      <w:pPr>
        <w:spacing w:after="0" w:line="152"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We expect to continue to invest in technology, product innovation, and marketing, while balancing growth with a focus on increasing our long-term margins. Key investment areas for our platform include: machine learning capabilities, including continually improving our personalized learning technology; features that prioritize security and privacy; and new premium offerings that add incremental value to paid subscribers.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the Offerings on Our Platform</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are continually evaluating new product offerings that are aligned with our mission, core competencies, and learner demand. For example, in early 2020, partly in response to the needs created by the COVD-19 pandemic, we released Duolingo ABC to teach early childhood literacy. We will continue to invest in and launch products where we see opportunities to grow our platform.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Retaining Talent</w:t>
      </w:r>
    </w:p>
    <w:p>
      <w:pPr>
        <w:spacing w:after="0" w:line="20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Our business relies on our ability to attract and retain our talent, including engineers, data scientists, product designers and product developers. As of June 30, 2021, we had over 400 employees. Of these employees, approximately 70% work in engineering, product development, and design. We believe that people want to work at a company that is values-driven like Duolingo, and therefore our ability to recruit talent is aided by our mission and brand reputation. We compete for talent within the technology industry.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To date, the COVID-19 pandemic has not had a significant negative impact on our operations or financial performance. We believe that COVID-19 increased our bookings for a period of time in 2020 due, in part, to stay at home and other social distancing measures, most notably in the second quarter. Our revenue was $28.1, $40.0, $45.3, and $48.3 million in the first, second, third, and fourth quarter of 2020, respectively. Our total bookings were $36.9, $49.6, $46.7, and $57.1 million in the first, second, third, and fourth quarter of 2020, respectively. The pandemic also increased adoption of the Duolingo English Test. To this end, in 2019, the Duolingo English Test generated approximately $1 million of revenue and in 2020 it generated approximately $15 million in revenue. Because this increase was driven in part by increased acceptance of the test, and because we believe universities are unlikely to stop accepting the test when the pandemic ends, we do not expect the Duolingo English Test to revert to pre-pandemic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extent of the impact of the COVID-19 pandemic on our operational and financial performance, however, depends on certain developments, including ongoing social distancing measures, and future prevention and mitigation measures, as well as the potential for some of these measures to be reinstituted in the event of repeat waves of the virus. Any such developments may have adverse impacts on global economic conditions and consumer confidence and spending, and could materially adversely affect demand, or subscribers’ ability to pay, for our products and services. For additional information, see “Risk Factors—General Risk Factors—Our business and results of operations may be materially adversely affected by the recent COVID-19 outbreak or other similar outbreaks.”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jc w:val="both"/>
        <w:ind w:right="520"/>
        <w:spacing w:after="0" w:line="271" w:lineRule="auto"/>
        <w:rPr>
          <w:sz w:val="20"/>
          <w:szCs w:val="20"/>
          <w:color w:val="auto"/>
        </w:rPr>
      </w:pPr>
      <w:r>
        <w:rPr>
          <w:rFonts w:ascii="Arial" w:cs="Arial" w:eastAsia="Arial" w:hAnsi="Arial"/>
          <w:sz w:val="18"/>
          <w:szCs w:val="18"/>
          <w:color w:val="auto"/>
        </w:rPr>
        <w:t>We generate revenue primarily from the sale of subscriptions. The term-length of our subscription agreements are primarily monthly or annual. We have historically had a six-month subscription plan but during the fourth quarter of 2020, we began to phase it out. We also generate revenue from advertising, the in-app sale of virtual goods, and our English assessment test, the Duolingo English Test.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Cost of revenue predominantly consists of third-party payment processing fees charged by various distribution channel and hosting fees. To a much lesser extent, cost of revenue includes wages and share-based compensation for certain employees in the capacity of customer support, amortization of revenue generating capitalized software, and depreciation of certain property and equipment.</w:t>
      </w:r>
    </w:p>
    <w:p>
      <w:pPr>
        <w:spacing w:after="0" w:line="14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profit may fluctuate from period to period as our revenue fluctuates, and also as a result of the timing and amount of investments we make in items related to cost of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in order to drive user engagement and customer satisfaction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platform, which we believe helps to drive organic growth in new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Such expenses include compensation of engineers, designers, product managers, including share-based compensation, materials, travel and direct costs associated with the design and required testing of our platform. We expect engineers, designers, and product managers to represent a significant portion of our employees for the foreseeable future. Many of our new products and improvements to our platform require large investments and involve substantial time and risks to develop and launch. Some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products may not be well received or may take a long time for users to adopt. As a result, the benefits of our research and development investments may be difficult to forecast. We expect to continue to spend a significant portion of our revenue on research and development in the future.</w:t>
      </w:r>
    </w:p>
    <w:p>
      <w:pPr>
        <w:spacing w:after="0" w:line="12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We expect our sales and marketing expenses will decline as a percentage of revenue as our revenue grows over the long-term.</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 related compensation (including share-based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and other general overhead costs that support our operations. We expect to incur additional general and administrative expenses as a result of operating as a public company, including expenses to comply with the rules and regulations of the SEC and Listing Rules of the Nasdaq Global Select Market, as well as higher expenses for corporate insurance, director and officer insurance, investor relations, and professional services. We expect that our general and administrative expenses will increase in absolute dollars as our business grows. However, we expect that our general and administrative expenses will decrease as a percentage of our revenue as our revenue grows over the long-term.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Other income, net consists primarily of income earned on our money market funds included in cash and cash equivalents and on our marketable securities, offset by interest expense. Other income, net also includes a minimal amount of foreign currency exchange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320" w:top="144" w:right="41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our consolidated statements of operations data, including percentage of revenue, and year-over-year change,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3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129 %</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28,112</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jc w:val="right"/>
              <w:ind w:right="304"/>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55,360</w:t>
            </w: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revenues(1)(2)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8,214</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131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19,898</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40,341</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development(1)</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68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9,576</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22,529</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Sales and marketing(1)(2)</w:t>
            </w: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Arial" w:cs="Arial" w:eastAsia="Arial" w:hAnsi="Arial"/>
                <w:sz w:val="18"/>
                <w:szCs w:val="18"/>
                <w:color w:val="auto"/>
              </w:rPr>
              <w:t>5,511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19,773</w:t>
            </w:r>
          </w:p>
        </w:tc>
        <w:tc>
          <w:tcPr>
            <w:tcW w:w="1400" w:type="dxa"/>
            <w:vAlign w:val="bottom"/>
            <w:gridSpan w:val="3"/>
          </w:tcPr>
          <w:p>
            <w:pPr>
              <w:jc w:val="right"/>
              <w:ind w:right="15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2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156"/>
              <w:spacing w:after="0"/>
              <w:rPr>
                <w:sz w:val="20"/>
                <w:szCs w:val="20"/>
                <w:color w:val="auto"/>
              </w:rPr>
            </w:pPr>
            <w:r>
              <w:rPr>
                <w:rFonts w:ascii="Arial" w:cs="Arial" w:eastAsia="Arial" w:hAnsi="Arial"/>
                <w:sz w:val="18"/>
                <w:szCs w:val="18"/>
                <w:color w:val="auto"/>
              </w:rPr>
              <w:t>167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7,266</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7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11,453</w:t>
            </w:r>
          </w:p>
        </w:tc>
        <w:tc>
          <w:tcPr>
            <w:tcW w:w="140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Impairment of capitalized software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64,148</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rPr>
              <w:t>105</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22,353</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53,755</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(2,455)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(13,414)</w:t>
            </w:r>
          </w:p>
        </w:tc>
        <w:tc>
          <w:tcPr>
            <w:tcW w:w="1400" w:type="dxa"/>
            <w:vAlign w:val="bottom"/>
            <w:gridSpan w:val="3"/>
          </w:tcPr>
          <w:p>
            <w:pPr>
              <w:jc w:val="right"/>
              <w:ind w:right="15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8"/>
                <w:szCs w:val="18"/>
                <w:color w:val="auto"/>
              </w:rPr>
              <w:t>(47)</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233</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9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c>
          <w:tcPr>
            <w:tcW w:w="10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(13,455)</w:t>
            </w:r>
          </w:p>
        </w:tc>
        <w:tc>
          <w:tcPr>
            <w:tcW w:w="100" w:type="dxa"/>
            <w:vAlign w:val="bottom"/>
            <w:tcBorders>
              <w:bottom w:val="single" w:sz="8" w:color="DBDBDB"/>
            </w:tcBorders>
          </w:tcPr>
          <w:p>
            <w:pPr>
              <w:spacing w:after="0"/>
              <w:rPr>
                <w:sz w:val="19"/>
                <w:szCs w:val="19"/>
                <w:color w:val="auto"/>
              </w:rPr>
            </w:pPr>
          </w:p>
        </w:tc>
        <w:tc>
          <w:tcPr>
            <w:tcW w:w="1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11</w:t>
            </w:r>
          </w:p>
        </w:tc>
        <w:tc>
          <w:tcPr>
            <w:tcW w:w="8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1300" w:type="dxa"/>
            <w:vAlign w:val="bottom"/>
            <w:tcBorders>
              <w:bottom w:val="single" w:sz="8" w:color="auto"/>
            </w:tcBorders>
            <w:gridSpan w:val="2"/>
            <w:shd w:val="clear" w:color="auto" w:fill="DBDBDB"/>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9"/>
                <w:szCs w:val="19"/>
                <w:color w:val="auto"/>
              </w:rPr>
            </w:pPr>
          </w:p>
        </w:tc>
        <w:tc>
          <w:tcPr>
            <w:tcW w:w="500" w:type="dxa"/>
            <w:vAlign w:val="bottom"/>
          </w:tcPr>
          <w:p>
            <w:pPr>
              <w:jc w:val="right"/>
              <w:ind w:right="304"/>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5"/>
              </w:rPr>
              <w:t>(13,472)</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1"/>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4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4680" w:type="dxa"/>
            <w:vAlign w:val="bottom"/>
            <w:gridSpan w:val="6"/>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6"/>
          </w:tcPr>
          <w:p>
            <w:pPr>
              <w:jc w:val="right"/>
              <w:ind w:right="396"/>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9"/>
          </w:tcPr>
          <w:p>
            <w:pPr>
              <w:ind w:left="6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26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DBDBDB"/>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DBDBDB"/>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DBDBDB"/>
          </w:tcPr>
          <w:p>
            <w:pPr>
              <w:spacing w:after="0"/>
              <w:rPr>
                <w:sz w:val="16"/>
                <w:szCs w:val="16"/>
                <w:color w:val="auto"/>
              </w:rPr>
            </w:pPr>
          </w:p>
        </w:tc>
        <w:tc>
          <w:tcPr>
            <w:tcW w:w="92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6</w:t>
            </w:r>
          </w:p>
        </w:tc>
        <w:tc>
          <w:tcPr>
            <w:tcW w:w="26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040" w:type="dxa"/>
            <w:vAlign w:val="bottom"/>
            <w:gridSpan w:val="3"/>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700" w:type="dxa"/>
            <w:vAlign w:val="bottom"/>
            <w:gridSpan w:val="3"/>
            <w:shd w:val="clear" w:color="auto" w:fill="DBDBDB"/>
          </w:tcPr>
          <w:p>
            <w:pPr>
              <w:jc w:val="right"/>
              <w:ind w:right="37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2,773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341</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w w:val="94"/>
              </w:rPr>
              <w:t>348</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DBDBDB"/>
            </w:tcBorders>
          </w:tcPr>
          <w:p>
            <w:pPr>
              <w:spacing w:after="0"/>
              <w:rPr>
                <w:sz w:val="16"/>
                <w:szCs w:val="16"/>
                <w:color w:val="auto"/>
              </w:rPr>
            </w:pPr>
          </w:p>
        </w:tc>
        <w:tc>
          <w:tcPr>
            <w:tcW w:w="8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13,904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1,370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auto"/>
              </w:rPr>
              <w:t>3,725</w:t>
            </w:r>
          </w:p>
        </w:tc>
        <w:tc>
          <w:tcPr>
            <w:tcW w:w="26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17,031</w:t>
            </w:r>
          </w:p>
        </w:tc>
        <w:tc>
          <w:tcPr>
            <w:tcW w:w="1040" w:type="dxa"/>
            <w:vAlign w:val="bottom"/>
            <w:gridSpan w:val="3"/>
            <w:shd w:val="clear" w:color="auto" w:fill="DBDBDB"/>
          </w:tcPr>
          <w:p>
            <w:pPr>
              <w:jc w:val="right"/>
              <w:ind w:right="70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1,154</w:t>
            </w:r>
          </w:p>
        </w:tc>
        <w:tc>
          <w:tcPr>
            <w:tcW w:w="700" w:type="dxa"/>
            <w:vAlign w:val="bottom"/>
            <w:gridSpan w:val="3"/>
            <w:shd w:val="clear" w:color="auto" w:fill="DBDBDB"/>
          </w:tcPr>
          <w:p>
            <w:pPr>
              <w:jc w:val="right"/>
              <w:ind w:right="37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2,551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right="200"/>
        <w:spacing w:after="0" w:line="260" w:lineRule="auto"/>
        <w:rPr>
          <w:sz w:val="20"/>
          <w:szCs w:val="20"/>
          <w:color w:val="auto"/>
        </w:rPr>
      </w:pPr>
      <w:r>
        <w:rPr>
          <w:rFonts w:ascii="Arial" w:cs="Arial" w:eastAsia="Arial" w:hAnsi="Arial"/>
          <w:sz w:val="14"/>
          <w:szCs w:val="14"/>
          <w:color w:val="auto"/>
        </w:rPr>
        <w:t>During the year ended December 31, 2020, we recorded compensation costs of $10.2 million related to a secondary transaction where certain employees sold shares of stock to an outside investor at a price above fair market value of the stock</w:t>
      </w:r>
      <w:r>
        <w:rPr>
          <w:rFonts w:ascii="Arial" w:cs="Arial" w:eastAsia="Arial" w:hAnsi="Arial"/>
          <w:sz w:val="17"/>
          <w:szCs w:val="17"/>
          <w:color w:val="auto"/>
        </w:rPr>
        <w:t>.</w:t>
      </w:r>
    </w:p>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5"/>
                <w:szCs w:val="15"/>
                <w:color w:val="auto"/>
              </w:rPr>
            </w:pPr>
          </w:p>
        </w:tc>
        <w:tc>
          <w:tcPr>
            <w:tcW w:w="2760" w:type="dxa"/>
            <w:vAlign w:val="bottom"/>
            <w:gridSpan w:val="4"/>
          </w:tcPr>
          <w:p>
            <w:pPr>
              <w:jc w:val="right"/>
              <w:ind w:right="550"/>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DBDBDB"/>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2021</w:t>
            </w:r>
          </w:p>
        </w:tc>
      </w:tr>
      <w:tr>
        <w:trPr>
          <w:trHeight w:val="186"/>
        </w:trPr>
        <w:tc>
          <w:tcPr>
            <w:tcW w:w="41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revenues(a)</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ind w:right="12"/>
              <w:spacing w:after="0"/>
              <w:rPr>
                <w:sz w:val="20"/>
                <w:szCs w:val="20"/>
                <w:color w:val="auto"/>
              </w:rPr>
            </w:pPr>
            <w:r>
              <w:rPr>
                <w:rFonts w:ascii="Arial" w:cs="Arial" w:eastAsia="Arial" w:hAnsi="Arial"/>
                <w:sz w:val="14"/>
                <w:szCs w:val="14"/>
                <w:color w:val="auto"/>
              </w:rPr>
              <w:t>103</w:t>
            </w:r>
          </w:p>
        </w:tc>
        <w:tc>
          <w:tcPr>
            <w:tcW w:w="8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marketing(a)</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621</w:t>
            </w:r>
          </w:p>
        </w:tc>
        <w:tc>
          <w:tcPr>
            <w:tcW w:w="8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0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4"/>
                <w:szCs w:val="14"/>
                <w:color w:val="auto"/>
              </w:rPr>
              <w:t>724</w:t>
            </w:r>
          </w:p>
        </w:tc>
        <w:tc>
          <w:tcPr>
            <w:tcW w:w="8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DBDBDB"/>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660" w:right="760" w:hanging="328"/>
        <w:spacing w:after="0" w:line="258" w:lineRule="auto"/>
        <w:tabs>
          <w:tab w:leader="none" w:pos="647"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Amortization of capitalized software is recorded to cost of revenue and selling and marketing for revenue and non-revenue generating capitalized software,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sets forth the components of our consolidated statements of operations for each of the periods presented as a percentage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42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23"/>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r>
      <w:tr>
        <w:trPr>
          <w:trHeight w:val="223"/>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71</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34</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41</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4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640" w:type="dxa"/>
            <w:vAlign w:val="bottom"/>
          </w:tcPr>
          <w:p>
            <w:pPr>
              <w:jc w:val="right"/>
              <w:ind w:right="151"/>
              <w:spacing w:after="0"/>
              <w:rPr>
                <w:sz w:val="20"/>
                <w:szCs w:val="20"/>
                <w:color w:val="auto"/>
              </w:rPr>
            </w:pPr>
            <w:r>
              <w:rPr>
                <w:rFonts w:ascii="Arial" w:cs="Arial" w:eastAsia="Arial" w:hAnsi="Arial"/>
                <w:sz w:val="18"/>
                <w:szCs w:val="18"/>
                <w:color w:val="auto"/>
              </w:rPr>
              <w:t>36</w:t>
            </w:r>
          </w:p>
        </w:tc>
      </w:tr>
      <w:tr>
        <w:trPr>
          <w:trHeight w:val="229"/>
        </w:trPr>
        <w:tc>
          <w:tcPr>
            <w:tcW w:w="5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General and administrative(1)</w:t>
            </w: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26</w:t>
            </w:r>
          </w:p>
        </w:tc>
        <w:tc>
          <w:tcPr>
            <w:tcW w:w="80" w:type="dxa"/>
            <w:vAlign w:val="bottom"/>
            <w:shd w:val="clear" w:color="auto" w:fill="DBDBDB"/>
          </w:tcPr>
          <w:p>
            <w:pPr>
              <w:spacing w:after="0"/>
              <w:rPr>
                <w:sz w:val="19"/>
                <w:szCs w:val="19"/>
                <w:color w:val="auto"/>
              </w:rPr>
            </w:pPr>
          </w:p>
        </w:tc>
        <w:tc>
          <w:tcPr>
            <w:tcW w:w="16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21</w:t>
            </w:r>
          </w:p>
        </w:tc>
      </w:tr>
      <w:tr>
        <w:trPr>
          <w:trHeight w:val="230"/>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Impairment of capitalized software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80</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98</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600" w:type="dxa"/>
            <w:vAlign w:val="bottom"/>
          </w:tcPr>
          <w:p>
            <w:pPr>
              <w:ind w:lef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600" w:type="dxa"/>
            <w:vAlign w:val="bottom"/>
          </w:tcPr>
          <w:p>
            <w:pPr>
              <w:ind w:lef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(24)</w:t>
            </w:r>
          </w:p>
        </w:tc>
      </w:tr>
      <w:tr>
        <w:trPr>
          <w:trHeight w:val="22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600" w:type="dxa"/>
            <w:vAlign w:val="bottom"/>
          </w:tcPr>
          <w:p>
            <w:pPr>
              <w:ind w:lef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9"/>
              </w:rPr>
              <w:t>(24)%</w:t>
            </w:r>
          </w:p>
        </w:tc>
      </w:tr>
      <w:tr>
        <w:trPr>
          <w:trHeight w:val="20"/>
        </w:trPr>
        <w:tc>
          <w:tcPr>
            <w:tcW w:w="4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a charge in 2020 of $10.2 million related to a secondary offering, which increased the percentage of revenue from 21% to 27%.</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$90.9 million, or 129%, to $161.7 million during the year ended December 31, 2020, from revenue of $70.8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year ended December 31, 2019. The main driver was an increase in subscription revenue of $62.7 million, primarily due to a 107% increase in the average number of paid subscribers during 2020 as compared to 2019, with the remainder of the increase driven by a change in mix of plans purchased and increased pricing. We also saw an increase in advertising revenues, primarily due to a 58% increase in DAUs during 2020 as compared to 2019, which resulted in increased advertisements served. Average revenue per DAU for our ads also increased year over year, accounting for the remainder of the increase in advertising revenues. Duolingo English Test revenue grew as well, which can at least partially be attributed to the COVID-19 pandemic with the closing of many in-person test centers, as well as the growth initiatives we have taken during 2020.</w:t>
      </w:r>
    </w:p>
    <w:p>
      <w:pPr>
        <w:spacing w:after="0" w:line="15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Revenues increased $27.2 million, or 97%, to $55.4 million during the three months ended March 31, 2021, from revenue of $28.1 million during the three months ended March 31, 2020. The main driver was an increase in subscription revenue of $17.9 million, primarily due to a 78% increase in the average number of paid subscribers during the three months ended March 31, 2021 as compared to the three months ended March 31, 2020, in addition to a change in mix of plans purchased. In addition, advertising revenues increased $4.3 million. The increase was driven by the 39% increase in DAUs during the three months ended March 31, 2021 as compared to the three months ended March 31, 2020, which resulted in increased advertisements served. Average revenue per DAU for our ads also increased period over period. These drivers each contributed approximately half of the increase in advertising revenues. Duolingo English Test revenue also increased by $4.3 million during the three months ended March 31, 2021 compared to same period a year ago, which we believe highlights the durability of the growth that began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changes in revenue: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March</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80" w:type="dxa"/>
            <w:vAlign w:val="bottom"/>
            <w:tcBorders>
              <w:bottom w:val="single" w:sz="8" w:color="DBDBDB"/>
            </w:tcBorders>
          </w:tcPr>
          <w:p>
            <w:pPr>
              <w:spacing w:after="0"/>
              <w:rPr>
                <w:sz w:val="15"/>
                <w:szCs w:val="15"/>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54,848</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117,501</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62,653</w:t>
            </w:r>
          </w:p>
        </w:tc>
        <w:tc>
          <w:tcPr>
            <w:tcW w:w="100" w:type="dxa"/>
            <w:vAlign w:val="bottom"/>
            <w:shd w:val="clear" w:color="auto" w:fill="DBDBDB"/>
          </w:tcPr>
          <w:p>
            <w:pPr>
              <w:spacing w:after="0"/>
              <w:rPr>
                <w:sz w:val="15"/>
                <w:szCs w:val="15"/>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114.2 %</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22,171</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40,055</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17,884</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80.7 %</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14,118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12,925</w:t>
            </w:r>
          </w:p>
        </w:tc>
        <w:tc>
          <w:tcPr>
            <w:tcW w:w="100" w:type="dxa"/>
            <w:vAlign w:val="bottom"/>
          </w:tcPr>
          <w:p>
            <w:pPr>
              <w:spacing w:after="0"/>
              <w:rPr>
                <w:sz w:val="16"/>
                <w:szCs w:val="16"/>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4,267</w:t>
            </w:r>
          </w:p>
        </w:tc>
        <w:tc>
          <w:tcPr>
            <w:tcW w:w="8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89"/>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Duolingo English Test</w:t>
            </w:r>
          </w:p>
        </w:tc>
        <w:tc>
          <w:tcPr>
            <w:tcW w:w="120" w:type="dxa"/>
            <w:vAlign w:val="bottom"/>
            <w:shd w:val="clear" w:color="auto" w:fill="DBDBDB"/>
          </w:tcPr>
          <w:p>
            <w:pPr>
              <w:spacing w:after="0"/>
              <w:rPr>
                <w:sz w:val="16"/>
                <w:szCs w:val="16"/>
                <w:color w:val="auto"/>
              </w:rPr>
            </w:pP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1,022</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15,155</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14,133</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1382.9</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753</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4,282</w:t>
            </w:r>
          </w:p>
        </w:tc>
        <w:tc>
          <w:tcPr>
            <w:tcW w:w="8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568.7</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1,225</w:t>
            </w:r>
          </w:p>
        </w:tc>
        <w:tc>
          <w:tcPr>
            <w:tcW w:w="100" w:type="dxa"/>
            <w:vAlign w:val="bottom"/>
            <w:tcBorders>
              <w:bottom w:val="single" w:sz="8" w:color="DBDBDB"/>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158.7</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815</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452.8</w:t>
            </w:r>
          </w:p>
        </w:tc>
        <w:tc>
          <w:tcPr>
            <w:tcW w:w="0" w:type="dxa"/>
            <w:vAlign w:val="bottom"/>
          </w:tcPr>
          <w:p>
            <w:pPr>
              <w:spacing w:after="0"/>
              <w:rPr>
                <w:sz w:val="1"/>
                <w:szCs w:val="1"/>
                <w:color w:val="auto"/>
              </w:rPr>
            </w:pPr>
          </w:p>
        </w:tc>
      </w:tr>
      <w:tr>
        <w:trPr>
          <w:trHeight w:val="203"/>
        </w:trPr>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70,760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161,696</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90,936</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128.5 %</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28,112</w:t>
            </w:r>
          </w:p>
        </w:tc>
        <w:tc>
          <w:tcPr>
            <w:tcW w:w="360" w:type="dxa"/>
            <w:vAlign w:val="bottom"/>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55,360</w:t>
            </w: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27,248</w:t>
            </w: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96.9 %</w:t>
            </w:r>
          </w:p>
        </w:tc>
        <w:tc>
          <w:tcPr>
            <w:tcW w:w="0" w:type="dxa"/>
            <w:vAlign w:val="bottom"/>
          </w:tcPr>
          <w:p>
            <w:pPr>
              <w:spacing w:after="0"/>
              <w:rPr>
                <w:sz w:val="1"/>
                <w:szCs w:val="1"/>
                <w:color w:val="auto"/>
              </w:rPr>
            </w:pPr>
          </w:p>
        </w:tc>
      </w:tr>
      <w:tr>
        <w:trPr>
          <w:trHeight w:val="20"/>
        </w:trPr>
        <w:tc>
          <w:tcPr>
            <w:tcW w:w="23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Total gross margin increased during both the year ended December 31, 2020 and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as compared to same periods in the previous year. This increase is mainly due to cost efficiencies we implemented in the Duolingo English Test, in addition to increased advertisements served to free users which positively impacted advertising margins, and reduced payment processing fees due to improved stickiness and mix.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 along with related gross margins: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15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Costs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Gross Margin</w:t>
            </w:r>
          </w:p>
        </w:tc>
      </w:tr>
      <w:tr>
        <w:trPr>
          <w:trHeight w:val="203"/>
        </w:trPr>
        <w:tc>
          <w:tcPr>
            <w:tcW w:w="174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2"/>
                <w:szCs w:val="12"/>
                <w:color w:val="auto"/>
              </w:rPr>
              <w:t xml:space="preserve">Total cost of revenues  </w:t>
            </w:r>
            <w:r>
              <w:rPr>
                <w:rFonts w:ascii="Arial" w:cs="Arial" w:eastAsia="Arial" w:hAnsi="Arial"/>
                <w:sz w:val="21"/>
                <w:szCs w:val="21"/>
                <w:color w:val="auto"/>
                <w:vertAlign w:val="superscript"/>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20,737</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70.7 %  </w:t>
            </w:r>
            <w:r>
              <w:rPr>
                <w:rFonts w:ascii="Arial" w:cs="Arial" w:eastAsia="Arial" w:hAnsi="Arial"/>
                <w:sz w:val="21"/>
                <w:szCs w:val="21"/>
                <w:color w:val="auto"/>
                <w:vertAlign w:val="superscript"/>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45,987</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71.6 %  </w:t>
            </w:r>
            <w:r>
              <w:rPr>
                <w:rFonts w:ascii="Arial" w:cs="Arial" w:eastAsia="Arial" w:hAnsi="Arial"/>
                <w:sz w:val="21"/>
                <w:szCs w:val="21"/>
                <w:color w:val="auto"/>
                <w:vertAlign w:val="superscript"/>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8,214</w:t>
            </w:r>
          </w:p>
        </w:tc>
        <w:tc>
          <w:tcPr>
            <w:tcW w:w="1660" w:type="dxa"/>
            <w:vAlign w:val="bottom"/>
            <w:gridSpan w:val="5"/>
            <w:shd w:val="clear" w:color="auto" w:fill="DBDBDB"/>
          </w:tcPr>
          <w:p>
            <w:pPr>
              <w:jc w:val="right"/>
              <w:ind w:right="120"/>
              <w:spacing w:after="0" w:line="183" w:lineRule="exact"/>
              <w:rPr>
                <w:sz w:val="20"/>
                <w:szCs w:val="20"/>
                <w:color w:val="auto"/>
              </w:rPr>
            </w:pPr>
            <w:r>
              <w:rPr>
                <w:rFonts w:ascii="Arial" w:cs="Arial" w:eastAsia="Arial" w:hAnsi="Arial"/>
                <w:sz w:val="12"/>
                <w:szCs w:val="12"/>
                <w:color w:val="auto"/>
              </w:rPr>
              <w:t xml:space="preserve">70.8 %  </w:t>
            </w:r>
            <w:r>
              <w:rPr>
                <w:rFonts w:ascii="Arial" w:cs="Arial" w:eastAsia="Arial" w:hAnsi="Arial"/>
                <w:sz w:val="21"/>
                <w:szCs w:val="21"/>
                <w:color w:val="auto"/>
                <w:vertAlign w:val="superscript"/>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15,019</w:t>
            </w:r>
          </w:p>
        </w:tc>
        <w:tc>
          <w:tcPr>
            <w:tcW w:w="13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72.9 %</w:t>
            </w:r>
          </w:p>
        </w:tc>
      </w:tr>
      <w:tr>
        <w:trPr>
          <w:trHeight w:val="20"/>
        </w:trPr>
        <w:tc>
          <w:tcPr>
            <w:tcW w:w="15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increased $21.5 million, or 68%, to $53.0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$31.6 million during the year ended December 31, 2019. Research and development also increased $13.0 million, or 135%, to $22.5 million during the three months ended March 31, 2021 from $9.6 million during the three months ended March 31, 2020. The increase in both periods is mainly attributable to an increase in employee growth and contractor costs incurred to help sustain the revenue growth.</w:t>
      </w:r>
    </w:p>
    <w:p>
      <w:pPr>
        <w:spacing w:after="0" w:line="2"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Additionally, during the three months ended March 31, 2021, we incurred costs of $3.3 million related to the tender offer we initiated in February 2021. Research and development continues to be our highest operating expense as we invest heavily in it in order to drive user engagement and customer satisfaction on our platform, which we believe helps to drive organic growth in new MAUs and DAUs, which in turn drives additional growth in, and better stickiness of, paid subscribers, as well as increased advertising opportunities from free users.</w:t>
      </w:r>
    </w:p>
    <w:p>
      <w:pPr>
        <w:spacing w:after="0" w:line="130" w:lineRule="exact"/>
        <w:rPr>
          <w:sz w:val="20"/>
          <w:szCs w:val="20"/>
          <w:color w:val="auto"/>
        </w:rPr>
      </w:pPr>
    </w:p>
    <w:p>
      <w:pPr>
        <w:jc w:val="both"/>
        <w:ind w:right="340"/>
        <w:spacing w:after="0" w:line="284"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increased $20.0 million, or 133%, to $35.0 million during the year ended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$15.0 million during the year ended December 31, 2019. While we incurred $2.0 million of additional expenses related to employee costs, the majority of the increase is due to increased spending on media and brand to support our revenue growth.</w:t>
      </w:r>
    </w:p>
    <w:p>
      <w:pPr>
        <w:spacing w:after="0" w:line="13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Sales and marketing increased $14.3 million, or 259%, to $19.8 million during the three months ended March 31, 2021 from $5.5 million during the three months ended March 31, 2020. While we incurred $5.1 million of costs related to one-time cash awards we granted to Duolingo contributors under our non-employee volunteer program, which we refer to as contributor awards, and $1.0 million of additional expenses related to employee costs, of which $0.2 million was related to the tender offer, the majority of the increase is from spending on media and brand advertising. See Note 14 to our audited consolidated financial statements and Note 2 to our unaudited interim consolidated financial statements included elsewhere in this prospectus for additional information regarding the contributor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increased $27.3 million, or 167%, to $43.7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$16.4 million during the year ended December 31, 2019. The main driver of this increase is related to increased employee related costs of $10.7 million, including costs incurred as we begin to prepare to operate as a public company. A Secondary Transaction took place in November 2020, resulting in additional stock compensation expense of $10.2 million. Additionally, we recorded $2.3 million during the year ended December 31, 2020 for estimated taxes we expect to pay related to Sales and Value Added Taxes (VAT). A further $2.9 million is related to increased facility and office related costs and $0.9 million for accounting and legal fees. While we did have a reduction of $1.5 million in meals and travel related costs due to COVID-19, the remaining increase is due to increased costs incurred to expand to our facilities footprint.</w:t>
      </w:r>
    </w:p>
    <w:p>
      <w:pPr>
        <w:spacing w:after="0" w:line="1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increased $4.2 million, or 58%, to $11.5 million during the three months ended March 31, 2021 from $7.3 million during the three months ended March 31, 2020. The main driver of this increase was related to increased employee related costs of $2.9 million, of which $1.8 million was related to the tender offer. We also incurred an additional $0.9 million of professional fees, of which $0.4 million was related to IPO and public readiness costs and $0.3 million was related to the tender offer. The expansion of the Pittsburgh office footprint resulted in another $0.3 million of expense. These increases were partially offset by a $0.4 million reduction in travel related costs due to COVID-19.</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income, net decreased $0.3 million, or 47%, to $0.3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as compared to $0.6 million during the year ended December 31, 2019. Other (expense) income, net decreased $0.3 million, or (118)%, to $41 thousand during the three months ended March 31, 2021 as compared to income of $0.2 million during the three months ended March 31, 2020. In both periods, the decrease was driven by a change in our investment policy as we moved excess cash to more conservative funds with lower interest rates beginning in early 2020. The remaining decrease is due to losses arising from translation of foreign currency transactions, whereas in the prior year period, we saw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Quarterly Results of Operations Data</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reflects, in the opinion of management, all adjustments of a normal, recurring nature that are necessary for a fair statement of the financial information presented.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 w:right="35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40" w:type="dxa"/>
            <w:vAlign w:val="bottom"/>
          </w:tcPr>
          <w:p>
            <w:pPr>
              <w:spacing w:after="0"/>
              <w:rPr>
                <w:sz w:val="8"/>
                <w:szCs w:val="8"/>
                <w:color w:val="auto"/>
              </w:rPr>
            </w:pPr>
          </w:p>
        </w:tc>
        <w:tc>
          <w:tcPr>
            <w:tcW w:w="86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112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8"/>
                <w:szCs w:val="8"/>
                <w:color w:val="auto"/>
              </w:rPr>
            </w:pPr>
          </w:p>
        </w:tc>
        <w:tc>
          <w:tcPr>
            <w:tcW w:w="900" w:type="dxa"/>
            <w:vAlign w:val="bottom"/>
            <w:gridSpan w:val="2"/>
          </w:tcPr>
          <w:p>
            <w:pPr>
              <w:ind w:left="100"/>
              <w:spacing w:after="0" w:line="102" w:lineRule="exact"/>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8"/>
                <w:szCs w:val="8"/>
                <w:color w:val="auto"/>
              </w:rPr>
            </w:pPr>
          </w:p>
        </w:tc>
        <w:tc>
          <w:tcPr>
            <w:tcW w:w="78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8"/>
                <w:szCs w:val="8"/>
                <w:color w:val="auto"/>
              </w:rPr>
            </w:pPr>
          </w:p>
        </w:tc>
        <w:tc>
          <w:tcPr>
            <w:tcW w:w="1120" w:type="dxa"/>
            <w:vAlign w:val="bottom"/>
            <w:gridSpan w:val="2"/>
          </w:tcPr>
          <w:p>
            <w:pPr>
              <w:ind w:left="60"/>
              <w:spacing w:after="0" w:line="102"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c>
          <w:tcPr>
            <w:tcW w:w="780" w:type="dxa"/>
            <w:vAlign w:val="bottom"/>
          </w:tcPr>
          <w:p>
            <w:pPr>
              <w:jc w:val="right"/>
              <w:ind w:right="158"/>
              <w:spacing w:after="0" w:line="102"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7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3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1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12,489</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15,646</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19,420</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23,205</w:t>
            </w: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28,112</w:t>
            </w: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40,011</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45,305</w:t>
            </w: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48,268</w:t>
            </w: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55,360</w:t>
            </w:r>
          </w:p>
        </w:tc>
        <w:tc>
          <w:tcPr>
            <w:tcW w:w="0" w:type="dxa"/>
            <w:vAlign w:val="bottom"/>
          </w:tcPr>
          <w:p>
            <w:pPr>
              <w:spacing w:after="0"/>
              <w:rPr>
                <w:sz w:val="1"/>
                <w:szCs w:val="1"/>
                <w:color w:val="auto"/>
              </w:rPr>
            </w:pPr>
          </w:p>
        </w:tc>
      </w:tr>
      <w:tr>
        <w:trPr>
          <w:trHeight w:val="169"/>
        </w:trPr>
        <w:tc>
          <w:tcPr>
            <w:tcW w:w="158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Total cost of revenues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3,747</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5,657</w:t>
            </w:r>
          </w:p>
        </w:tc>
        <w:tc>
          <w:tcPr>
            <w:tcW w:w="8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6,729</w:t>
            </w:r>
          </w:p>
        </w:tc>
        <w:tc>
          <w:tcPr>
            <w:tcW w:w="10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8,214</w:t>
            </w:r>
          </w:p>
        </w:tc>
        <w:tc>
          <w:tcPr>
            <w:tcW w:w="10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11,809</w:t>
            </w:r>
          </w:p>
        </w:tc>
        <w:tc>
          <w:tcPr>
            <w:tcW w:w="8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13,101</w:t>
            </w:r>
          </w:p>
        </w:tc>
        <w:tc>
          <w:tcPr>
            <w:tcW w:w="8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12,863</w:t>
            </w:r>
          </w:p>
        </w:tc>
        <w:tc>
          <w:tcPr>
            <w:tcW w:w="100" w:type="dxa"/>
            <w:vAlign w:val="bottom"/>
            <w:tcBorders>
              <w:bottom w:val="single" w:sz="8" w:color="DBDBDB"/>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15,019</w:t>
            </w:r>
          </w:p>
        </w:tc>
        <w:tc>
          <w:tcPr>
            <w:tcW w:w="0" w:type="dxa"/>
            <w:vAlign w:val="bottom"/>
          </w:tcPr>
          <w:p>
            <w:pPr>
              <w:spacing w:after="0"/>
              <w:rPr>
                <w:sz w:val="1"/>
                <w:szCs w:val="1"/>
                <w:color w:val="auto"/>
              </w:rPr>
            </w:pPr>
          </w:p>
        </w:tc>
      </w:tr>
      <w:tr>
        <w:trPr>
          <w:trHeight w:val="176"/>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8,742</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11,042</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13,763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16,476</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19,898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28,202</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32,204</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35,405</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40,341</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Research and</w:t>
            </w:r>
          </w:p>
        </w:tc>
        <w:tc>
          <w:tcPr>
            <w:tcW w:w="140" w:type="dxa"/>
            <w:vAlign w:val="bottom"/>
            <w:shd w:val="clear" w:color="auto" w:fill="DBDBDB"/>
          </w:tcPr>
          <w:p>
            <w:pPr>
              <w:spacing w:after="0"/>
              <w:rPr>
                <w:sz w:val="11"/>
                <w:szCs w:val="11"/>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6,274</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7,422</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8,598</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9,266</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9,576</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12,111</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15,894</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15,444</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22,529</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development</w:t>
            </w:r>
          </w:p>
        </w:tc>
        <w:tc>
          <w:tcPr>
            <w:tcW w:w="1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8,625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19,773</w:t>
            </w: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General and</w:t>
            </w:r>
          </w:p>
        </w:tc>
        <w:tc>
          <w:tcPr>
            <w:tcW w:w="140" w:type="dxa"/>
            <w:vAlign w:val="bottom"/>
            <w:shd w:val="clear" w:color="auto" w:fill="DBDBDB"/>
          </w:tcPr>
          <w:p>
            <w:pPr>
              <w:spacing w:after="0"/>
              <w:rPr>
                <w:sz w:val="11"/>
                <w:szCs w:val="11"/>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3,361</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3,805</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3,992</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5,213</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7,266</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7,385</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8,235</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20,827</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11,453</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administrative</w:t>
            </w:r>
          </w:p>
        </w:tc>
        <w:tc>
          <w:tcPr>
            <w:tcW w:w="140" w:type="dxa"/>
            <w:vAlign w:val="bottom"/>
            <w:shd w:val="clear" w:color="auto" w:fill="DBDBDB"/>
          </w:tcPr>
          <w:p>
            <w:pPr>
              <w:spacing w:after="0"/>
              <w:rPr>
                <w:sz w:val="14"/>
                <w:szCs w:val="14"/>
                <w:color w:val="auto"/>
              </w:rPr>
            </w:pPr>
          </w:p>
        </w:tc>
        <w:tc>
          <w:tcPr>
            <w:tcW w:w="7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80" w:type="dxa"/>
            <w:vAlign w:val="bottom"/>
          </w:tcPr>
          <w:p>
            <w:pPr>
              <w:ind w:left="360"/>
              <w:spacing w:after="0"/>
              <w:rPr>
                <w:sz w:val="20"/>
                <w:szCs w:val="20"/>
                <w:color w:val="auto"/>
              </w:rPr>
            </w:pPr>
            <w:r>
              <w:rPr>
                <w:rFonts w:ascii="Arial" w:cs="Arial" w:eastAsia="Arial" w:hAnsi="Arial"/>
                <w:sz w:val="13"/>
                <w:szCs w:val="13"/>
                <w:color w:val="auto"/>
              </w:rPr>
              <w:t>capitalized software</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tcBorders>
            <w:shd w:val="clear" w:color="auto" w:fill="DBDBDB"/>
          </w:tcPr>
          <w:p>
            <w:pPr>
              <w:spacing w:after="0"/>
              <w:rPr>
                <w:sz w:val="15"/>
                <w:szCs w:val="15"/>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12,243</w:t>
            </w: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13,965</w:t>
            </w:r>
          </w:p>
        </w:tc>
        <w:tc>
          <w:tcPr>
            <w:tcW w:w="10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16,938</w:t>
            </w:r>
          </w:p>
        </w:tc>
        <w:tc>
          <w:tcPr>
            <w:tcW w:w="8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21,002</w:t>
            </w:r>
          </w:p>
        </w:tc>
        <w:tc>
          <w:tcPr>
            <w:tcW w:w="100" w:type="dxa"/>
            <w:vAlign w:val="bottom"/>
            <w:tcBorders>
              <w:top w:val="single" w:sz="8" w:color="DBDBDB"/>
            </w:tcBorders>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spacing w:after="0"/>
              <w:rPr>
                <w:sz w:val="15"/>
                <w:szCs w:val="15"/>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22,353</w:t>
            </w: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700" w:type="dxa"/>
            <w:vAlign w:val="bottom"/>
            <w:tcBorders>
              <w:top w:val="single" w:sz="8" w:color="auto"/>
            </w:tcBorders>
            <w:shd w:val="clear" w:color="auto" w:fill="DBDBDB"/>
          </w:tcPr>
          <w:p>
            <w:pPr>
              <w:jc w:val="right"/>
              <w:ind w:right="18"/>
              <w:spacing w:after="0"/>
              <w:rPr>
                <w:sz w:val="20"/>
                <w:szCs w:val="20"/>
                <w:color w:val="auto"/>
              </w:rPr>
            </w:pPr>
            <w:r>
              <w:rPr>
                <w:rFonts w:ascii="Arial" w:cs="Arial" w:eastAsia="Arial" w:hAnsi="Arial"/>
                <w:sz w:val="13"/>
                <w:szCs w:val="13"/>
                <w:color w:val="auto"/>
              </w:rPr>
              <w:t>28,120</w:t>
            </w:r>
          </w:p>
        </w:tc>
        <w:tc>
          <w:tcPr>
            <w:tcW w:w="8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35,271</w:t>
            </w:r>
          </w:p>
        </w:tc>
        <w:tc>
          <w:tcPr>
            <w:tcW w:w="8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45,976</w:t>
            </w:r>
          </w:p>
        </w:tc>
        <w:tc>
          <w:tcPr>
            <w:tcW w:w="100" w:type="dxa"/>
            <w:vAlign w:val="bottom"/>
            <w:tcBorders>
              <w:top w:val="single" w:sz="8" w:color="DBDBDB"/>
            </w:tcBorders>
            <w:shd w:val="clear" w:color="auto" w:fill="DBDBDB"/>
          </w:tcPr>
          <w:p>
            <w:pPr>
              <w:spacing w:after="0"/>
              <w:rPr>
                <w:sz w:val="15"/>
                <w:szCs w:val="15"/>
                <w:color w:val="auto"/>
              </w:rPr>
            </w:pPr>
          </w:p>
        </w:tc>
        <w:tc>
          <w:tcPr>
            <w:tcW w:w="160" w:type="dxa"/>
            <w:vAlign w:val="bottom"/>
            <w:tcBorders>
              <w:top w:val="single" w:sz="8" w:color="auto"/>
            </w:tcBorders>
            <w:shd w:val="clear" w:color="auto" w:fill="DBDBDB"/>
          </w:tcPr>
          <w:p>
            <w:pPr>
              <w:spacing w:after="0"/>
              <w:rPr>
                <w:sz w:val="15"/>
                <w:szCs w:val="15"/>
                <w:color w:val="auto"/>
              </w:rPr>
            </w:pP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53,755</w:t>
            </w:r>
          </w:p>
        </w:tc>
        <w:tc>
          <w:tcPr>
            <w:tcW w:w="0" w:type="dxa"/>
            <w:vAlign w:val="bottom"/>
          </w:tcPr>
          <w:p>
            <w:pPr>
              <w:spacing w:after="0"/>
              <w:rPr>
                <w:sz w:val="1"/>
                <w:szCs w:val="1"/>
                <w:color w:val="auto"/>
              </w:rPr>
            </w:pPr>
          </w:p>
        </w:tc>
      </w:tr>
      <w:tr>
        <w:trPr>
          <w:trHeight w:val="168"/>
        </w:trPr>
        <w:tc>
          <w:tcPr>
            <w:tcW w:w="158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(10,571)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(13,414)</w:t>
            </w: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income, net</w:t>
            </w:r>
          </w:p>
        </w:tc>
        <w:tc>
          <w:tcPr>
            <w:tcW w:w="14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136</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w w:val="96"/>
              </w:rPr>
              <w:t>Loss before provision for</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(3,039)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(4,411)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(2,222)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(3,153)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(10,384)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(13,455)</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income taxes</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Provision for income</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ind w:right="18"/>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1"/>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taxes</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(3,039)</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(13,472)</w:t>
            </w:r>
          </w:p>
        </w:tc>
        <w:tc>
          <w:tcPr>
            <w:tcW w:w="0" w:type="dxa"/>
            <w:vAlign w:val="bottom"/>
          </w:tcPr>
          <w:p>
            <w:pPr>
              <w:spacing w:after="0"/>
              <w:rPr>
                <w:sz w:val="1"/>
                <w:szCs w:val="1"/>
                <w:color w:val="auto"/>
              </w:rPr>
            </w:pPr>
          </w:p>
        </w:tc>
      </w:tr>
      <w:tr>
        <w:trPr>
          <w:trHeight w:val="20"/>
        </w:trPr>
        <w:tc>
          <w:tcPr>
            <w:tcW w:w="15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expense, net</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Income tax provision</w:t>
            </w:r>
          </w:p>
        </w:tc>
        <w:tc>
          <w:tcPr>
            <w:tcW w:w="140" w:type="dxa"/>
            <w:vAlign w:val="bottom"/>
            <w:shd w:val="clear" w:color="auto" w:fill="DBDBDB"/>
          </w:tcPr>
          <w:p>
            <w:pPr>
              <w:spacing w:after="0"/>
              <w:rPr>
                <w:sz w:val="15"/>
                <w:szCs w:val="15"/>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ind w:right="18"/>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Depreciation and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amortization</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w w:val="97"/>
              </w:rPr>
              <w:t>IPO and public company</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1"/>
                <w:szCs w:val="11"/>
                <w:color w:val="auto"/>
              </w:rPr>
            </w:pPr>
          </w:p>
        </w:tc>
        <w:tc>
          <w:tcPr>
            <w:tcW w:w="9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68"/>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readiness costs</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0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rPr>
                <w:sz w:val="20"/>
                <w:szCs w:val="20"/>
                <w:color w:val="auto"/>
              </w:rPr>
            </w:pPr>
            <w:r>
              <w:rPr>
                <w:rFonts w:ascii="Arial" w:cs="Arial" w:eastAsia="Arial" w:hAnsi="Arial"/>
                <w:sz w:val="13"/>
                <w:szCs w:val="13"/>
                <w:color w:val="auto"/>
              </w:rPr>
              <w:t>Tender related costs</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5,599</w:t>
            </w:r>
          </w:p>
        </w:tc>
        <w:tc>
          <w:tcPr>
            <w:tcW w:w="0" w:type="dxa"/>
            <w:vAlign w:val="bottom"/>
          </w:tcPr>
          <w:p>
            <w:pPr>
              <w:spacing w:after="0"/>
              <w:rPr>
                <w:sz w:val="1"/>
                <w:szCs w:val="1"/>
                <w:color w:val="auto"/>
              </w:rPr>
            </w:pPr>
          </w:p>
        </w:tc>
      </w:tr>
      <w:tr>
        <w:trPr>
          <w:trHeight w:val="183"/>
        </w:trPr>
        <w:tc>
          <w:tcPr>
            <w:tcW w:w="15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DBDBDB"/>
          </w:tcPr>
          <w:p>
            <w:pPr>
              <w:spacing w:after="0"/>
              <w:rPr>
                <w:sz w:val="15"/>
                <w:szCs w:val="15"/>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5,098</w:t>
            </w:r>
          </w:p>
        </w:tc>
        <w:tc>
          <w:tcPr>
            <w:tcW w:w="0" w:type="dxa"/>
            <w:vAlign w:val="bottom"/>
          </w:tcPr>
          <w:p>
            <w:pPr>
              <w:spacing w:after="0"/>
              <w:rPr>
                <w:sz w:val="1"/>
                <w:szCs w:val="1"/>
                <w:color w:val="auto"/>
              </w:rPr>
            </w:pPr>
          </w:p>
        </w:tc>
      </w:tr>
      <w:tr>
        <w:trPr>
          <w:trHeight w:val="129"/>
        </w:trPr>
        <w:tc>
          <w:tcPr>
            <w:tcW w:w="1580" w:type="dxa"/>
            <w:vAlign w:val="bottom"/>
          </w:tcPr>
          <w:p>
            <w:pPr>
              <w:ind w:left="180"/>
              <w:spacing w:after="0" w:line="129" w:lineRule="exact"/>
              <w:rPr>
                <w:sz w:val="20"/>
                <w:szCs w:val="20"/>
                <w:color w:val="auto"/>
              </w:rPr>
            </w:pPr>
            <w:r>
              <w:rPr>
                <w:rFonts w:ascii="Arial" w:cs="Arial" w:eastAsia="Arial" w:hAnsi="Arial"/>
                <w:sz w:val="13"/>
                <w:szCs w:val="13"/>
                <w:color w:val="auto"/>
              </w:rPr>
              <w:t>Stock-based</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878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3"/>
                <w:szCs w:val="13"/>
                <w:color w:val="auto"/>
              </w:rPr>
              <w:t>1,682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1,682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12,513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60"/>
        </w:trPr>
        <w:tc>
          <w:tcPr>
            <w:tcW w:w="1580" w:type="dxa"/>
            <w:vAlign w:val="bottom"/>
          </w:tcPr>
          <w:p>
            <w:pPr>
              <w:ind w:left="360"/>
              <w:spacing w:after="0"/>
              <w:rPr>
                <w:sz w:val="20"/>
                <w:szCs w:val="20"/>
                <w:color w:val="auto"/>
              </w:rPr>
            </w:pPr>
            <w:r>
              <w:rPr>
                <w:rFonts w:ascii="Arial" w:cs="Arial" w:eastAsia="Arial" w:hAnsi="Arial"/>
                <w:sz w:val="13"/>
                <w:szCs w:val="13"/>
                <w:color w:val="auto"/>
              </w:rPr>
              <w:t>compensation</w:t>
            </w: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8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Impairment of</w:t>
            </w:r>
          </w:p>
        </w:tc>
        <w:tc>
          <w:tcPr>
            <w:tcW w:w="140" w:type="dxa"/>
            <w:vAlign w:val="bottom"/>
            <w:shd w:val="clear" w:color="auto" w:fill="DBDBDB"/>
          </w:tcPr>
          <w:p>
            <w:pPr>
              <w:spacing w:after="0"/>
              <w:rPr>
                <w:sz w:val="11"/>
                <w:szCs w:val="11"/>
                <w:color w:val="auto"/>
              </w:rPr>
            </w:pPr>
          </w:p>
        </w:tc>
        <w:tc>
          <w:tcPr>
            <w:tcW w:w="8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1,228</w:t>
            </w: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11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1"/>
                <w:szCs w:val="11"/>
                <w:color w:val="auto"/>
              </w:rPr>
            </w:pPr>
          </w:p>
        </w:tc>
        <w:tc>
          <w:tcPr>
            <w:tcW w:w="10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1"/>
                <w:szCs w:val="11"/>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580" w:type="dxa"/>
            <w:vAlign w:val="bottom"/>
            <w:shd w:val="clear" w:color="auto" w:fill="DBDBDB"/>
          </w:tcPr>
          <w:p>
            <w:pPr>
              <w:ind w:left="360"/>
              <w:spacing w:after="0"/>
              <w:rPr>
                <w:sz w:val="20"/>
                <w:szCs w:val="20"/>
                <w:color w:val="auto"/>
              </w:rPr>
            </w:pPr>
            <w:r>
              <w:rPr>
                <w:rFonts w:ascii="Arial" w:cs="Arial" w:eastAsia="Arial" w:hAnsi="Arial"/>
                <w:sz w:val="13"/>
                <w:szCs w:val="13"/>
                <w:color w:val="auto"/>
              </w:rPr>
              <w:t>capitalized software</w:t>
            </w:r>
          </w:p>
        </w:tc>
        <w:tc>
          <w:tcPr>
            <w:tcW w:w="140" w:type="dxa"/>
            <w:vAlign w:val="bottom"/>
            <w:shd w:val="clear" w:color="auto" w:fill="DBDBDB"/>
          </w:tcPr>
          <w:p>
            <w:pPr>
              <w:spacing w:after="0"/>
              <w:rPr>
                <w:sz w:val="14"/>
                <w:szCs w:val="14"/>
                <w:color w:val="auto"/>
              </w:rPr>
            </w:pPr>
          </w:p>
        </w:tc>
        <w:tc>
          <w:tcPr>
            <w:tcW w:w="86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0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2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2,331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sets forth our results of operations for the last eight quarterly periods presented as a percentage of our total revenues for those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5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00" w:type="dxa"/>
            <w:vAlign w:val="bottom"/>
          </w:tcPr>
          <w:p>
            <w:pPr>
              <w:spacing w:after="0"/>
              <w:rPr>
                <w:sz w:val="8"/>
                <w:szCs w:val="8"/>
                <w:color w:val="auto"/>
              </w:rPr>
            </w:pPr>
          </w:p>
        </w:tc>
        <w:tc>
          <w:tcPr>
            <w:tcW w:w="98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March 31,</w:t>
            </w:r>
          </w:p>
        </w:tc>
        <w:tc>
          <w:tcPr>
            <w:tcW w:w="88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June 30,</w:t>
            </w:r>
          </w:p>
        </w:tc>
        <w:tc>
          <w:tcPr>
            <w:tcW w:w="130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September 30,</w:t>
            </w:r>
          </w:p>
        </w:tc>
        <w:tc>
          <w:tcPr>
            <w:tcW w:w="120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December 31,</w:t>
            </w:r>
          </w:p>
        </w:tc>
        <w:tc>
          <w:tcPr>
            <w:tcW w:w="980" w:type="dxa"/>
            <w:vAlign w:val="bottom"/>
            <w:gridSpan w:val="2"/>
          </w:tcPr>
          <w:p>
            <w:pPr>
              <w:ind w:left="180"/>
              <w:spacing w:after="0" w:line="102" w:lineRule="exact"/>
              <w:rPr>
                <w:sz w:val="20"/>
                <w:szCs w:val="20"/>
                <w:color w:val="auto"/>
              </w:rPr>
            </w:pPr>
            <w:r>
              <w:rPr>
                <w:rFonts w:ascii="Arial" w:cs="Arial" w:eastAsia="Arial" w:hAnsi="Arial"/>
                <w:sz w:val="11"/>
                <w:szCs w:val="11"/>
                <w:b w:val="1"/>
                <w:bCs w:val="1"/>
                <w:color w:val="auto"/>
              </w:rPr>
              <w:t>March 31,</w:t>
            </w:r>
          </w:p>
        </w:tc>
        <w:tc>
          <w:tcPr>
            <w:tcW w:w="94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June 30,</w:t>
            </w:r>
          </w:p>
        </w:tc>
        <w:tc>
          <w:tcPr>
            <w:tcW w:w="1320" w:type="dxa"/>
            <w:vAlign w:val="bottom"/>
            <w:gridSpan w:val="2"/>
          </w:tcPr>
          <w:p>
            <w:pPr>
              <w:ind w:left="240"/>
              <w:spacing w:after="0" w:line="102" w:lineRule="exact"/>
              <w:rPr>
                <w:sz w:val="20"/>
                <w:szCs w:val="20"/>
                <w:color w:val="auto"/>
              </w:rPr>
            </w:pPr>
            <w:r>
              <w:rPr>
                <w:rFonts w:ascii="Arial" w:cs="Arial" w:eastAsia="Arial" w:hAnsi="Arial"/>
                <w:sz w:val="11"/>
                <w:szCs w:val="11"/>
                <w:b w:val="1"/>
                <w:bCs w:val="1"/>
                <w:color w:val="auto"/>
              </w:rPr>
              <w:t>September 30,</w:t>
            </w:r>
          </w:p>
        </w:tc>
        <w:tc>
          <w:tcPr>
            <w:tcW w:w="1200" w:type="dxa"/>
            <w:vAlign w:val="bottom"/>
            <w:gridSpan w:val="2"/>
          </w:tcPr>
          <w:p>
            <w:pPr>
              <w:ind w:left="200"/>
              <w:spacing w:after="0" w:line="102" w:lineRule="exact"/>
              <w:rPr>
                <w:sz w:val="20"/>
                <w:szCs w:val="20"/>
                <w:color w:val="auto"/>
              </w:rPr>
            </w:pPr>
            <w:r>
              <w:rPr>
                <w:rFonts w:ascii="Arial" w:cs="Arial" w:eastAsia="Arial" w:hAnsi="Arial"/>
                <w:sz w:val="11"/>
                <w:szCs w:val="11"/>
                <w:b w:val="1"/>
                <w:bCs w:val="1"/>
                <w:color w:val="auto"/>
              </w:rPr>
              <w:t>December 31,</w:t>
            </w:r>
          </w:p>
        </w:tc>
        <w:tc>
          <w:tcPr>
            <w:tcW w:w="940" w:type="dxa"/>
            <w:vAlign w:val="bottom"/>
          </w:tcPr>
          <w:p>
            <w:pPr>
              <w:jc w:val="right"/>
              <w:ind w:right="158"/>
              <w:spacing w:after="0" w:line="102" w:lineRule="exact"/>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880" w:type="dxa"/>
            <w:vAlign w:val="bottom"/>
          </w:tcPr>
          <w:p>
            <w:pPr>
              <w:jc w:val="right"/>
              <w:ind w:right="2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00" w:type="dxa"/>
            <w:vAlign w:val="bottom"/>
          </w:tcPr>
          <w:p>
            <w:pPr>
              <w:jc w:val="right"/>
              <w:ind w:right="2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220" w:type="dxa"/>
            <w:vAlign w:val="bottom"/>
          </w:tcPr>
          <w:p>
            <w:pPr>
              <w:jc w:val="right"/>
              <w:ind w:right="418"/>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1100" w:type="dxa"/>
            <w:vAlign w:val="bottom"/>
          </w:tcPr>
          <w:p>
            <w:pPr>
              <w:jc w:val="right"/>
              <w:ind w:right="35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880" w:type="dxa"/>
            <w:vAlign w:val="bottom"/>
          </w:tcPr>
          <w:p>
            <w:pPr>
              <w:jc w:val="right"/>
              <w:ind w:right="25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840" w:type="dxa"/>
            <w:vAlign w:val="bottom"/>
          </w:tcPr>
          <w:p>
            <w:pPr>
              <w:jc w:val="right"/>
              <w:ind w:right="23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220" w:type="dxa"/>
            <w:vAlign w:val="bottom"/>
          </w:tcPr>
          <w:p>
            <w:pPr>
              <w:jc w:val="right"/>
              <w:ind w:right="41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1100" w:type="dxa"/>
            <w:vAlign w:val="bottom"/>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940" w:type="dxa"/>
            <w:vAlign w:val="bottom"/>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0"/>
        </w:trPr>
        <w:tc>
          <w:tcPr>
            <w:tcW w:w="15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Total revenues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Total cost of revenues</w:t>
            </w:r>
          </w:p>
        </w:tc>
        <w:tc>
          <w:tcPr>
            <w:tcW w:w="88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83"/>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Gross profit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71 %</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Research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50 %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47 %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44 %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40 %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34 %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30 %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35 %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development</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880" w:type="dxa"/>
            <w:vAlign w:val="bottom"/>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22 %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23 %</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General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27 %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24 %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22 %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18 %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43 %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administrative</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w w:val="98"/>
              </w:rPr>
              <w:t>capitalized software</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w w:val="99"/>
              </w:rPr>
              <w:t>Total operating expenses</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87 %</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91 %</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80 %</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78 %</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97 %</w:t>
            </w: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8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3"/>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Other income, net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Loss before provision</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rPr>
              <w:t>for income taxes</w:t>
            </w: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Provision for income</w:t>
            </w: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taxes</w:t>
            </w:r>
          </w:p>
        </w:tc>
        <w:tc>
          <w:tcPr>
            <w:tcW w:w="980" w:type="dxa"/>
            <w:vAlign w:val="bottom"/>
            <w:gridSpan w:val="2"/>
            <w:vMerge w:val="continue"/>
            <w:shd w:val="clear" w:color="auto" w:fill="DBDBDB"/>
          </w:tcPr>
          <w:p>
            <w:pPr>
              <w:spacing w:after="0"/>
              <w:rPr>
                <w:sz w:val="14"/>
                <w:szCs w:val="14"/>
                <w:color w:val="auto"/>
              </w:rPr>
            </w:pPr>
          </w:p>
        </w:tc>
        <w:tc>
          <w:tcPr>
            <w:tcW w:w="880" w:type="dxa"/>
            <w:vAlign w:val="bottom"/>
            <w:gridSpan w:val="2"/>
            <w:vMerge w:val="continue"/>
            <w:shd w:val="clear" w:color="auto" w:fill="DBDBDB"/>
          </w:tcPr>
          <w:p>
            <w:pPr>
              <w:spacing w:after="0"/>
              <w:rPr>
                <w:sz w:val="14"/>
                <w:szCs w:val="14"/>
                <w:color w:val="auto"/>
              </w:rPr>
            </w:pPr>
          </w:p>
        </w:tc>
        <w:tc>
          <w:tcPr>
            <w:tcW w:w="130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940" w:type="dxa"/>
            <w:vAlign w:val="bottom"/>
            <w:gridSpan w:val="2"/>
            <w:vMerge w:val="continue"/>
            <w:shd w:val="clear" w:color="auto" w:fill="DBDBDB"/>
          </w:tcPr>
          <w:p>
            <w:pPr>
              <w:spacing w:after="0"/>
              <w:rPr>
                <w:sz w:val="14"/>
                <w:szCs w:val="14"/>
                <w:color w:val="auto"/>
              </w:rPr>
            </w:pPr>
          </w:p>
        </w:tc>
        <w:tc>
          <w:tcPr>
            <w:tcW w:w="132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Interest (income)</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DBDBDB"/>
          </w:tcPr>
          <w:p>
            <w:pPr>
              <w:spacing w:after="0"/>
              <w:rPr>
                <w:sz w:val="11"/>
                <w:szCs w:val="11"/>
                <w:color w:val="auto"/>
              </w:rPr>
            </w:pPr>
          </w:p>
        </w:tc>
        <w:tc>
          <w:tcPr>
            <w:tcW w:w="9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expense, net</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gridSpan w:val="2"/>
            <w:vMerge w:val="continue"/>
            <w:shd w:val="clear" w:color="auto" w:fill="DBDBDB"/>
          </w:tcPr>
          <w:p>
            <w:pPr>
              <w:spacing w:after="0"/>
              <w:rPr>
                <w:sz w:val="14"/>
                <w:szCs w:val="14"/>
                <w:color w:val="auto"/>
              </w:rPr>
            </w:pPr>
          </w:p>
        </w:tc>
        <w:tc>
          <w:tcPr>
            <w:tcW w:w="1320" w:type="dxa"/>
            <w:vAlign w:val="bottom"/>
            <w:gridSpan w:val="2"/>
            <w:vMerge w:val="continue"/>
            <w:shd w:val="clear" w:color="auto" w:fill="DBDBDB"/>
          </w:tcPr>
          <w:p>
            <w:pPr>
              <w:spacing w:after="0"/>
              <w:rPr>
                <w:sz w:val="14"/>
                <w:szCs w:val="14"/>
                <w:color w:val="auto"/>
              </w:rPr>
            </w:pPr>
          </w:p>
        </w:tc>
        <w:tc>
          <w:tcPr>
            <w:tcW w:w="1200" w:type="dxa"/>
            <w:vAlign w:val="bottom"/>
            <w:gridSpan w:val="2"/>
            <w:vMerge w:val="continue"/>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rPr>
                <w:sz w:val="20"/>
                <w:szCs w:val="20"/>
                <w:color w:val="auto"/>
              </w:rPr>
            </w:pPr>
            <w:r>
              <w:rPr>
                <w:rFonts w:ascii="Arial" w:cs="Arial" w:eastAsia="Arial" w:hAnsi="Arial"/>
                <w:sz w:val="13"/>
                <w:szCs w:val="13"/>
                <w:color w:val="auto"/>
              </w:rPr>
              <w:t>Income tax provision</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Depreciation and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3 %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amortization</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IPO and public</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00" w:type="dxa"/>
            <w:vAlign w:val="bottom"/>
          </w:tcPr>
          <w:p>
            <w:pPr>
              <w:ind w:left="360"/>
              <w:spacing w:after="0" w:line="122" w:lineRule="exact"/>
              <w:rPr>
                <w:sz w:val="20"/>
                <w:szCs w:val="20"/>
                <w:color w:val="auto"/>
              </w:rPr>
            </w:pPr>
            <w:r>
              <w:rPr>
                <w:rFonts w:ascii="Arial" w:cs="Arial" w:eastAsia="Arial" w:hAnsi="Arial"/>
                <w:sz w:val="13"/>
                <w:szCs w:val="13"/>
                <w:color w:val="auto"/>
                <w:w w:val="99"/>
              </w:rPr>
              <w:t>company readiness</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rPr>
              <w:t>costs</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DBDBDB"/>
          </w:tcPr>
          <w:p>
            <w:pPr>
              <w:ind w:left="180"/>
              <w:spacing w:after="0"/>
              <w:rPr>
                <w:sz w:val="20"/>
                <w:szCs w:val="20"/>
                <w:color w:val="auto"/>
              </w:rPr>
            </w:pPr>
            <w:r>
              <w:rPr>
                <w:rFonts w:ascii="Arial" w:cs="Arial" w:eastAsia="Arial" w:hAnsi="Arial"/>
                <w:sz w:val="13"/>
                <w:szCs w:val="13"/>
                <w:color w:val="auto"/>
              </w:rPr>
              <w:t>Tender related costs</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shd w:val="clear" w:color="auto" w:fill="DBDBDB"/>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67"/>
        </w:trPr>
        <w:tc>
          <w:tcPr>
            <w:tcW w:w="1500" w:type="dxa"/>
            <w:vAlign w:val="bottom"/>
          </w:tcPr>
          <w:p>
            <w:pPr>
              <w:ind w:left="180"/>
              <w:spacing w:after="0"/>
              <w:rPr>
                <w:sz w:val="20"/>
                <w:szCs w:val="20"/>
                <w:color w:val="auto"/>
              </w:rPr>
            </w:pPr>
            <w:r>
              <w:rPr>
                <w:rFonts w:ascii="Arial" w:cs="Arial" w:eastAsia="Arial" w:hAnsi="Arial"/>
                <w:sz w:val="13"/>
                <w:szCs w:val="13"/>
                <w:color w:val="auto"/>
              </w:rPr>
              <w:t>Other</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37"/>
        </w:trPr>
        <w:tc>
          <w:tcPr>
            <w:tcW w:w="1500" w:type="dxa"/>
            <w:vAlign w:val="bottom"/>
            <w:shd w:val="clear" w:color="auto" w:fill="DBDBDB"/>
          </w:tcPr>
          <w:p>
            <w:pPr>
              <w:ind w:left="180"/>
              <w:spacing w:after="0" w:line="137" w:lineRule="exact"/>
              <w:rPr>
                <w:sz w:val="20"/>
                <w:szCs w:val="20"/>
                <w:color w:val="auto"/>
              </w:rPr>
            </w:pPr>
            <w:r>
              <w:rPr>
                <w:rFonts w:ascii="Arial" w:cs="Arial" w:eastAsia="Arial" w:hAnsi="Arial"/>
                <w:sz w:val="13"/>
                <w:szCs w:val="13"/>
                <w:color w:val="auto"/>
              </w:rPr>
              <w:t>Stock-based</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1"/>
                <w:szCs w:val="11"/>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8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DBDBDB"/>
          </w:tcPr>
          <w:p>
            <w:pPr>
              <w:spacing w:after="0"/>
              <w:rPr>
                <w:sz w:val="11"/>
                <w:szCs w:val="11"/>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12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4 %</w:t>
            </w:r>
          </w:p>
        </w:tc>
        <w:tc>
          <w:tcPr>
            <w:tcW w:w="1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26 %</w:t>
            </w:r>
          </w:p>
        </w:tc>
        <w:tc>
          <w:tcPr>
            <w:tcW w:w="100" w:type="dxa"/>
            <w:vAlign w:val="bottom"/>
            <w:shd w:val="clear" w:color="auto" w:fill="DBDBDB"/>
          </w:tcPr>
          <w:p>
            <w:pPr>
              <w:spacing w:after="0"/>
              <w:rPr>
                <w:sz w:val="11"/>
                <w:szCs w:val="11"/>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68"/>
        </w:trPr>
        <w:tc>
          <w:tcPr>
            <w:tcW w:w="1500" w:type="dxa"/>
            <w:vAlign w:val="bottom"/>
            <w:shd w:val="clear" w:color="auto" w:fill="DBDBDB"/>
          </w:tcPr>
          <w:p>
            <w:pPr>
              <w:ind w:left="360"/>
              <w:spacing w:after="0"/>
              <w:rPr>
                <w:sz w:val="20"/>
                <w:szCs w:val="20"/>
                <w:color w:val="auto"/>
              </w:rPr>
            </w:pPr>
            <w:r>
              <w:rPr>
                <w:rFonts w:ascii="Arial" w:cs="Arial" w:eastAsia="Arial" w:hAnsi="Arial"/>
                <w:sz w:val="13"/>
                <w:szCs w:val="13"/>
                <w:color w:val="auto"/>
              </w:rPr>
              <w:t>compensation</w:t>
            </w: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80"/>
              <w:spacing w:after="0" w:line="129" w:lineRule="exact"/>
              <w:rPr>
                <w:sz w:val="20"/>
                <w:szCs w:val="20"/>
                <w:color w:val="auto"/>
              </w:rPr>
            </w:pPr>
            <w:r>
              <w:rPr>
                <w:rFonts w:ascii="Arial" w:cs="Arial" w:eastAsia="Arial" w:hAnsi="Arial"/>
                <w:sz w:val="13"/>
                <w:szCs w:val="13"/>
                <w:color w:val="auto"/>
              </w:rPr>
              <w:t>Impairment of</w:t>
            </w: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5 %</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 %</w:t>
            </w: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0"/>
        </w:trPr>
        <w:tc>
          <w:tcPr>
            <w:tcW w:w="1500" w:type="dxa"/>
            <w:vAlign w:val="bottom"/>
          </w:tcPr>
          <w:p>
            <w:pPr>
              <w:ind w:left="360"/>
              <w:spacing w:after="0"/>
              <w:rPr>
                <w:sz w:val="20"/>
                <w:szCs w:val="20"/>
                <w:color w:val="auto"/>
              </w:rPr>
            </w:pPr>
            <w:r>
              <w:rPr>
                <w:rFonts w:ascii="Arial" w:cs="Arial" w:eastAsia="Arial" w:hAnsi="Arial"/>
                <w:sz w:val="13"/>
                <w:szCs w:val="13"/>
                <w:color w:val="auto"/>
                <w:w w:val="98"/>
              </w:rPr>
              <w:t>capitalized software</w:t>
            </w:r>
          </w:p>
        </w:tc>
        <w:tc>
          <w:tcPr>
            <w:tcW w:w="9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DBDBDB"/>
          </w:tcPr>
          <w:p>
            <w:pPr>
              <w:ind w:left="20"/>
              <w:spacing w:after="0"/>
              <w:rPr>
                <w:sz w:val="20"/>
                <w:szCs w:val="20"/>
                <w:color w:val="auto"/>
              </w:rPr>
            </w:pPr>
            <w:r>
              <w:rPr>
                <w:rFonts w:ascii="Arial" w:cs="Arial" w:eastAsia="Arial" w:hAnsi="Arial"/>
                <w:sz w:val="13"/>
                <w:szCs w:val="13"/>
                <w:color w:val="auto"/>
              </w:rPr>
              <w:t>Adjusted EBITDA</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5"/>
                <w:szCs w:val="15"/>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6 %</w:t>
            </w:r>
          </w:p>
        </w:tc>
        <w:tc>
          <w:tcPr>
            <w:tcW w:w="1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inception, we have financed operations primarily through revenues from our operations and the net proceeds we have received from the issuance of equity and debt securities. We have raised a total of $183.3 million in capital financing, less issuance costs of $0.7 million.</w:t>
      </w:r>
    </w:p>
    <w:p>
      <w:pPr>
        <w:spacing w:after="0" w:line="14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As of March 31, 2021 we had $117.5 million in cash and cash equivalents. Our cash and cash equivalents primarily consist of bank deposits and money market funds. Our marketable securities consist of commercial debt, certificates of deposit, US government treasury and agency securities, and commercial paper.</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capital requirements will depend on many factors, including our subscription growth rate and renewal activity, the timing of cash received from our payment-processing platforms, the expansion of our sales and marketing activities, the introduction of new products, and the improvements to existing products. We may be required to seek additional capital.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substantial source of our cash from operations is from amounts paid by our subscription users, which is included in the liabilities section of our condensed consolidated balance sheet. Deferred revenue consists of the unearned portion of customer billings, which is recognized as revenue in accordance with our revenue recognition policy. As of March 31, 2021, we had deferred revenue of $65.3 million, which is recorded as a current liability and expected to be recognized as revenue in the next 12 months, provided all other revenue recognition criteria have been met.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DBDBDB"/>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4"/>
              <w:spacing w:after="0"/>
              <w:rPr>
                <w:sz w:val="20"/>
                <w:szCs w:val="20"/>
                <w:color w:val="auto"/>
              </w:rPr>
            </w:pPr>
            <w:r>
              <w:rPr>
                <w:rFonts w:ascii="Arial" w:cs="Arial" w:eastAsia="Arial" w:hAnsi="Arial"/>
                <w:sz w:val="18"/>
                <w:szCs w:val="18"/>
                <w:color w:val="auto"/>
                <w:w w:val="97"/>
              </w:rPr>
              <w:t>5,123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494"/>
              <w:spacing w:after="0"/>
              <w:rPr>
                <w:sz w:val="20"/>
                <w:szCs w:val="20"/>
                <w:color w:val="auto"/>
              </w:rPr>
            </w:pPr>
            <w:r>
              <w:rPr>
                <w:rFonts w:ascii="Arial" w:cs="Arial" w:eastAsia="Arial" w:hAnsi="Arial"/>
                <w:sz w:val="18"/>
                <w:szCs w:val="18"/>
                <w:color w:val="auto"/>
              </w:rPr>
              <w:t>(1,778)</w:t>
            </w: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46,953</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center"/>
              <w:ind w:left="494"/>
              <w:spacing w:after="0"/>
              <w:rPr>
                <w:sz w:val="20"/>
                <w:szCs w:val="20"/>
                <w:color w:val="auto"/>
              </w:rPr>
            </w:pPr>
            <w:r>
              <w:rPr>
                <w:rFonts w:ascii="Arial" w:cs="Arial" w:eastAsia="Arial" w:hAnsi="Arial"/>
                <w:sz w:val="18"/>
                <w:szCs w:val="18"/>
                <w:color w:val="auto"/>
              </w:rPr>
              <w:t>(6,376)</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8"/>
                <w:szCs w:val="18"/>
                <w:color w:val="auto"/>
              </w:rPr>
              <w:t>(3,031)</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provided by operating activities for the year ended December 31, 2020 increased by $15.6 million, or 723%, from $2.2 million for the year ended December 31, 2019 to $17.7 million for the year ended December 31, 2020. This increase is due mainly to: an increase in cash received from users for subscriptions, resulting in an increase to deferred revenue; an increase in the non-cash charges from stock compensation expense, depreciation and amortization; an increase in accrued expenses; and a reduction in the non-current assets and liabilities. These increases were partially offset by an increase in accounts receivable and other current assets and liabilities; an increase in deferred costs of revenues; and a decrease in accounts payable.</w:t>
      </w:r>
    </w:p>
    <w:p>
      <w:pPr>
        <w:spacing w:after="0" w:line="152"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Cash provided by operating activities for the three months ended March 31, 2021 increased by $0.4 million, or 9%, from $4.7 million for the three months ended March 31, 2020 to $5.1 million for the three months ended March 31, 2021. The main drivers of the increase were accrued expenses and other current liabilities, accounts payable, prepaid expenses and other current assets, deferred revenue and stock-based compensation expense. These increases were partially offset by an increase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Cash provided by (used in) investing activities was $4.0 million for the year ended December 31, 2020, as compared to $2.4 million in cash provided from investing activities for the year ended December 31, 2019. During the prior year, the maturity of an investment resulted in a source of cash of $7.7 million. The capitalization of software development costs and capital expenditures to purchase property and equipment to support office space and site operations decreased by $1.2 million from period to period.</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Cash used in investing activities was $1.8 million for the three months ended March 31, 2021, as compared to a use of $1.7 million for the three months ended March 31, 2020. The slight increase is due to increased capitalized software, partially offset by a reduction in spending on property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Cash provided by financing activities for the year ended December 31, 2020 was $47.0 million, and primarily relates to the net proceeds from the issuance of convertible preferred stock of $44.9 million, in addition to proceeds from exercises of stock options of $2.0 million. Cash provided by financing activities for the year ended December 31, 2019 was $31.0 million and was mostly the result of net proceeds from the issuance of convertible preferred stock.</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Cash used by financing activities for the three months ended March 31, 2021 was $6.4 million, and was driven by payments made as a result of the tender offer of $8.2 million. These payments were partially offset by proceeds from the exercise of stock options of $2.0 million. Cash provided by financing activities for the three months ended March 31, 2020 was $0.3 million and was almost entirely from proceeds from exercises of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March 31, 2021, of our $117.5 million of cash and cash equivalents, $104.1 million was invested in money market funds. Our cash and cash equivalents are held for working capital purposes in addition to future investments in our products. We do not enter into investments for trading or speculative purposes. Our investments are exposed to market risk due to a fluctuation in interest rates, which may affect our interest income and the fair market value of our investments. As of March 31, 2021, a hypothetical 10% relative change in interest rates would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United States and China.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enter into long-term obligations in the normal course of business related to our non-cancelable operating leases for our offices.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contractual cash obligations over the next several periods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40" w:type="dxa"/>
            <w:vAlign w:val="bottom"/>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 thousands)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 years</w:t>
            </w:r>
          </w:p>
        </w:tc>
        <w:tc>
          <w:tcPr>
            <w:tcW w:w="20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 years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commitments</w:t>
            </w: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5,876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i w:val="1"/>
          <w:iCs w:val="1"/>
          <w:color w:val="auto"/>
        </w:rPr>
        <w:t>The preparation of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Consolidated Financial Statements are prepared. Actual results may differ from these estimates under different assumptions and conditions.</w:t>
      </w:r>
    </w:p>
    <w:p>
      <w:pPr>
        <w:spacing w:after="0" w:line="13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i w:val="1"/>
          <w:iCs w:val="1"/>
          <w:color w:val="auto"/>
        </w:rPr>
        <w:t>Management evaluated the development and selection of its critical accounting policies and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Revenue</w:t>
      </w:r>
    </w:p>
    <w:p>
      <w:pPr>
        <w:spacing w:after="0" w:line="18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 xml:space="preserve">We account for revenue contracts with customers by applying the five step model in Accounting Standards Codification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Our predominant sources of revenue are time-based subscriptions, in-app advertising placement by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the Duolingo English Test. Revenue is recognized upon transfer of control of promised goods or services to customers in an amount that reflects the consideration expected to be received in exchange for those goods or services. Revenue is recognized net of any taxes collected from customers, which are subsequently remitted to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we consider the service to be a single performance obligation for the online and offline content.</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enter into arrangements with advertising networks to monetize the in-app advertising inventory. Revenue from in-app advertising placement is recognized at a point in time when the advertisement is placed and is based upon the amount received.</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We defer revenue from all tests that have not been proctored nor expired.</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users have the option to purchase consumable in-app virtual goods. We recognize revenue over the period in which the user consumes the virtual good, which is generally within a month.</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We make our application available to be downloaded through third -party digital distribution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Users who purchase subscriptions also pay through the respective app stores. We evaluate the purchases via third-party payment processors to determine whether its revenues should be reported gross or net of fees retained by the payment processor. We are the principal in the transaction with the end user as a result of controlling, hosting, and integrating the delivery of the virtual items to the end user. We record revenue gross as a principal and record fees paid to third-party payment processors as Cost of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 Around Revenue Arrangements with Multiple Deliverables</w:t>
      </w:r>
    </w:p>
    <w:p>
      <w:pPr>
        <w:spacing w:after="0" w:line="2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Determining whether products and services are considered distinct performance obligations that should be accounted for separately versus together may require significant judgment. Our time-based subscriptions allow users the ability to download limited content offline. Significant judgment is required to determine whether this offline content should be considered distinct and accounted for separately, or not distinct and accounted for together with the online functionality provided and recognized over time. As there is a significant level of integration and interdependency with the online functionality, which is not the case with the offline functionality, we believe we have a single performance obligation for the online functionality and offline content.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follow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account for our equity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ASC 718 requires all stock-based payments to employees, including grants of employee stock options, to be recognized in the income statement based on their fair values. We generally grant our option awards in a combination of service-based and performance-based. We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different amounts of equity based compensation expense. Furthermore, if different assumptions are used in future periods, our equity based compensation expense could be materially impacted in the future.</w:t>
      </w:r>
    </w:p>
    <w:p>
      <w:pPr>
        <w:spacing w:after="0" w:line="14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Prior to the completion of this offering,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 Subsequent to the completion of this offering, we will transition to utilize the closing price of our publicly-traded stock to determine our volatility. We determined the expected life of our options using the simplified method described in the SEC Staff Accounting Bulletin Topic 14, Share-Based Payment, which defines the expected life as the average of the contractual term and the vesting period. The risk-free interest rate is based on the yield curve of a zero-coupon US Treasury bond on the date the option award was granted with a maturity equal to the expected term of the option award. We have not and do not expect to pay dividends on our common shares. See Note 9, “Stock Based Compensation,” to our consolidated financial statements appearing elsewhere in this prospectus, for further information on equity based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03"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We began to grant RSUs in November 2020. The fair value of RSUs is estimated based on the fair value of our common stock on the date of grant. Each RSU award vests based upon the satisfaction, during the term of the RSUs, of two requirements: length of service and a liquidity event defined as a change in control or a qualified IPO. The service-based vesting condition for the majority of these awards is satisfied over four years. The liquidity-based vesting condition is satisfied upon the occurrence of a qualifying liquidity event. We measure and recognize compensation expense for all stock-based awards based on the estimated fair value of the award. As of December 31, 2020, no stock-based compensation expense had been recognized for RSUs because the liquidity-based vesting condition had not been probable of being satisfied. In the period in which our liquidity-based vesting condition becomes probable, we will begin recording stock-based compensation expense for these RSUs with a liquidity-based vesting condition using the accelerated attribution method, net of forfeitures, based on the grant-date fair value of the RSUs.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Determining the fair value of our common stock requires complex and subjective judgment and estimates. There is inherent uncertainty in making these judgments and estimates. The absence of an active market for our common stock required our board of directors to estimate the fair value of the common stock for purpose of setting the exercise price of the options and estimating the fair value of the common stock at the time options were granted based on factors such as valuations of comparable companies, the status of our development and sales efforts, revenue growth, and additional objective and subjective factors relating to our business. We performed its analysis in accordance with applicable elements of the practice aid issued by the American Institute of Certified Public Accountants’ (AICPA) Practice Guide, Valuation of Privately Held Company Equity Securities Issued as Compensation; with this guidance, our board of directors exercised reasonable judgment and considered numerous and subjective factors to determine the best estimate of fair value of our common stock, including the following: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Specific Factors</w:t>
      </w:r>
    </w:p>
    <w:p>
      <w:pPr>
        <w:spacing w:after="0" w:line="17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and forecasted operating and financial performance based on management’s estimate;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development and maintenance of client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Client and industry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71" w:lineRule="exact"/>
        <w:rPr>
          <w:rFonts w:ascii="Arial" w:cs="Arial" w:eastAsia="Arial" w:hAnsi="Arial"/>
          <w:sz w:val="18"/>
          <w:szCs w:val="18"/>
          <w:color w:val="auto"/>
        </w:rPr>
      </w:pPr>
    </w:p>
    <w:p>
      <w:pPr>
        <w:ind w:right="5840" w:firstLine="332"/>
        <w:spacing w:after="0" w:line="446" w:lineRule="auto"/>
        <w:tabs>
          <w:tab w:leader="none" w:pos="6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historical lack of a public market for our common stock; </w:t>
      </w:r>
      <w:r>
        <w:rPr>
          <w:rFonts w:ascii="Arial" w:cs="Arial" w:eastAsia="Arial" w:hAnsi="Arial"/>
          <w:sz w:val="18"/>
          <w:szCs w:val="18"/>
          <w:u w:val="single" w:color="auto"/>
          <w:color w:val="auto"/>
        </w:rPr>
        <w:t>General Economic Factors</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Industry trends and competitive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Trends in client and the at-large public spending, including client and public confidence;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economic indicators;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general economic outlook; and</w:t>
      </w:r>
    </w:p>
    <w:p>
      <w:pPr>
        <w:spacing w:after="0" w:line="171"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common stock valuations have historically leveraged the historical appraisals we have received to value our common stock, utilizing an income approach.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Deferred tax assets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 As of December 31, 2020, we maintained a valuation allowance of approximately $26.2 million against certain deferred tax assets related to both domestic and foreign net operating loss carryforwards, and state R&amp;D credit carryovers as its future utilization remained uncertain.</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our consolidated financial statements included elsewhere in this prospectus for more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an “emerging growth company” as defined under the JOBS Act. Under the JOBS Act, emerging growth companies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 w:right="339" w:bottom="1440"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for the first time in history,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team of over 400 passionate employees, including more than 170 engineers, aims to build the most sophisticated education platform in the world. We believe that by using modern technology, the very best engineering talent, and a mission-driven approach, we can create better learning experiences and meaningful improvements in efficacy. Our products are powered by sophisticated data analytics and artificial intelligence that make it easier for learners to stay motivated, master new material, and achieve their learning goals.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is the leading mobile learning platform globally. With over 500 million downloads, our flagship app has organically become the world’s most popular way to learn languages and the top-grossing app in the Education category on both Google Play and the Apple App Store. For many, Duolingo has become synonymous with language learning: for example, on Google, people search the term “Duolingo” nine times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According to HolonIQ, 1.8 billion people across the world are learning a new language, and in 2019, consumer spend on both online and offline language learning represented a $61 billion market. Driving much of the demand for language learning is the reality that English can unlock tremendous economic opportunity. According to the World Economic Forum, job seekers around the world with exceptional English skills can expect to earn 30-50% higher salaries than their peers with average English ability. And the power of language learning is not limited to economic advancement. Learning another language can unlock new experiences and deep human connections, ranging from navigating a first trip to another country, to communicating with family members of an older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144" w:right="35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Duolingo offers courses in 40 languages to approximately 40 million monthly active users. To put our scale in context, there are more people in the United States learning languages on Duolingo than there are foreign language learners in all US high schools combined, and there are more people learning certain languages on Duolingo, like Irish and Hawaiian, than there are native speakers of those languages worldwide.</w:t>
      </w:r>
    </w:p>
    <w:p>
      <w:pPr>
        <w:spacing w:after="0" w:line="14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Indeed, our brand has become part of pop culture, appearing in internet memes and sketches on late night comedy shows. All of this has allowed us to grow our business organically, primarily relying on word-of-mouth virality rather than paid user acquisition.</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millions of learners complete over 500 million exercises every day, creating what we believe to be the world's largest learning dataset. This data powers the high volume A/B testing and novel artificial intelligence (AI) that we use to continually improve how well we teach. According to an internal study, people who complete five “Units” of Duolingo, or roughly half of one of our courses, learn as much as students taking four university semesters of language education—and they do so in half the time.</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Duolingo Plus, our premium subscription, enjoy an ad-free experience and access to additional features. As of March 31, 2021, approximately 5% of our monthly active users were paid subscribers of Duolingo Plus. Our paid subscriber penetration has increased steadily since we launched Duolingo Plus in 2017 and, combined with our user growth, has led to our revenue more than doubling every year since. We have a strong future roadmap of feature improvements and optimizations, and believe we are in the early stages of increasing our paid subscriber penetration.</w:t>
      </w:r>
    </w:p>
    <w:p>
      <w:pPr>
        <w:spacing w:after="0" w:line="15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freemium business model is core to our success because it enables significant user scale. Our growth and competitive differentiation have been driven by two mutually-reinforcing flywheels: our learning flywheel and our investment flywheel.</w:t>
      </w:r>
    </w:p>
    <w:p>
      <w:pPr>
        <w:spacing w:after="0" w:line="108" w:lineRule="exact"/>
        <w:rPr>
          <w:sz w:val="20"/>
          <w:szCs w:val="20"/>
          <w:color w:val="auto"/>
        </w:rPr>
      </w:pPr>
    </w:p>
    <w:p>
      <w:pPr>
        <w:ind w:left="660" w:right="280" w:hanging="328"/>
        <w:spacing w:after="0" w:line="268"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analytics to improve both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and efficacy. The more engaging our products are, and the more effectively we teach, the more our learners tell their friends about Duolingo and the more we continue to grow our learner base.</w:t>
      </w:r>
    </w:p>
    <w:p>
      <w:pPr>
        <w:spacing w:after="0" w:line="116"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Investment flywheel: </w:t>
      </w:r>
      <w:r>
        <w:rPr>
          <w:rFonts w:ascii="Arial" w:cs="Arial" w:eastAsia="Arial" w:hAnsi="Arial"/>
          <w:sz w:val="17"/>
          <w:szCs w:val="17"/>
          <w:color w:val="auto"/>
        </w:rPr>
        <w:t>Our learner scale and word-of-mouth growth allow us to focus our capital investments on product innovation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 analytics, as opposed to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further widening our competitive moat.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 w:right="35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1077595</wp:posOffset>
            </wp:positionV>
            <wp:extent cx="5349240" cy="258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2016, we launched our second product,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successful completion of these high stakes assessments. As of June 2021, over 3,000 higher education programs around the world accept Duolingo English Test results as proof of English proficiency for international student admissions. These include 17 of the top 20 undergraduate programs in the United States according to US News and World Report—for example, Yale, Stanford, MIT, Duke and Columbia. In 2020, roughly 344,000 individual Duolingo English Tests were purchased, mostly by prospective international students.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we are just getting started. As the language learning market continues to shift online and digital subscriptions become increasingly prevalent in both mature and emerging markets, we expect to grow our number of monthly active users, as well as the portion of users who pay for a subscription. We also have a significant opportunity to impact more learners around the world by extending our platform to teach subjects beyond language, such as literacy and math. We believe that the investments we have made in our technology platform and our core competencies in data analytics, product design, gamification, and assessment position us well to extend into new subject areas. In 2020, for example, we launched Duolingo ABC, an app designed to teach early literacy skills to children ages three to six.</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Our business has experienced rapid growth since our founding in 2011. For the years ended December 31, 2019 and 2020, we had 27 million and 37 million monthly active users, respectively, representing year-over-year growth of 34%, and we grew our paying subscribers from 0.9 million as of December 31, 2019 to 1.6 million as of December 31, 2020, respectively, or 84% year over year. For the quarter ended March 31, 2021, we had 40 million monthly active users, and as of March 31, 2021, we had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 w:right="35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paying subscribers. Our revenue was $70.8 million in 2019 and $161.7 million in 2020, representing 129% year-over-year growth. Our revenue was $28.1 million in the three months ended March 31, 2020 and $55.4 million in the three months ended March 31, 2021, representing 97% period-over-period growth. In 2020 and the three months ended March 31, 2021, approximately 73% and 72%, respectively, of our revenue came from subscriptions to Duolingo Plus, approximately 17% came from advertising in both periods, and approximately 10% and 11%, respectively, came from the Duolingo English Test and other revenue. Given the momentum in our business and the size of our market opportunity, we continue to invest in product innovation and data analytics. In the three months ended March 31, 2020 and 2021, we had net losses of $2.2 million and $13.5 million, respectively. Our Adjusted EBITDA improved from $(8.0) million in 2019 to $3.6 million in 2020, and was $(0.9) million and $0.9 million in the three months ended March 31, 2020 and 2021, respectively. Our total bookings were $88.0 million in 2019 compared to $190.2 million in 2020, representing 116% year-over-year growth, and $36.9 million in the three months ended March 31, 2020 compared to $65.8 million in the three months ended March 31, 2021, representing 78% period-over-period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89535</wp:posOffset>
            </wp:positionV>
            <wp:extent cx="5349240" cy="2837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144" w:right="459" w:bottom="1440"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5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p>
    <w:p>
      <w:pPr>
        <w:spacing w:after="0" w:line="16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Mobile-first behaviors are reshaping industries</w:t>
      </w:r>
      <w:r>
        <w:rPr>
          <w:rFonts w:ascii="Arial" w:cs="Arial" w:eastAsia="Arial" w:hAnsi="Arial"/>
          <w:sz w:val="18"/>
          <w:szCs w:val="18"/>
          <w:color w:val="auto"/>
        </w:rPr>
        <w:t>. In categories ranging from retail to music to dating, consumers are increasingly</w:t>
      </w:r>
      <w:r>
        <w:rPr>
          <w:rFonts w:ascii="Arial" w:cs="Arial" w:eastAsia="Arial" w:hAnsi="Arial"/>
          <w:sz w:val="18"/>
          <w:szCs w:val="18"/>
          <w:b w:val="1"/>
          <w:bCs w:val="1"/>
          <w:color w:val="auto"/>
        </w:rPr>
        <w:t xml:space="preserve"> </w:t>
      </w:r>
      <w:r>
        <w:rPr>
          <w:rFonts w:ascii="Arial" w:cs="Arial" w:eastAsia="Arial" w:hAnsi="Arial"/>
          <w:sz w:val="18"/>
          <w:szCs w:val="18"/>
          <w:color w:val="auto"/>
        </w:rPr>
        <w:t>gravitating to mobile, app-based experiences. A study by Comscore showed that in 2020 mobile usage represented at least 75% of digital minutes in every region of the world, with the share continuing to rise. And mobile app usage makes up the significant majority of time spent on mobile devices: for example, almost 90% of mobile minutes in the United States are spent within apps, according to a 2020 study by eMarketer. We believe that consumer behavior will continue to be shaped by a preference for the convenient, on-demand nature of mobile experiences.</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The shift towards online learning is accelerating. </w:t>
      </w:r>
      <w:r>
        <w:rPr>
          <w:rFonts w:ascii="Arial" w:cs="Arial" w:eastAsia="Arial" w:hAnsi="Arial"/>
          <w:sz w:val="18"/>
          <w:szCs w:val="18"/>
          <w:color w:val="auto"/>
        </w:rPr>
        <w:t>Historically, education has lagged behind other industries in the shift from offline to</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According to GSV Ventures, the 2019 digital learning market represented $160 billion in spend—already a sizable number, but still only 2.3% of total global education expenditures. However, the COVID-19 pandemic sparked a radical shift towards online learning, and its effects are likely to be enduring. GSV Ventures now predicts that digital learning will reach 11% of education market expenditures by 2026, representing approximately $1 trillion in spend and a 26% CAGR from 2019 to 2026.</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Online learners seek engaging, mobile-first experiences. </w:t>
      </w:r>
      <w:r>
        <w:rPr>
          <w:rFonts w:ascii="Arial" w:cs="Arial" w:eastAsia="Arial" w:hAnsi="Arial"/>
          <w:sz w:val="18"/>
          <w:szCs w:val="18"/>
          <w:color w:val="auto"/>
        </w:rPr>
        <w:t>Consumers are increasingly accustomed to the highly engaging design of social</w:t>
      </w:r>
      <w:r>
        <w:rPr>
          <w:rFonts w:ascii="Arial" w:cs="Arial" w:eastAsia="Arial" w:hAnsi="Arial"/>
          <w:sz w:val="18"/>
          <w:szCs w:val="18"/>
          <w:b w:val="1"/>
          <w:bCs w:val="1"/>
          <w:color w:val="auto"/>
        </w:rPr>
        <w:t xml:space="preserve"> </w:t>
      </w:r>
      <w:r>
        <w:rPr>
          <w:rFonts w:ascii="Arial" w:cs="Arial" w:eastAsia="Arial" w:hAnsi="Arial"/>
          <w:sz w:val="18"/>
          <w:szCs w:val="18"/>
          <w:color w:val="auto"/>
        </w:rPr>
        <w:t>media apps and mobile games. According to the Global Web Index, 95% of the global online population uses social websites or apps, and the typical user spends two hours and 25 minutes on social media every day. On the gaming front, App Annie Intelligence reports that games accounted for 36% of mobile downloads in 2020, and that users across the globe spent 296 billion hours playing mobile games that year. We believe that consumers turning to online learning will not only prefer the convenience and control that mobile apps provide, but also expect experiences to be highly engaging.</w:t>
      </w:r>
    </w:p>
    <w:p>
      <w:pPr>
        <w:spacing w:after="0" w:line="126"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 xml:space="preserve">Adoption of subscription models is growing globally. </w:t>
      </w:r>
      <w:r>
        <w:rPr>
          <w:rFonts w:ascii="Arial" w:cs="Arial" w:eastAsia="Arial" w:hAnsi="Arial"/>
          <w:sz w:val="17"/>
          <w:szCs w:val="17"/>
          <w:color w:val="auto"/>
        </w:rPr>
        <w:t>Rising adoption of subscription models across the globe is further enabling the shift</w:t>
      </w:r>
      <w:r>
        <w:rPr>
          <w:rFonts w:ascii="Arial" w:cs="Arial" w:eastAsia="Arial" w:hAnsi="Arial"/>
          <w:sz w:val="17"/>
          <w:szCs w:val="17"/>
          <w:b w:val="1"/>
          <w:bCs w:val="1"/>
          <w:color w:val="auto"/>
        </w:rPr>
        <w:t xml:space="preserve"> </w:t>
      </w:r>
      <w:r>
        <w:rPr>
          <w:rFonts w:ascii="Arial" w:cs="Arial" w:eastAsia="Arial" w:hAnsi="Arial"/>
          <w:sz w:val="17"/>
          <w:szCs w:val="17"/>
          <w:color w:val="auto"/>
        </w:rPr>
        <w:t>towards mobile experiences. According to a Zuora survey conducted by the Harris Poll, 78% of consumers globally paid for subscriptions in 2020, up from 71% in 2018. Even in Japan, the market with the lowest rate among surveyed countries, more than half of consumers pay for subscriptions, growing from 53% in 2018 to 59% in 2020. In the United States, the figure is 82%, and according to a 2020 survey by Adjust, the average US consumer spends $53 per month on digital subscriptions, including an average of four app subscriptions. We believe that as subscriptions increase in popularity across categories, consumers will also gravitate towards subscription models in online learning.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The global market for direct-to-consumer language learning is large, growing, and shifting online. According to HolonIQ, total consumer spend on both online and offline language learning represented $61 billion in 2019, and will grow to $115 billion in 2025, implying a CAGR of 11% over this period. Online language learning is the fastest-growing market segment, projected to grow from $12 billion in 2019 to $47 billion in 2025, representing a CAGR of approximately 26% over this period, and to comprise 41% of total consumer spend on language learning in 2025. We believe that growth in digital spend will be driven in part by a shift away from offline offerings, as consumers seek more affordable, convenient, and higher quality online solutions. Today, the offline market is highly fragmented, and dominated by local players offering high-priced solutions: for example, an English course at a private language institute often costs over $1,000, even in developing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believe that growth in online language learning spend will be driven by consumers who would not have paid for offline offerings, but now choose to purchase online products. For example, according to a survey we conducted in 2021, almost 80% of Duolingo users in the US were not already learning a language when they began using Duolingo. Globally, GSMA reports that the number of mobile internet users is projected to grow from 3.8 billion at the end of 2019 to 5.0 billion by 2025. Growth in smartphone adoption can open up new access to the convenience and affordability of mobile-first learning to hundreds of millions of people.</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have a significant opportunity to impact more learners around the world by extending our platform beyond language learning. According to HolonIQ, approximately $6 trillion was spent on education globally in 2019. And GSV Ventures reports that $160 billion was spent on digital learning, with digital spend expected to grow at a 26% CAGR from 2019 to 2026. We believe we can expand our addressable market by extending our scalable platform to other segments of learning such as literacy and math.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Duolingo learning experience sits at the rare intersection of fun and self-improvement. Learners love Duolingo because:</w:t>
      </w:r>
    </w:p>
    <w:p>
      <w:pPr>
        <w:spacing w:after="0" w:line="149" w:lineRule="exact"/>
        <w:rPr>
          <w:sz w:val="20"/>
          <w:szCs w:val="20"/>
          <w:color w:val="auto"/>
        </w:rPr>
      </w:pPr>
    </w:p>
    <w:p>
      <w:pPr>
        <w:ind w:left="660" w:right="68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learners to come back each day to continue learning.</w:t>
      </w:r>
    </w:p>
    <w:p>
      <w:pPr>
        <w:spacing w:after="0" w:line="98" w:lineRule="exact"/>
        <w:rPr>
          <w:rFonts w:ascii="Arial" w:cs="Arial" w:eastAsia="Arial" w:hAnsi="Arial"/>
          <w:sz w:val="18"/>
          <w:szCs w:val="18"/>
          <w:color w:val="auto"/>
        </w:rPr>
      </w:pPr>
    </w:p>
    <w:p>
      <w:pPr>
        <w:jc w:val="both"/>
        <w:ind w:left="660" w:right="500" w:hanging="328"/>
        <w:spacing w:after="0" w:line="268"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 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expert-designed courses help learners build robust speaking, reading, listening, and writing skills, and our data analytics power personalization and superior learning outcomes.</w:t>
      </w:r>
    </w:p>
    <w:p>
      <w:pPr>
        <w:spacing w:after="0" w:line="116"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language course on Duolingo is free to access. Learners can spend as much time learning as they want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any and every course without paying. This lowers barriers to start learning and to keep learning.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such an experience that also results in learning valuable skills. Indeed, many of our learners prefer to spend time on Duolingo rather than on social media or mobile games because they can learn while still feeling entertained.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Features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June 2021, Duolingo offered 40 language courses. Each course is made up of a number of elements:</w:t>
      </w:r>
    </w:p>
    <w:p>
      <w:pPr>
        <w:spacing w:after="0" w:line="149" w:lineRule="exact"/>
        <w:rPr>
          <w:sz w:val="20"/>
          <w:szCs w:val="20"/>
          <w:color w:val="auto"/>
        </w:rPr>
      </w:pPr>
    </w:p>
    <w:p>
      <w:pPr>
        <w:ind w:left="660" w:right="18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Skills. </w:t>
      </w:r>
      <w:r>
        <w:rPr>
          <w:rFonts w:ascii="Arial" w:cs="Arial" w:eastAsia="Arial" w:hAnsi="Arial"/>
          <w:sz w:val="18"/>
          <w:szCs w:val="18"/>
          <w:color w:val="auto"/>
        </w:rPr>
        <w:t>Skills appear as colorful circles in the Duolingo home screen. Each Skill introduces new vocabulary, grammar concepts,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linguistic constructs. As learners progress, more advanced Skills unlock. Skills are grouped into sections called “Units,” with each Unit followed by a brief quiz that helps evaluate the efficacy of that Unit’s curriculum.</w:t>
      </w:r>
    </w:p>
    <w:p>
      <w:pPr>
        <w:spacing w:after="0" w:line="116"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Levels. </w:t>
      </w:r>
      <w:r>
        <w:rPr>
          <w:rFonts w:ascii="Arial" w:cs="Arial" w:eastAsia="Arial" w:hAnsi="Arial"/>
          <w:sz w:val="18"/>
          <w:szCs w:val="18"/>
          <w:color w:val="auto"/>
        </w:rPr>
        <w:t>Each Skill is divided into five Levels, and each Level provides learners practice on the same content, but with progressively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challenging exercises. The color of a Skill changes when a learner levels up, ultimately turning gold when reaching Level 5. Learners have to complete Level 1 of a Skill in order to unlock the next row of Skills.</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Lessons. </w:t>
      </w:r>
      <w:r>
        <w:rPr>
          <w:rFonts w:ascii="Arial" w:cs="Arial" w:eastAsia="Arial" w:hAnsi="Arial"/>
          <w:sz w:val="18"/>
          <w:szCs w:val="18"/>
          <w:color w:val="auto"/>
        </w:rPr>
        <w:t>Each Level consists of a number of engaging, bite-sized Lessons that implicitly teach the vocabulary and linguistic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concepts associated with that Skill. Lessons include a variety of types of exercises that help learners practice different aspects of language. For example, we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300"/>
        <w:spacing w:after="0" w:line="256" w:lineRule="auto"/>
        <w:rPr>
          <w:sz w:val="20"/>
          <w:szCs w:val="20"/>
          <w:color w:val="auto"/>
        </w:rPr>
      </w:pPr>
      <w:r>
        <w:rPr>
          <w:rFonts w:ascii="Arial" w:cs="Arial" w:eastAsia="Arial" w:hAnsi="Arial"/>
          <w:sz w:val="18"/>
          <w:szCs w:val="18"/>
          <w:color w:val="auto"/>
        </w:rPr>
        <w:t>speech recognition for pronunciation practice, images for vocabulary practice, and synthesized voice for listening comprehension practice. Exercises for each Lesson are selected and sequenced in real time using AI-based algorithms that personalize each Lesson to each individual learner.</w:t>
      </w:r>
    </w:p>
    <w:p>
      <w:pPr>
        <w:spacing w:after="0" w:line="126" w:lineRule="exact"/>
        <w:rPr>
          <w:sz w:val="20"/>
          <w:szCs w:val="20"/>
          <w:color w:val="auto"/>
        </w:rPr>
      </w:pPr>
    </w:p>
    <w:p>
      <w:pPr>
        <w:ind w:left="660" w:right="20" w:hanging="328"/>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Tips. </w:t>
      </w:r>
      <w:r>
        <w:rPr>
          <w:rFonts w:ascii="Arial" w:cs="Arial" w:eastAsia="Arial" w:hAnsi="Arial"/>
          <w:sz w:val="18"/>
          <w:szCs w:val="18"/>
          <w:color w:val="auto"/>
        </w:rPr>
        <w:t>Tips are short text explanations designed to explicitly teach the concepts that might be hard to grasp when introduced implicitly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Lessons. Tips illuminate concepts in grammar, phonetics, and orthography, and may include descriptions of language rules, example sentences, and audio-enhanced pronunciation guides.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217170</wp:posOffset>
            </wp:positionV>
            <wp:extent cx="5349240" cy="2451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Courses are supplemented by additional in-app features that help learners practice reading and listening comprehension. These include:</w:t>
      </w:r>
    </w:p>
    <w:p>
      <w:pPr>
        <w:spacing w:after="0" w:line="149" w:lineRule="exact"/>
        <w:rPr>
          <w:sz w:val="20"/>
          <w:szCs w:val="20"/>
          <w:color w:val="auto"/>
        </w:rPr>
      </w:pPr>
    </w:p>
    <w:p>
      <w:pPr>
        <w:ind w:left="660" w:hanging="328"/>
        <w:spacing w:after="0" w:line="262"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Stories. </w:t>
      </w:r>
      <w:r>
        <w:rPr>
          <w:rFonts w:ascii="Arial" w:cs="Arial" w:eastAsia="Arial" w:hAnsi="Arial"/>
          <w:sz w:val="18"/>
          <w:szCs w:val="18"/>
          <w:color w:val="auto"/>
        </w:rPr>
        <w:t>Stories are short, engaging dialogues presented with both text and audio that expose learners to conversational language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support practice of both reading and listening comprehension. Stories usually depict entertaining situations featuring our iconic cast of characters, and are unlocked as learners progress through the course, ensuring that learners only access Stories appropriate for their proficiency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144" w:right="37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820420</wp:posOffset>
            </wp:positionV>
            <wp:extent cx="5349240" cy="2451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right="260" w:hanging="328"/>
        <w:spacing w:after="0" w:line="31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Audio lessons. </w:t>
      </w:r>
      <w:r>
        <w:rPr>
          <w:rFonts w:ascii="Arial" w:cs="Arial" w:eastAsia="Arial" w:hAnsi="Arial"/>
          <w:sz w:val="17"/>
          <w:szCs w:val="17"/>
          <w:color w:val="auto"/>
        </w:rPr>
        <w:t>Audio-only lessons allow learners to spend focused time developing listening comprehension skills and practicing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speaking. Audio lessons are centered around practical, real-world situations like ordering at a restaurant or asking for directions.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courses and learning features are integrated with our gamification mechanics, which keep learners engaged and motivate them to spend more time learning. These gamification mechanics include:</w:t>
      </w:r>
    </w:p>
    <w:p>
      <w:pPr>
        <w:spacing w:after="0" w:line="108" w:lineRule="exact"/>
        <w:rPr>
          <w:sz w:val="20"/>
          <w:szCs w:val="20"/>
          <w:color w:val="auto"/>
        </w:rPr>
      </w:pPr>
    </w:p>
    <w:p>
      <w:pPr>
        <w:jc w:val="both"/>
        <w:ind w:left="660" w:right="50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XP. </w:t>
      </w:r>
      <w:r>
        <w:rPr>
          <w:rFonts w:ascii="Arial" w:cs="Arial" w:eastAsia="Arial" w:hAnsi="Arial"/>
          <w:sz w:val="18"/>
          <w:szCs w:val="18"/>
          <w:color w:val="auto"/>
        </w:rPr>
        <w:t>Learners earn Experience Points, or “XP,” for completing learning activities in Duolingo. The longer or more challenging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the more XP they gain. For example, a single Lesson usually earns learners 10 XP, whereas the completion of a Story usually earns 20 XP.</w:t>
      </w:r>
    </w:p>
    <w:p>
      <w:pPr>
        <w:spacing w:after="0" w:line="116" w:lineRule="exact"/>
        <w:rPr>
          <w:rFonts w:ascii="Arial" w:cs="Arial" w:eastAsia="Arial" w:hAnsi="Arial"/>
          <w:sz w:val="18"/>
          <w:szCs w:val="18"/>
          <w:color w:val="auto"/>
        </w:rPr>
      </w:pPr>
    </w:p>
    <w:p>
      <w:pPr>
        <w:jc w:val="both"/>
        <w:ind w:left="660" w:right="10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Streaks. </w:t>
      </w:r>
      <w:r>
        <w:rPr>
          <w:rFonts w:ascii="Arial" w:cs="Arial" w:eastAsia="Arial" w:hAnsi="Arial"/>
          <w:sz w:val="18"/>
          <w:szCs w:val="18"/>
          <w:color w:val="auto"/>
        </w:rPr>
        <w:t>A streak represents the number of days in a row that a learner has used Duolingo, and appears as a flame icon in the app.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day a learner gains XP, their streak gets one day longer. Streaks are a powerful motivator to keep learners coming back every day.</w:t>
      </w:r>
    </w:p>
    <w:p>
      <w:pPr>
        <w:spacing w:after="0" w:line="116"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Crowns. </w:t>
      </w:r>
      <w:r>
        <w:rPr>
          <w:rFonts w:ascii="Arial" w:cs="Arial" w:eastAsia="Arial" w:hAnsi="Arial"/>
          <w:sz w:val="18"/>
          <w:szCs w:val="18"/>
          <w:color w:val="auto"/>
        </w:rPr>
        <w:t>Learners collect crowns upon completion of a Level of a Skill. Accumulating a certain number of crowns unlocks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such as Stories.</w:t>
      </w:r>
    </w:p>
    <w:p>
      <w:pPr>
        <w:spacing w:after="0" w:line="98"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Gems. </w:t>
      </w:r>
      <w:r>
        <w:rPr>
          <w:rFonts w:ascii="Arial" w:cs="Arial" w:eastAsia="Arial" w:hAnsi="Arial"/>
          <w:sz w:val="18"/>
          <w:szCs w:val="18"/>
          <w:color w:val="auto"/>
        </w:rPr>
        <w:t>Gems are the Duolingo virtual currency, which rewards learners for accomplishments like leveling up a Skill. This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learners to buy virtual items from our “Shop,” including a “Streak Freeze,” which maintains a learner’s streak even if they miss a day of practice.</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Leaderboards. </w:t>
      </w:r>
      <w:r>
        <w:rPr>
          <w:rFonts w:ascii="Arial" w:cs="Arial" w:eastAsia="Arial" w:hAnsi="Arial"/>
          <w:sz w:val="18"/>
          <w:szCs w:val="18"/>
          <w:color w:val="auto"/>
        </w:rPr>
        <w:t>Leaderboards are weekly cohorts of 30 learners who compete to earn the most XP. Leaderboards are organized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Leagues based on the volume of XP earned, starting with the Bronze league, and ending with the Diamond league for the highest XP earners. Each week, the top 10 learners in each Leaderboard advance to the next League. Learners can track their Leaderboard progress daily and are motivated to accumulate XP to earn a place in the top 10.</w:t>
      </w:r>
    </w:p>
    <w:p>
      <w:pPr>
        <w:spacing w:after="0" w:line="122" w:lineRule="exact"/>
        <w:rPr>
          <w:rFonts w:ascii="Arial" w:cs="Arial" w:eastAsia="Arial" w:hAnsi="Arial"/>
          <w:sz w:val="18"/>
          <w:szCs w:val="18"/>
          <w:color w:val="auto"/>
        </w:rPr>
      </w:pPr>
    </w:p>
    <w:p>
      <w:pPr>
        <w:ind w:left="660" w:right="360" w:hanging="328"/>
        <w:spacing w:after="0" w:line="262"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Hearts. </w:t>
      </w:r>
      <w:r>
        <w:rPr>
          <w:rFonts w:ascii="Arial" w:cs="Arial" w:eastAsia="Arial" w:hAnsi="Arial"/>
          <w:sz w:val="18"/>
          <w:szCs w:val="18"/>
          <w:color w:val="auto"/>
        </w:rPr>
        <w:t>Hearts ensure that learners are mastering content as they progress through a course. Learners start each day with five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Hearts, and then lose a heart for each exercise completed incorrectly. If a learner runs out of Hearts, they can earn them back by completing practice Lessons that review previously studied material. And if they run out of Hearts mid-Lesson, they can also use their hard-earned stockpile of Gems to replenish their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Learners who use Duolingo for free see an ad at the end of each Lesson, whereas those who subscribe to Duolingo Plus enjoy an ad-free experience and access to additional features, such as unlimited Hearts and personalized practice sessions covering recent mistakes.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211455</wp:posOffset>
            </wp:positionV>
            <wp:extent cx="5271770" cy="5186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71770" cy="518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Philosophy</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Each of our learning and gamification features is carefully crafted to contribute to a learner experience that is defined by several key principles:</w:t>
      </w:r>
    </w:p>
    <w:p>
      <w:pPr>
        <w:spacing w:after="0" w:line="1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Low friction</w:t>
      </w:r>
      <w:r>
        <w:rPr>
          <w:rFonts w:ascii="Arial" w:cs="Arial" w:eastAsia="Arial" w:hAnsi="Arial"/>
          <w:sz w:val="18"/>
          <w:szCs w:val="18"/>
          <w:color w:val="auto"/>
        </w:rPr>
        <w:t>. Beginning the learning journey on Duolingo is easy. Learners select the language they want to learn and are asked to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daily learning goal, which can be as little as five or ten minutes a day. They can then choose to start learning a language from the basics or test their existing proficiency to skip ahead in the course. We ensure that our onboarding journey is as intuitive as possible by continually</w:t>
      </w:r>
    </w:p>
    <w:p>
      <w:pPr>
        <w:sectPr>
          <w:pgSz w:w="11900" w:h="16838" w:orient="portrait"/>
          <w:cols w:equalWidth="0" w:num="1">
            <w:col w:w="11180"/>
          </w:cols>
          <w:pgMar w:left="320" w:top="14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180"/>
          </w:cols>
          <w:pgMar w:left="320" w:top="144" w:right="399" w:bottom="1440" w:gutter="0" w:footer="0" w:header="0"/>
          <w:type w:val="continuous"/>
        </w:sectPr>
      </w:pPr>
    </w:p>
    <w:bookmarkStart w:id="135" w:name="page136"/>
    <w:bookmarkEnd w:id="13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reviewing the actions of new learners as they navigate our app for the first time. Duolingo is recognized as a gold standard for user experience design, with our onboarding flows used as examples of industry best practices. We also run hundreds of A/B tests to remove friction and make it easier for learners to subscribe to Duolingo Plus.</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Motivating game mechanics</w:t>
      </w:r>
      <w:r>
        <w:rPr>
          <w:rFonts w:ascii="Arial" w:cs="Arial" w:eastAsia="Arial" w:hAnsi="Arial"/>
          <w:sz w:val="18"/>
          <w:szCs w:val="18"/>
          <w:color w:val="auto"/>
        </w:rPr>
        <w:t>. Because we believe that staying motivated is the hardest part of learning something new, we focus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relentlessly on keeping learners engaged. Features like Streaks and Leaderboards motivate learners to come back to Duolingo every day, and to spend more time learning each time they do. Over 50% of our daily active users have a Streak longer than seven days. And approximately one million learners have an active Streak longer than 365 days, meaning they have used Duolingo daily for at least one year. Launching Leaderboards, which encourage both social connectivity and competition, increased the overall average time spent learning on Duolingo by almost 20%. Ultimately, the high engagement driven by gamification leads to consistent learning and demonstrable efficacy.</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Beautiful design and engaging storytelling. </w:t>
      </w:r>
      <w:r>
        <w:rPr>
          <w:rFonts w:ascii="Arial" w:cs="Arial" w:eastAsia="Arial" w:hAnsi="Arial"/>
          <w:sz w:val="18"/>
          <w:szCs w:val="18"/>
          <w:color w:val="auto"/>
        </w:rPr>
        <w:t>We focus obsessively on every detail of design. From the precise shape and color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button, to the mood of the celebratory animations that congratulate learners upon finishing each Lesson, our app is calibrated to maximize learners’ delight. Over the years, our owl mascot, Duo, has become a popular brand icon and a marketing asset for our company. In 2019, we introduced an additional cast of characters to the app, each with their own personality and backstory. Our iconic characters now feature prominently in our Lessons and Stories, cheering learners on as they progress. Already, our characters are regularly the subject of “fan art” created by Duolingo learners and shared on social media. We believe that recognizable characters and character-driven storytelling increase learner engagement and stickiness. As our product offering grows to include additional types of learning, our characters will become a common asset unifying the different learning experiences, such as Duolingo ABC.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144" w:right="379" w:bottom="1440"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346075</wp:posOffset>
            </wp:positionV>
            <wp:extent cx="6995160" cy="906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 xml:space="preserve">Diverse learning experiences informed by robust pedagogy. </w:t>
      </w:r>
      <w:r>
        <w:rPr>
          <w:rFonts w:ascii="Arial" w:cs="Arial" w:eastAsia="Arial" w:hAnsi="Arial"/>
          <w:sz w:val="18"/>
          <w:szCs w:val="18"/>
          <w:color w:val="auto"/>
        </w:rPr>
        <w:t>Our learning experiences are designed by an in-house team of experts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learning science and second language acquisition. Content in our largest courses is aligned to the Common European Framework of Reference (CEFR), an international standard for language proficiency, and the pedagogical structure of each course is unique. For example, Spanish-speakers learning English will encounter a different curriculum than Chinese-speakers learning English. Within each course, each Skill covers the vocabulary and grammar required to achieve a particular learning goal. We teach primarily implicitly: for example, instead of requiring learners to memorize verb conjugation tables, we teach grammar through illustrative examples. Implicit learning is ideal for developing a strong foundational knowledge of a language and its rules. For concepts that may be more challenging to grasp purely through implicit learning, we also provide explicit instruction in the Tips that accompany each Skill.</w:t>
      </w:r>
    </w:p>
    <w:p>
      <w:pPr>
        <w:spacing w:after="0" w:line="15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also leverage our large scale of learner data to inform continuous improvement of our learning content. For example, each time a learner finishes a Unit, they complete a brief assessment before unlocking Skills in the next Unit. This “Checkpoint Quiz” provides us with a way to assess the efficacy of each course, and enables targeted improvements if we discover that learners are not achieving mastery over a specific concept or grammatical structure.</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offer a diverse set of experiences to build language proficiency outside of the app, such as our podcasts, which provide a scaffolded listening comprehension experience for more advanced learners. The Duolingo Spanish podcast is consistently among the top five education podcasts in the US on the Apple Podcast platform.</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 xml:space="preserve">Application of data analytics and artificial intelligence to optimize learning. </w:t>
      </w:r>
      <w:r>
        <w:rPr>
          <w:rFonts w:ascii="Arial" w:cs="Arial" w:eastAsia="Arial" w:hAnsi="Arial"/>
          <w:sz w:val="18"/>
          <w:szCs w:val="18"/>
          <w:color w:val="auto"/>
        </w:rPr>
        <w:t>We use data from over half a billion exercises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to train sophisticated machine learning algorithms that we deploy to improve learning efficacy. One example of this is our personalization algorithm, called BirdBrain, which predicts the probability that a given learner will get an exercise right or wrong. We use BirdBrain to craft lessons that cater to a learner’s specific proficiency level by providing exercises of the appropriate difficulty. For instance, if a learner only has a 30% chance of getting an exercise right, this exercise is too difficult and would cause frustration. Conversely, if a learner has a 100% chance of getting an exercise right, then the exercise is not interesting to the learner and has little learning value. In our dynamic, real-time creation of a lesson for this particular learner, we would not include either these “too hard” or “too easy” exercises. Rather, we target exercises that are “just right” in difficulty, making lessons more engaging, while specifically targeting material that learners have not yet mastered. This personalization increases learner motivation and improves learning outcomes.</w:t>
      </w:r>
    </w:p>
    <w:p>
      <w:pPr>
        <w:spacing w:after="0" w:line="13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Measurable learning outcomes. </w:t>
      </w:r>
      <w:r>
        <w:rPr>
          <w:rFonts w:ascii="Arial" w:cs="Arial" w:eastAsia="Arial" w:hAnsi="Arial"/>
          <w:sz w:val="18"/>
          <w:szCs w:val="18"/>
          <w:color w:val="auto"/>
        </w:rPr>
        <w:t>All this adds up to a learning experience that helps learners achieve their goals. In 2020, we conducted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formal study to evaluate Duolingo’s effectiveness versus traditional university language courses. We measured Duolingo learners’ results on French and Spanish listening and reading proficiency tests from the American Council on the Teaching of Foreign Languages (ACTFL) against those of US university students who had completed four semesters of French or Spanish. To ensure a fair comparison, we included only US-based Duolingo learners who: (1) had no prior knowledge of Spanish or French before starting Duolingo, (2) had only completed the first five Units of their chosen Duolingo course, and (3) were not using any other materials to learn besides Duolingo. We found that the Duolingo learners earned proficiency scores comparable to those of the US university students at the end of their fourth semester of French or Spanish. Moreover, the Duolingo learners were able to attain this level of proficiency in about half the time as the university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44" w:right="35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78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Technology is at the core of everything we do. We utilize the latest in machine learning and data analytics, along with a relentless focus on A/B testing, to fuel our differentiated learning experience.</w:t>
      </w:r>
    </w:p>
    <w:p>
      <w:pPr>
        <w:spacing w:after="0" w:line="143"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We are proud to consider ourselves a technology and product-driven company—70% of our employees work directly on improving our products. We have an industry-leading team of approximately 280 software engineers, product designers and product managers. Approximately 20% of them are on functional engineering teams, building and maintaining foundational infrastructure, and approximately 80% are on product teams, iterating on features as well as researching and prototyping new product directions.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Large data moat. </w:t>
      </w:r>
      <w:r>
        <w:rPr>
          <w:rFonts w:ascii="Arial" w:cs="Arial" w:eastAsia="Arial" w:hAnsi="Arial"/>
          <w:sz w:val="18"/>
          <w:szCs w:val="18"/>
          <w:color w:val="auto"/>
        </w:rPr>
        <w:t>With over half a billion exercises completed every day on our platform, we believe we have built the world's largest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 The majority of the data we collect for analytics purposes is in the form of tracking events, which are pieces of data associated with a specific learner action, such as opening the app or completing a Lesson. A tracking event tells us when a learner performed an action, as well as related details, such as the device they were using. The Duolingo app is instrumented on all platforms with code that generates tracking event data for all events of interest. We generate approximately 2.3 billion tracking events per day, broken down into about 1,500 unique event types.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Robust testing framework. </w:t>
      </w:r>
      <w:r>
        <w:rPr>
          <w:rFonts w:ascii="Arial" w:cs="Arial" w:eastAsia="Arial" w:hAnsi="Arial"/>
          <w:sz w:val="18"/>
          <w:szCs w:val="18"/>
          <w:color w:val="auto"/>
        </w:rPr>
        <w:t>The foundation of our product strategy is our relentless focus on improving learner engagement through A/B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we run hundreds of A/B tests on new product features each quarter. Experiments can be as simple as changing the text or color of a button, or as complex as adding a major new feature like Leaderboards. The velocity of our A/B testing capabilities is a core competency that allows us to optimize the Duolingo learning experience at a rapid pace. Through A/B testing, we have increased the fraction of learners who came back one day after starting Duolingo from 12% when we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144" w:right="35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launched in 2012, to over 40% today. A/B tests also provide us with the data to make decisions that positively impact paid subscriber conversion.</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 xml:space="preserve">Advanced data analytics and machine learning capabilities. </w:t>
      </w:r>
      <w:r>
        <w:rPr>
          <w:rFonts w:ascii="Arial" w:cs="Arial" w:eastAsia="Arial" w:hAnsi="Arial"/>
          <w:sz w:val="18"/>
          <w:szCs w:val="18"/>
          <w:color w:val="auto"/>
        </w:rPr>
        <w:t>Our machine learning capabilities allow us to leverage our data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learning experience. One example of this is our “student model,” called BirdBrain, which evaluates every learner’s answer to every exercise every day and learns to predict the probability that any learner will answer any given exercise correctly. We use BirdBrain predictions to adaptively construct lessons where each exercise is “just right” in terms of difficulty for each learner. Another example is our “Smart Tips” system, which uses an AI model to classify common learner mistakes and then briefly interrupts lessons with a relevant “just in time” grammar explanation when needed. Instead of asking learners to repeatedly read through conjugation tables, we accurately classify their mistakes and surface a grammar rule when it is most useful and engaging—right after they make a mistake.</w:t>
      </w:r>
    </w:p>
    <w:p>
      <w:pPr>
        <w:spacing w:after="0" w:line="12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b w:val="1"/>
          <w:bCs w:val="1"/>
          <w:i w:val="1"/>
          <w:iCs w:val="1"/>
          <w:color w:val="auto"/>
        </w:rPr>
        <w:t xml:space="preserve">Shared infrastructure. </w:t>
      </w:r>
      <w:r>
        <w:rPr>
          <w:rFonts w:ascii="Arial" w:cs="Arial" w:eastAsia="Arial" w:hAnsi="Arial"/>
          <w:sz w:val="18"/>
          <w:szCs w:val="18"/>
          <w:color w:val="auto"/>
        </w:rPr>
        <w:t>Products across our platform, like our flagship Duolingo language learning app, Duolingo ABC, and the Duolingo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English Test, share a singular technology infrastructure, which allows us to leverage operational efficiencies in implementing new features for each. With our shared infrastructure, we are able to innovate at a higher velocity.</w:t>
      </w:r>
    </w:p>
    <w:p>
      <w:pPr>
        <w:spacing w:after="0" w:line="11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i w:val="1"/>
          <w:iCs w:val="1"/>
          <w:color w:val="auto"/>
        </w:rPr>
        <w:t xml:space="preserve">Strict data protection and privacy standards. </w:t>
      </w:r>
      <w:r>
        <w:rPr>
          <w:rFonts w:ascii="Arial" w:cs="Arial" w:eastAsia="Arial" w:hAnsi="Arial"/>
          <w:sz w:val="18"/>
          <w:szCs w:val="18"/>
          <w:color w:val="auto"/>
        </w:rPr>
        <w:t>We are committed to abiding by the strictest privacy standards and do not sell personal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outside parties.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will drive our continued success in the global language learning market and beyond:</w:t>
      </w:r>
    </w:p>
    <w:p>
      <w:pPr>
        <w:spacing w:after="0" w:line="16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 xml:space="preserve">Product-obsessed culture focused on creating a fun, engaging experience. </w:t>
      </w:r>
      <w:r>
        <w:rPr>
          <w:rFonts w:ascii="Arial" w:cs="Arial" w:eastAsia="Arial" w:hAnsi="Arial"/>
          <w:sz w:val="18"/>
          <w:szCs w:val="18"/>
          <w:color w:val="auto"/>
        </w:rPr>
        <w:t>We use sophisticated gamification and beautiful design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our products fun and engaging, inspiring learners to come back day after day to learn on our platform. Through animation, storytelling, and motivating features such as Streaks and Leaderboards, we provide our learners with an experience that both delights and drives quantifiable learning progression. We believe our high quality user experience and track record of product innovation are a testament to our product leadership and capabilities for future growth.</w:t>
      </w:r>
    </w:p>
    <w:p>
      <w:pPr>
        <w:spacing w:after="0" w:line="12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 xml:space="preserve">Leading consumer brand. </w:t>
      </w:r>
      <w:r>
        <w:rPr>
          <w:rFonts w:ascii="Arial" w:cs="Arial" w:eastAsia="Arial" w:hAnsi="Arial"/>
          <w:sz w:val="18"/>
          <w:szCs w:val="18"/>
          <w:color w:val="auto"/>
        </w:rPr>
        <w:t>Our free, fun, and effective learning experience has made us a category-leading brand in consumer education,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in turn drives organic traffic to our platform and minimizes our reliance on paid marketing. In 2020, approximately 90% of our growth came from organic sources such as word-of-mouth. Our iconic mascot, Duo the owl, is loved by our learning community, and our app has become a part of popular culture. We believe our brand provides us a significant competitive advantage, which we further cultivate via continuous investment in our delightful learner experience.</w:t>
      </w:r>
    </w:p>
    <w:p>
      <w:pPr>
        <w:spacing w:after="0" w:line="124"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 xml:space="preserve">Deep data analytics capabilities. </w:t>
      </w:r>
      <w:r>
        <w:rPr>
          <w:rFonts w:ascii="Arial" w:cs="Arial" w:eastAsia="Arial" w:hAnsi="Arial"/>
          <w:sz w:val="18"/>
          <w:szCs w:val="18"/>
          <w:color w:val="auto"/>
        </w:rPr>
        <w:t>Data from over 2.3 billion tracking events generated every day by our learners informs the more than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 tests we run per quarter. These A/B tests enable us to rapidly launch product optimizations and new features that materially improve engagement, learning outcomes, and paid subscriber conversion.</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 xml:space="preserve">Superior learning outcomes through personalized learning. </w:t>
      </w:r>
      <w:r>
        <w:rPr>
          <w:rFonts w:ascii="Arial" w:cs="Arial" w:eastAsia="Arial" w:hAnsi="Arial"/>
          <w:sz w:val="18"/>
          <w:szCs w:val="18"/>
          <w:color w:val="auto"/>
        </w:rPr>
        <w:t>We also leverage our massive collection of language-learning data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novel artificial intelligence models at the intersection of machine learning, natural language processing, and cognitive science. These in turn power our personalized instruction model, BirdBrain. Our A/B testing has demonstrated that BirdBrain-powered experiences drive superior learner engagement and stronger learner outcomes. And research validates the efficacy of our product: Duolingo learners who complete five Units of Duolingo French and Spanish courses earn reading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 w:right="339" w:bottom="1440" w:gutter="0" w:footer="0" w:header="0"/>
        </w:sectPr>
      </w:pPr>
    </w:p>
    <w:bookmarkStart w:id="140" w:name="page141"/>
    <w:bookmarkEnd w:id="14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listening proficiency scores comparable to those of US university students at the end of their fourth semester of language courses, and in about half the time.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i w:val="1"/>
          <w:iCs w:val="1"/>
          <w:color w:val="auto"/>
        </w:rPr>
        <w:t xml:space="preserve">Powerful flywheel effects powered by a strong business model. </w:t>
      </w:r>
      <w:r>
        <w:rPr>
          <w:rFonts w:ascii="Arial" w:cs="Arial" w:eastAsia="Arial" w:hAnsi="Arial"/>
          <w:sz w:val="18"/>
          <w:szCs w:val="18"/>
          <w:color w:val="auto"/>
        </w:rPr>
        <w:t>Our mutually reinforcing Learning and Investment flywheels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growth on our platform while widening our competitive moat. Our freemium business model allows free learners on Duolingo to develop a regular habit of using our product, ultimately leading to high quality paid conversion. It also enables the large audience and data scale that powers our data analytics and machine learning algorithms, resulting in high user engagement and strong learning outcomes. Demonstrated efficacy in turn strengthens our brand, enabling us to reach a broader audience via word-of-mouth. This gives us the ability to focus our capital investments on long-term product improvements rather than short-term direct-response marketing.</w:t>
      </w:r>
    </w:p>
    <w:p>
      <w:pPr>
        <w:spacing w:after="0" w:line="12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 xml:space="preserve">Highly scalable platform. </w:t>
      </w:r>
      <w:r>
        <w:rPr>
          <w:rFonts w:ascii="Arial" w:cs="Arial" w:eastAsia="Arial" w:hAnsi="Arial"/>
          <w:sz w:val="18"/>
          <w:szCs w:val="18"/>
          <w:color w:val="auto"/>
        </w:rPr>
        <w:t>We are a technology-driven company and have invested deeply in developing our scalable, mobile-first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in-house authoring tools enable efficient creation of standards-aligned learning content, and our assessment capabilities enable continuous improvement of each course. Our proprietary data and analytics infrastructure generates the insights that increase learner engagement and deliver superior learning outcomes. Our technology infrastructure and freemium subscription model are built to scale effectively as we continue to grow our learner base, and our platform is an asset that we believe can be applied to new learning categories.</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Strong profitability and cash flow dynamics drive long-term value. </w:t>
      </w:r>
      <w:r>
        <w:rPr>
          <w:rFonts w:ascii="Arial" w:cs="Arial" w:eastAsia="Arial" w:hAnsi="Arial"/>
          <w:sz w:val="18"/>
          <w:szCs w:val="18"/>
          <w:color w:val="auto"/>
        </w:rPr>
        <w:t>Our business model, which is focused on organic growth and “free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conversion, results in efficient and relatively low marketing expenses. We expect this efficiency, combined with our high gross margins and technology infrastructure, to provide significant operating leverage over the long term, resulting in margin expansion, while allowing us to continue to invest in our brand, product innovation, and technology platform.</w:t>
      </w:r>
    </w:p>
    <w:p>
      <w:pPr>
        <w:spacing w:after="0" w:line="12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 xml:space="preserve">Mission-driven, founder-led management team. </w:t>
      </w:r>
      <w:r>
        <w:rPr>
          <w:rFonts w:ascii="Arial" w:cs="Arial" w:eastAsia="Arial" w:hAnsi="Arial"/>
          <w:sz w:val="18"/>
          <w:szCs w:val="18"/>
          <w:color w:val="auto"/>
        </w:rPr>
        <w:t>Duolingo is led by passionate co-founders and a leadership team of seasoned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proven track record of scaling consumer technology businesses. Our mission is integral to every decision we make, from the product features we launch, to new product extensions. We are aligned, inspired, and energized by the opportunity to continue building a next-generation consumer technology brand and preeminent global learning platform.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Opportunities</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believe that we have a significant opportunity before us, both to further our mission and to strengthen our business and grow our revenue. Our growth opportunities include not only expanding our scale within the language learning market, but also leveraging the core competencies of our platform and brand to expand into new markets. We are focused on the following to drive our growth:</w:t>
      </w:r>
    </w:p>
    <w:p>
      <w:pPr>
        <w:spacing w:after="0" w:line="12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 xml:space="preserve">Continue expansion of learners on our platform. </w:t>
      </w:r>
      <w:r>
        <w:rPr>
          <w:rFonts w:ascii="Arial" w:cs="Arial" w:eastAsia="Arial" w:hAnsi="Arial"/>
          <w:sz w:val="18"/>
          <w:szCs w:val="18"/>
          <w:color w:val="auto"/>
        </w:rPr>
        <w:t>According to HolonIQ, there are approximately 1.8 billion people learning a language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world, representing a $61 billion consumer market in 2019. The majority of spend today is still offline, but the market is rapidly shifting online, with online spend projected to reach $47 billion in 2025. As a category leader in digital language learning, we believe we are well positioned to continue to grow the number of learners who use our platform. Our audience is globally distributed. For example, as of March 2021, 54% of our MAUs were learning English, and 37% were learning other languages using our English UI; 9% were neither learning English nor using our English UI. We are in the early stages of penetrating key international markets, including Europe, Asia, and Latin America. In 2020, we established teams focused on international markets. These teams have driven growth by investing in product optimizations, localization improvements, and local marketing. In Asia, for example, our investments contributed to 136% growth in DAUs from 2019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 w:right="33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color w:val="auto"/>
        </w:rPr>
        <w:t xml:space="preserve">Drive higher conversion to paid subscriptions. </w:t>
      </w:r>
      <w:r>
        <w:rPr>
          <w:rFonts w:ascii="Arial" w:cs="Arial" w:eastAsia="Arial" w:hAnsi="Arial"/>
          <w:sz w:val="17"/>
          <w:szCs w:val="17"/>
          <w:color w:val="auto"/>
        </w:rPr>
        <w:t>We have steadily increased Duolingo’s paying subscriber conversion since launching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in 2017. As of December 31, 2020, approximately 4% of our 37 million monthly active users pay for a subscription, up from less than 1% in 2017. We believe our ongoing investment in product improvements, as well as rollout of new premium features, will continue to increase the conversion of free users to paying subscribers. In addition, continued optimizations of purchase flows, subscription packaging, and pricing, will reduce the friction to subscribe. We believe we have the opportunity to increase monetization in markets across the globe, both in affluent English-speaking markets such as the United States and United Kingdom, and also among English learners worldwide.</w:t>
      </w:r>
    </w:p>
    <w:p>
      <w:pPr>
        <w:spacing w:after="0" w:line="11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 xml:space="preserve">Increase the lifetime value of our subscribers. </w:t>
      </w:r>
      <w:r>
        <w:rPr>
          <w:rFonts w:ascii="Arial" w:cs="Arial" w:eastAsia="Arial" w:hAnsi="Arial"/>
          <w:sz w:val="18"/>
          <w:szCs w:val="18"/>
          <w:color w:val="auto"/>
        </w:rPr>
        <w:t>As we continue to expand Duolingo’s subscriber base, we are also focused on subscriber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stickiness, which drives the lifetime value of our subscribers. The primary way we improve subscriber stickiness is through product improvements that increase engagement, like Leaderboards and Streaks. Increasing the proportion of our subscriber base that is on an annual plan also increases lifetime value. We have experimented with our pricing and packaging to encourage more subscribers to buy the annual plan, resulting in a 14 percentage point increase in annual subscribers, from approximately 57% of total paying subscribers as of December 31, 2019 to approximately 71% of total paying subscribers as of December 31, 2020. This shift also improved paying subscriber lifetime value overall.</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i w:val="1"/>
          <w:iCs w:val="1"/>
          <w:color w:val="auto"/>
        </w:rPr>
        <w:t xml:space="preserve">Expand adoption of the Duolingo English Test. </w:t>
      </w:r>
      <w:r>
        <w:rPr>
          <w:rFonts w:ascii="Arial" w:cs="Arial" w:eastAsia="Arial" w:hAnsi="Arial"/>
          <w:sz w:val="18"/>
          <w:szCs w:val="18"/>
          <w:color w:val="auto"/>
        </w:rPr>
        <w:t>The Duolingo English Test experienced a transformational year in 2020, with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individual tests purchased increasing from approximately 17,000 in 2019 to approximately 344,000 in 2020. Physical testing centers for other English proficiency exams closed during COVID-19 lockdowns, which led more universities to accept the results of the Duolingo English Test as proof of English proficiency for international student admissions. Before COVID-19, approximately 600 higher education programs accepted the results of our assessment, and as of May 2021, the figure was over 3,000. We believe this represents a shift in our market position that will endure beyond the COVID-19 pandemic.</w:t>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Millions of English proficiency tests are taken each year across the globe. We believe there is a significant opportunity to continue expanding adoption of the Duolingo English Test via three primary avenues: (1) continuing to expand acceptance by higher education programs for international student admissions; (2) accessing immigration and workforce markets in countries that require English proficiency assessment as a part of the visa approval or job recruiting and promotion processes; and (3) integrating with the Duolingo language learning app to provide our English learners with a more seamless experience between learning and assessment. Longer term, we plan to introduce a “Duolingo Proficiency Score” across more languages, which we hope will become a widely accepted indicator of language proficiency level and make Duolingo a global proficiency standard.</w:t>
      </w:r>
    </w:p>
    <w:p>
      <w:pPr>
        <w:spacing w:after="0" w:line="129"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i w:val="1"/>
          <w:iCs w:val="1"/>
          <w:color w:val="auto"/>
        </w:rPr>
        <w:t xml:space="preserve">Extend our platform and brand beyond language learning. </w:t>
      </w:r>
      <w:r>
        <w:rPr>
          <w:rFonts w:ascii="Arial" w:cs="Arial" w:eastAsia="Arial" w:hAnsi="Arial"/>
          <w:sz w:val="18"/>
          <w:szCs w:val="18"/>
          <w:color w:val="auto"/>
        </w:rPr>
        <w:t>We believe that there is an opportunity to diversify the scope of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language learning to a variety of subjects, using the same product-focused, mobile-first, gamified approach to education. For example, in 2020 we launched Duolingo ABC, an app for young children that teaches early literacy skills, which won the 2020 Time Magazine “Best New Product” award. New products such as Duolingo ABC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144" w:right="39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Duolingo Language Learning App</w:t>
      </w:r>
    </w:p>
    <w:p>
      <w:pPr>
        <w:spacing w:after="0" w:line="207"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color w:val="auto"/>
        </w:rPr>
        <w:t>The Duolingo language learning app is the world’s most popular way to learn languages. Accessible for free, as of June 2021 it offers courses in 40 languages to approximately 40 million monthly active users. It is also the top-grossing app globally in the Education category on both Google Play and the Apple App Store. Duolingo can also be accessed by desktop computers via a web browser at https://duolingo.com.</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Designed by language experts, Duolingo courses are made up of Skills, each of which are divided into five Levels, with each Level made up of a series of Lessons. Each Lesson consists of short, bite-sized exercises that help learners practice reading, writing, speaking and listening skills. Courses are supplemented by additional in-app learning features such as Stories and Audio Lessons, which provide additional reading and listening comprehension practice. Duolingo’s gamification features, including XP, Streaks, Crowns, Gems, Leaderboards and Hearts, provide learners an engaging and fun learning experience, and keep them motivated to continue learning.</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As of June 2021 we offer language courses in English, Spanish, French, German, Japanese, Italian, Korean, Chinese, Portuguese, Russian, Dutch, Arabic, Swedish, Turkish, Hindi, Norwegian (Bokmål), Greek, Polish, Welsh, Irish, Latin, Danish, Hebrew, Finnish, Scottish Gaelic, Yiddish, Vietnamese, Indonesian, Czech, Esperanto, Catalan, Romanian, Hungarian, Swahili, Hawaiian, Ukrainian, Guarani, Navajo, and even Klingon and High Valyrian.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Plus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While all course content on Duolingo can be accessed for free, our subscription offering, Duolingo Plus, offers learners additional features to enhance their learning experience. We launched Duolingo Plus in 2017 and as of December 31, 2020, we have approximately 1.6 million paying subscribers. This revenue stream makes up approximately 73% of our total revenue. As of June 2021, Duolingo Plus offers the following features:</w:t>
      </w:r>
    </w:p>
    <w:p>
      <w:pPr>
        <w:spacing w:after="0" w:line="117" w:lineRule="exact"/>
        <w:rPr>
          <w:sz w:val="20"/>
          <w:szCs w:val="20"/>
          <w:color w:val="auto"/>
        </w:rPr>
      </w:pPr>
    </w:p>
    <w:p>
      <w:pPr>
        <w:ind w:left="660" w:right="8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ads. </w:t>
      </w:r>
      <w:r>
        <w:rPr>
          <w:rFonts w:ascii="Arial" w:cs="Arial" w:eastAsia="Arial" w:hAnsi="Arial"/>
          <w:sz w:val="18"/>
          <w:szCs w:val="18"/>
          <w:color w:val="auto"/>
        </w:rPr>
        <w:t>Duolingo Plus eliminates the ads that non-subscriber users see at the end of each Lesson, giving subscribers the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uninterrupted learning.</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Hearts. </w:t>
      </w:r>
      <w:r>
        <w:rPr>
          <w:rFonts w:ascii="Arial" w:cs="Arial" w:eastAsia="Arial" w:hAnsi="Arial"/>
          <w:sz w:val="18"/>
          <w:szCs w:val="18"/>
          <w:color w:val="auto"/>
        </w:rPr>
        <w:t>With no limits to the number of mistakes they can make, subscribers can choose to move through content 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 pace.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Mistakes practice. </w:t>
      </w:r>
      <w:r>
        <w:rPr>
          <w:rFonts w:ascii="Arial" w:cs="Arial" w:eastAsia="Arial" w:hAnsi="Arial"/>
          <w:sz w:val="17"/>
          <w:szCs w:val="17"/>
          <w:color w:val="auto"/>
        </w:rPr>
        <w:t>Subscribers can sharpen their language skills with personalized practice Lessons featuring their recent mistakes.</w:t>
      </w:r>
    </w:p>
    <w:p>
      <w:pPr>
        <w:spacing w:after="0" w:line="182" w:lineRule="exact"/>
        <w:rPr>
          <w:rFonts w:ascii="Arial" w:cs="Arial" w:eastAsia="Arial" w:hAnsi="Arial"/>
          <w:sz w:val="17"/>
          <w:szCs w:val="17"/>
          <w:color w:val="auto"/>
        </w:rPr>
      </w:pPr>
    </w:p>
    <w:p>
      <w:pPr>
        <w:ind w:left="660" w:right="80" w:hanging="328"/>
        <w:spacing w:after="0" w:line="28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Unlimited test out. </w:t>
      </w:r>
      <w:r>
        <w:rPr>
          <w:rFonts w:ascii="Arial" w:cs="Arial" w:eastAsia="Arial" w:hAnsi="Arial"/>
          <w:sz w:val="18"/>
          <w:szCs w:val="18"/>
          <w:color w:val="auto"/>
        </w:rPr>
        <w:t>Subscribers can skip multiple Levels of a Skill to get to new material faster by completing skill tests and jumping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next Level.</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Progress tracker. </w:t>
      </w:r>
      <w:r>
        <w:rPr>
          <w:rFonts w:ascii="Arial" w:cs="Arial" w:eastAsia="Arial" w:hAnsi="Arial"/>
          <w:sz w:val="18"/>
          <w:szCs w:val="18"/>
          <w:color w:val="auto"/>
        </w:rPr>
        <w:t>Subscribers can take Mastery Quizzes to measure how much they have learned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144" w:right="35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26574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English Test: AI-Driven Language Assessment</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Launched in 2016, the Duolingo English Test is a pioneering online, on-demand, high-stakes English proficiency assessment. Anyone with a computer, webcam, and reliable internet connection can take the test from anywhere, at any time. The test is “computer adaptive,” meaning it gets harder or easier depending on the performance of the test taker, and can be completed in less than an hour. As of June 2021, it costs $49 per test.</w:t>
      </w:r>
    </w:p>
    <w:p>
      <w:pPr>
        <w:spacing w:after="0" w:line="15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saw an opportunity to develop the Duolingo English Test in part because language testing has lacked innovation—the most popular English proficiency tests were developed decades ago. These tests must be taken in physical testing centers and usually cost hundreds of dollars per test, which is inconvenient for test-takers everywhere, and prohibitive for many, particularly in emerging economies.</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Duolingo English Test uses AI and machine learning for question generation, adaptive administration, and automated grading, as well as AI assistance for proctoring and security. For example, each exam dynamically administers questions from a database of tens of thousands of items based on the demonstrated proficiency of the test-taker, minimizing the exposure of test questions and ensuring that no two test takers receive the same exam. Our pioneering research allows us to offer the Duolingo English Test affordably and on-demand, while ensuring it is valid, reliable, and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44" w:right="35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820420</wp:posOffset>
            </wp:positionV>
            <wp:extent cx="5349240" cy="5854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Events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virtual Duolingo Events are online gatherings that bring together language learners from around the world for fun, casual conversation practice. Our volunteer Event hosts are passionate and enthusiastic Duolingo learners who are willing to share their language skills and connect with language learners around the world. Accessible via our website, Events are free to attend for our learners and provide them an opportunity to practice language skills with fellow learners.</w:t>
      </w:r>
    </w:p>
    <w:p>
      <w:pPr>
        <w:sectPr>
          <w:pgSz w:w="11900" w:h="16838" w:orient="portrait"/>
          <w:cols w:equalWidth="0" w:num="1">
            <w:col w:w="11140"/>
          </w:cols>
          <w:pgMar w:left="320" w:top="14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140"/>
          </w:cols>
          <w:pgMar w:left="320" w:top="144" w:right="439" w:bottom="1440" w:gutter="0" w:footer="0" w:header="0"/>
          <w:type w:val="continuous"/>
        </w:sectPr>
      </w:pPr>
    </w:p>
    <w:bookmarkStart w:id="145" w:name="page146"/>
    <w:bookmarkEnd w:id="14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Podcast</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Duolingo podcasts help develop listening comprehension skills by leading learners through fascinating, true-life stories from around the world. Available on Spotify, Apple Podcasts, YouTube, Google Podcasts, and on our website, our podcasts are targeted at intermediate language learners, with slowed-down storytelling and scaffolding in the learner’s native language. Learners can also read along with transcripts online. We presently provide Spanish and French podcasts for English-speakers, and an English podcast for Spanish-speakers. The Duolingo Spanish podcast is consistently among the top five education podcasts in the United States on the Apple Podcast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For Schools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Duolingo for Schools is a free web-based tool that makes it easier for teachers to use our platform in a structured learning environment. With Duolingo for Schools, teachers can create a dashboard for a class, assign specific Duolingo content to students in the class, and track students’ progress through the content. Based on a 2020 survey, we believe that almost 40% of foreign language teachers in US K-12 schools use Duolingo in their classrooms in some 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ABC</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Introduced in 2020, Duolingo ABC is a free app that teaches children ages three to six early literacy skills. Developed by learning experts, the app includes over 300 fun, bite-sized lessons that guide children on a step-by-step path to reading. Duolingo ABC is aligned with the Common Core State Standards, and is designed based on recommendations by the National Reading Panel. In creating Duolingo ABC, we have taken our expertise in gamified learning and applied it to teaching the fundamentals of literacy. Lessons feel like games, while at the same time teaching young children fundamental skills including phonics, phonemic awareness, fluency, and comprehension. The app’s design is intuitive and children can use it either with an adult or on their own, without supervision.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217170</wp:posOffset>
            </wp:positionV>
            <wp:extent cx="5349240" cy="267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 w:right="35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Attracting and retaining amazing talent is key to our success. As of June 30, 2021, we had over 400 employees. Most of our employees are located at our headquarters in Pittsburgh, Pennsylvania, and we also have offices in New York, Seattle, and Beijing. We believe that being located outside of Silicon Valley has helped us cultivate a unique company culture.</w:t>
      </w:r>
    </w:p>
    <w:p>
      <w:pPr>
        <w:spacing w:after="0" w:line="14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When Luis von Ahn and Severin Hacker started Duolingo, they thought deeply about the kind of culture and work environment that they wanted. Knowing that we spend most of our lives working, they wanted to create a workplace where everyone looked forward to coming to work every day. They also wanted a workplace with a diverse group of people who are smart, hard-working, and inspiring—but who also don’t take themselves too seriously.</w:t>
      </w:r>
    </w:p>
    <w:p>
      <w:pPr>
        <w:spacing w:after="0" w:line="152"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Fundamental to Duolingo's culture is our mission orientation. Our mission tends to attract a certain kind of person. Our employees have a very strong sense of social responsibility and are interested in solving hard problems for the benefit of humanity. Over time, we have also developed nine “operating principles” that articulate our values as a company and help guide how we make decisions.</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our mission, our culture, and the challenges we work on every day, we believe we have had great success in attracting the best talent. We have a very selective recruitment process: we hire one out of every 353 applicants. We recruit interns and new graduates from the top computer science, design, and business programs in the country. We also recruit experienced professionals from top technology companies—and many of them relocate from Silicon Valley to Pittsburgh. We have an offer-to-accept ratio of 85% for industry hires, which we believe is a direct reflection of the power of our mission.</w:t>
      </w:r>
    </w:p>
    <w:p>
      <w:pPr>
        <w:spacing w:after="0" w:line="15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Employees also stay at Duolingo for a long time. In 2020, our employee attrition was a record low: four employees, or under 2% of our workforce. In 2019, our yearly attrition was approximately 6%. We believe that the longevity of our employees provides us with a key advantage.</w:t>
      </w:r>
    </w:p>
    <w:p>
      <w:pPr>
        <w:spacing w:after="0" w:line="1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Diversity, Equity, Inclusion, and Belonging (DEIB) is also core to who we are. We are proud to say that Duolingo was founded by two immigrants and that our employees come from over 30 countries. More than half of our employees are women-identifying or people of color. A third of our C-suite executives are women-identifying, including our Senior Vice President of Engineering. Today, our engineering organization is almost 30% women-identifying. Our board of directors includes four women-identifying directors, including the chair of our audit, risk and compliance committee, one director who identifies as LGBTQ, and one Black director. While we are proud of the diversity we have achieved so far, we also know that we still have more we need to do.</w:t>
      </w:r>
    </w:p>
    <w:p>
      <w:pPr>
        <w:spacing w:after="0" w:line="15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To further advance our mission, we intend to use up to 1% of our equity to fund other organizations who are committed to helping people around the world access better educational opportunities. We have reserved 323,500 shares of our Class A common stock for potential future sale or donation to fund and support these social impact initiatives. We also donate money and discount access to our platform for non-profit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 w:right="359" w:bottom="1440"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346075</wp:posOffset>
            </wp:positionV>
            <wp:extent cx="7012305" cy="906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012305"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20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114" w:lineRule="exact"/>
        <w:rPr>
          <w:sz w:val="20"/>
          <w:szCs w:val="20"/>
          <w:color w:val="auto"/>
        </w:rPr>
      </w:pPr>
    </w:p>
    <w:p>
      <w:pPr>
        <w:ind w:left="660" w:right="100" w:hanging="328"/>
        <w:spacing w:after="0" w:line="259"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Brand campaigns. </w:t>
      </w:r>
      <w:r>
        <w:rPr>
          <w:rFonts w:ascii="Arial" w:cs="Arial" w:eastAsia="Arial" w:hAnsi="Arial"/>
          <w:sz w:val="18"/>
          <w:szCs w:val="18"/>
          <w:color w:val="auto"/>
        </w:rPr>
        <w:t>Our brand marketing increases awareness of Duolingo through online and offline campaigns that drive press,</w:t>
      </w:r>
      <w:r>
        <w:rPr>
          <w:rFonts w:ascii="Arial" w:cs="Arial" w:eastAsia="Arial" w:hAnsi="Arial"/>
          <w:sz w:val="18"/>
          <w:szCs w:val="18"/>
          <w:b w:val="1"/>
          <w:bCs w:val="1"/>
          <w:color w:val="auto"/>
        </w:rPr>
        <w:t xml:space="preserve"> </w:t>
      </w:r>
      <w:r>
        <w:rPr>
          <w:rFonts w:ascii="Arial" w:cs="Arial" w:eastAsia="Arial" w:hAnsi="Arial"/>
          <w:sz w:val="18"/>
          <w:szCs w:val="18"/>
          <w:color w:val="auto"/>
        </w:rPr>
        <w:t>social sharing, and more word-of-mouth virality. For example, in December 2020, we launched our New Year’s 2021 campaign, our largest ad campaign to date, delivering a unified brand message across multiple international markets that resulted in an increase in aided brand awareness of 6% in the United States, 3% in the United Kingdom, and 3% in Mexico. Investments in our brand enable us to drive long-term growth by attracting new learners to our platform and keeping existing learners engaged.</w:t>
      </w:r>
    </w:p>
    <w:p>
      <w:pPr>
        <w:spacing w:after="0" w:line="125"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Owned media marketing. </w:t>
      </w:r>
      <w:r>
        <w:rPr>
          <w:rFonts w:ascii="Arial" w:cs="Arial" w:eastAsia="Arial" w:hAnsi="Arial"/>
          <w:sz w:val="18"/>
          <w:szCs w:val="18"/>
          <w:color w:val="auto"/>
        </w:rPr>
        <w:t>Our owned media marketing engages our learner community, creating millions of brand advocates who</w:t>
      </w:r>
      <w:r>
        <w:rPr>
          <w:rFonts w:ascii="Arial" w:cs="Arial" w:eastAsia="Arial" w:hAnsi="Arial"/>
          <w:sz w:val="18"/>
          <w:szCs w:val="18"/>
          <w:b w:val="1"/>
          <w:bCs w:val="1"/>
          <w:color w:val="auto"/>
        </w:rPr>
        <w:t xml:space="preserve"> </w:t>
      </w:r>
      <w:r>
        <w:rPr>
          <w:rFonts w:ascii="Arial" w:cs="Arial" w:eastAsia="Arial" w:hAnsi="Arial"/>
          <w:sz w:val="18"/>
          <w:szCs w:val="18"/>
          <w:color w:val="auto"/>
        </w:rPr>
        <w:t>drive word-of-mouth virality by sharing their love of Duolingo within their networks. We send our learners personalized emails and push notifications that provide progress reports, lesson reminders, and sometimes a simple message of positivity to encourage them to remain engaged.</w:t>
      </w:r>
    </w:p>
    <w:p>
      <w:pPr>
        <w:spacing w:after="0" w:line="122"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Paid acquisition. </w:t>
      </w:r>
      <w:r>
        <w:rPr>
          <w:rFonts w:ascii="Arial" w:cs="Arial" w:eastAsia="Arial" w:hAnsi="Arial"/>
          <w:sz w:val="18"/>
          <w:szCs w:val="18"/>
          <w:color w:val="auto"/>
        </w:rPr>
        <w:t>We complement and accelerate our organic user acquisition with strategic and targeted paid marketing spend.</w:t>
      </w:r>
      <w:r>
        <w:rPr>
          <w:rFonts w:ascii="Arial" w:cs="Arial" w:eastAsia="Arial" w:hAnsi="Arial"/>
          <w:sz w:val="18"/>
          <w:szCs w:val="18"/>
          <w:b w:val="1"/>
          <w:bCs w:val="1"/>
          <w:color w:val="auto"/>
        </w:rPr>
        <w:t xml:space="preserve"> </w:t>
      </w:r>
      <w:r>
        <w:rPr>
          <w:rFonts w:ascii="Arial" w:cs="Arial" w:eastAsia="Arial" w:hAnsi="Arial"/>
          <w:sz w:val="18"/>
          <w:szCs w:val="18"/>
          <w:color w:val="auto"/>
        </w:rPr>
        <w:t>Our paid acquisition strategy is focused on targeting high quality user segments that are more likely to subscribe and on investing in new markets to kickstart our organic growth.</w:t>
      </w:r>
    </w:p>
    <w:p>
      <w:pPr>
        <w:spacing w:after="0" w:line="116"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Geographic expansion. </w:t>
      </w:r>
      <w:r>
        <w:rPr>
          <w:rFonts w:ascii="Arial" w:cs="Arial" w:eastAsia="Arial" w:hAnsi="Arial"/>
          <w:sz w:val="18"/>
          <w:szCs w:val="18"/>
          <w:color w:val="auto"/>
        </w:rPr>
        <w:t>In markets where our organic awareness is relatively low and opportunity for growth is strong, we hire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local marketing managers and engage in localized social media and influencer-led campaigns, app store optimization, and paid advertising to generate interest in our products and drive new learner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our relentless focus on building an engaging and effective language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growth in internet access and mobile adoption around the world;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continue to increase our learner base through organic, word-of-mouth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scale, growth and engagement of our learners relative to those of our competitors;</w:t>
      </w:r>
    </w:p>
    <w:p>
      <w:pPr>
        <w:spacing w:after="0" w:line="171"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introduce new, and improve on existing, features and products in response to competition, learner preferences, and market and industry trends;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 w:right="33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own several trademarks that have been registered, or for which registration applications are pending, in the United States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trademark protection, we have registered several domain names, including www.duolingo.com, and we own several registered copyrights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 For information regarding risks related to our intellectual property, please see “Risk Factors—Risks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collect and use personal information to create online accounts, process e-commerce transactions, provide customer service, support, and for other purposes. The regulatory framework for data protection, privacy and information security is evolving rapidly. The US Federal Trade Commission (FTC) and many state attorneys general are applying federal and state consumer protection laws to require that the online collection, use and dissemination of data, the presentation of website or other electronic content, and comply with certain standards for notice, choice, security and access. Courts may also adopt these developing standards. A number of states, including California and Virginia, have enacted laws or are considering the enactment of laws governing the personal information received from consumers, or imposing new requirements around the collection, use, sharing, and handling of data collected from or about consumers or their devices. In many cases, the specific limitations imposed by these standards are subject to interpretation by courts and other governmental authorities. For example, the California Consumer Privacy Act (CCPA) went into effect on January 1, 2020. The CCPA requires covered companies to, among other things, provide new disclosures to California consumers and afford such consumers new abilities to opt-out of certain sales of personal information. Additionally, the CPRA, a new privacy law that significantly modifies the CCPA, was passed by California voters in November 2020. Aspects of the CCPA, the CPRA and other laws and regulations relating to data protection, privacy, and information security, as well as their enforcement, remain unclear, and we may be required to modify our practices in an effort to comply with them. The CCPA and CPRA could mark the beginning of a trend toward more stringent privacy legislation in the United States. The CCPA has already prompted a number of proposals for federal and state privacy legislation that, if passed, could increase our potential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add layers of complexity to compliance in the US market, increase our compliance costs and adversely affect our business.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Children’s Online Privacy Protection Act (COPPA) applies to operators of commercial websites and online services directed to US children under the age of 13 that collect personal information from children and operators of general audience sites with actual knowledge that they are collecting information from US children under the age of 13. Our services are not directed at children and we employ an age-gating procedure whereby anyone from the United States identifying themselves as being under the age of 13 during the registration process is directed to a separate ad-free portion of the service, with special enrollment procedures and restricted information practices. We also apply age-gating for non-US subscribers according to foreign laws.</w:t>
      </w:r>
    </w:p>
    <w:p>
      <w:pPr>
        <w:spacing w:after="0" w:line="15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A determination by a state, federal or local agency or court that any of our practices do not meet these legal requirements or standards could result in liability and adversely affect our business. New interpretations of these standards could also require us to incur additional costs and restrict our business operations.</w:t>
      </w:r>
    </w:p>
    <w:p>
      <w:pPr>
        <w:spacing w:after="0" w:line="14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have many subscribers who access and pay our services from outside the United States. Foreign data protection, e-commerce, privacy, consumer protection, content regulation and other laws and regulations are often more restrictive or burdensome than those in the United States, and those governments may attempt to apply such laws extraterritorially or through treaties or other arrangements with US governmental entities. We might unintentionally violate such laws, such laws may be modified and new laws may be enacted in the future which may increase the chance that we violate them unintentionally. Any such developments, or developments stemming from enactment or modification of other laws, or the failure to accurately anticipate the application or interpretation of these laws could create liability to us, result in adverse publicity and negatively affect our business. For example, in the EEA we are subject to the GDPR and in the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data subject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processing activities; and complying with the principle of accountability and the obligation to demonstrate compliance through policies, procedures, training and audit. Non-compliance with the GDPR and the UK GDPR may attract substantial monetary penalties. In particular, fines for the most serious violations can amount up to the greater of €20 million/£17.5 million or, in the case of an undertaking, 4% of the total annual global turnover of the preceding financial year. Complying with the GDPR and the UK GDPR may cause us to incur substantial operational costs or require us to change certain business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and Space</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lease approximately 47,000 square feet in multiple facilities in Pittsburgh, Pennsylvania where we operate our headquarters. Our headquarters currently accommodates our principal executive, development, engineering, product, marketing, business development, human resources, finance, legal, information technology and administrative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 w:right="35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Outside of Pittsburgh, we and our subsidiary in China use co-working space as needed for the business. As of March 31, 2021, we have membership agreements with WeWork for offices in or near New York, Seattle, Beijing, and Tokyo.</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involved in, and may in the future be involved in, legal proceedings, claims, and government investigations in the ordinary course of business. These include proceedings, claims, and investigations relating to, among other things, regulatory matters, commercial matters, intellectual property, competition, tax, employment, pricing, discrimination, and consumer rights.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Depending on the nature of the proceeding, claim, or investigation, we may be subject to monetary damage awards, fines, penalties, or injunctive orders. Furthermore, the outcome of these matters could materially adversely affect our business, results of operations, and financial condition. The outcomes of legal proceedings, claims, and government investigations are inherently unpredictable and subject to significant judgment to determine the likelihood and amount of loss related to such matters. While it is not possible to determine the outcomes, we believe based on our current knowledge that the resolution of all such pending matters will not, either individually or in the aggregate, have a material adverse effect on our business,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20"/>
          </w:cols>
          <w:pgMar w:left="320" w:top="144" w:right="55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of June 30, 2021, regarding our executive officers and directors: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Age</w:t>
            </w:r>
          </w:p>
        </w:tc>
        <w:tc>
          <w:tcPr>
            <w:tcW w:w="7080" w:type="dxa"/>
            <w:vAlign w:val="bottom"/>
          </w:tcPr>
          <w:p>
            <w:pPr>
              <w:ind w:left="3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3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7080" w:type="dxa"/>
            <w:vAlign w:val="bottom"/>
            <w:tcBorders>
              <w:top w:val="single" w:sz="8" w:color="auto"/>
            </w:tcBorders>
            <w:shd w:val="clear" w:color="auto" w:fill="DBDBDB"/>
          </w:tcPr>
          <w:p>
            <w:pPr>
              <w:spacing w:after="0"/>
              <w:rPr>
                <w:sz w:val="19"/>
                <w:szCs w:val="19"/>
                <w:color w:val="auto"/>
              </w:rPr>
            </w:pP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Luis von Ahn</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President, Chief Executive Officer, Co-Founder, and 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Severin Hacker</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Technology Officer, Co-Founder, and 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Matthew Skaruppa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Robert Meese</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Natalie Glance</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Senior Vice President, Engineering</w:t>
            </w: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Stephen Chen</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Counsel</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29"/>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Amy Bohutinsky(1)(3)</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Sara Clemens(2)(3)</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Bing Gordon(2)</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Gillian Munson(1)</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Jim Shelton(1)(3)</w:t>
            </w:r>
          </w:p>
        </w:tc>
        <w:tc>
          <w:tcPr>
            <w:tcW w:w="7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shd w:val="clear" w:color="auto" w:fill="DBDBDB"/>
          </w:tcPr>
          <w:p>
            <w:pPr>
              <w:spacing w:after="0"/>
              <w:rPr>
                <w:sz w:val="19"/>
                <w:szCs w:val="19"/>
                <w:color w:val="auto"/>
              </w:rPr>
            </w:pPr>
          </w:p>
        </w:tc>
        <w:tc>
          <w:tcPr>
            <w:tcW w:w="7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Laela Sturdy(1)</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audit, risk and compliance committee.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compensation and leadership committee.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85"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 xml:space="preserve">Luis von Ahn, Ph.D. </w:t>
      </w:r>
      <w:r>
        <w:rPr>
          <w:rFonts w:ascii="Arial" w:cs="Arial" w:eastAsia="Arial" w:hAnsi="Arial"/>
          <w:sz w:val="18"/>
          <w:szCs w:val="18"/>
          <w:color w:val="auto"/>
        </w:rPr>
        <w:t>has served as a member of our board of directors and as our Chief Executive Officer since August 2011, when he co-founded Duolingo with Dr. Hacker. Prior to founding Duolingo, he served as the Chief Executive Officer of reCAPTCHA, Inc., a fraud detection technology company, from 2007 until its acquisition by Google in 2009. Dr. von Ahn has served on the board of directors of Root, Inc., a publicly-traded technology company focusing on personal insurance, since October 2020. Dr. von Ahn holds a B.S. in Mathematics from Duke University and a Ph.D. in Computer Science from Carnegie Mellon University. We believe Dr. von Ahn is qualified to serve as a member of our board of directors because of his perspective and experience building and leading our business as co-founder and Chief Executive Officer.</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Severin Hacker, Ph.D. </w:t>
      </w:r>
      <w:r>
        <w:rPr>
          <w:rFonts w:ascii="Arial" w:cs="Arial" w:eastAsia="Arial" w:hAnsi="Arial"/>
          <w:sz w:val="18"/>
          <w:szCs w:val="18"/>
          <w:color w:val="auto"/>
        </w:rPr>
        <w:t>has served as a member of our board of directors and as our Chief Technology Officer since August 2011, when he</w:t>
      </w:r>
      <w:r>
        <w:rPr>
          <w:rFonts w:ascii="Arial" w:cs="Arial" w:eastAsia="Arial" w:hAnsi="Arial"/>
          <w:sz w:val="18"/>
          <w:szCs w:val="18"/>
          <w:b w:val="1"/>
          <w:bCs w:val="1"/>
          <w:color w:val="auto"/>
        </w:rPr>
        <w:t xml:space="preserve"> </w:t>
      </w:r>
      <w:r>
        <w:rPr>
          <w:rFonts w:ascii="Arial" w:cs="Arial" w:eastAsia="Arial" w:hAnsi="Arial"/>
          <w:sz w:val="18"/>
          <w:szCs w:val="18"/>
          <w:color w:val="auto"/>
        </w:rPr>
        <w:t>co-founded Duolingo with Dr. von Ahn. Dr. Hacker holds a B.S. in Computer Science from Eidgenossische Technische Hochschule Zurich, Switzerland and a Ph.D. in Computer Science from Carnegie Mellon University. We believe Dr. Hacker is qualified to serve as a member of our board of directors because of his perspective and experience building and leading our business as co-founder and Chief Technology Officer.</w:t>
      </w:r>
    </w:p>
    <w:p>
      <w:pPr>
        <w:spacing w:after="0" w:line="124" w:lineRule="exact"/>
        <w:rPr>
          <w:sz w:val="20"/>
          <w:szCs w:val="20"/>
          <w:color w:val="auto"/>
        </w:rPr>
      </w:pPr>
    </w:p>
    <w:p>
      <w:pPr>
        <w:jc w:val="both"/>
        <w:ind w:right="40"/>
        <w:spacing w:after="0" w:line="284" w:lineRule="auto"/>
        <w:rPr>
          <w:sz w:val="20"/>
          <w:szCs w:val="20"/>
          <w:color w:val="auto"/>
        </w:rPr>
      </w:pPr>
      <w:r>
        <w:rPr>
          <w:rFonts w:ascii="Arial" w:cs="Arial" w:eastAsia="Arial" w:hAnsi="Arial"/>
          <w:sz w:val="18"/>
          <w:szCs w:val="18"/>
          <w:b w:val="1"/>
          <w:bCs w:val="1"/>
          <w:color w:val="auto"/>
        </w:rPr>
        <w:t xml:space="preserve">Matthew Skaruppa </w:t>
      </w:r>
      <w:r>
        <w:rPr>
          <w:rFonts w:ascii="Arial" w:cs="Arial" w:eastAsia="Arial" w:hAnsi="Arial"/>
          <w:sz w:val="18"/>
          <w:szCs w:val="18"/>
          <w:color w:val="auto"/>
        </w:rPr>
        <w:t>has served as our Chief Financial Officer since February 2020. From January 2016 to February 2020, he served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Goldman Sachs. Previously, Mr. Skaruppa served as Principal at KKR Capstone from 2010 to 2015 and as a consultant at Bain &amp; Company from 2004 to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 w:right="33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Mr. Skaruppa holds a B.S. in Chemical Engineering from Northwestern University and an M.B.A. from the Stanford Graduate School of Business.</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Robert Meese </w:t>
      </w:r>
      <w:r>
        <w:rPr>
          <w:rFonts w:ascii="Arial" w:cs="Arial" w:eastAsia="Arial" w:hAnsi="Arial"/>
          <w:sz w:val="18"/>
          <w:szCs w:val="18"/>
          <w:color w:val="auto"/>
        </w:rPr>
        <w:t>has served as our Chief Business Officer since March 2021, after having served as our Chief Revenue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2018 to March 2021 and our Vice President of Business from September 2016 to December 2018. From August 2008 to September 2016, he held various roles at Google, including most recently as Director, Global Head of Games Business Development, Google Play. Mr. Meese holds a B.S. in Economics and a B.S. in Computer Science from the University of Pennsylvania and an M.B.A. from the Massachusetts Institute of Technology.</w:t>
      </w:r>
    </w:p>
    <w:p>
      <w:pPr>
        <w:spacing w:after="0" w:line="12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 xml:space="preserve">Natalie Glance, Ph.D. </w:t>
      </w:r>
      <w:r>
        <w:rPr>
          <w:rFonts w:ascii="Arial" w:cs="Arial" w:eastAsia="Arial" w:hAnsi="Arial"/>
          <w:sz w:val="18"/>
          <w:szCs w:val="18"/>
          <w:color w:val="auto"/>
        </w:rPr>
        <w:t>has served as our Senior Vice President of Engineering since December 2019, after having served as our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Engineering from February 2017 to December 2019 and our Director of Engineering from March 2015 to February 2017. From 2007 to 2015, Dr. Glance served as an Engineering Manager at Google. Dr. Glance holds a B.A. in Physics from Princeton University and a Ph.D. in Physics from Stanford University.</w:t>
      </w:r>
    </w:p>
    <w:p>
      <w:pPr>
        <w:spacing w:after="0" w:line="121" w:lineRule="exact"/>
        <w:rPr>
          <w:sz w:val="20"/>
          <w:szCs w:val="20"/>
          <w:color w:val="auto"/>
        </w:rPr>
      </w:pPr>
    </w:p>
    <w:p>
      <w:pPr>
        <w:jc w:val="both"/>
        <w:ind w:right="100"/>
        <w:spacing w:after="0" w:line="278" w:lineRule="auto"/>
        <w:rPr>
          <w:sz w:val="20"/>
          <w:szCs w:val="20"/>
          <w:color w:val="auto"/>
        </w:rPr>
      </w:pPr>
      <w:r>
        <w:rPr>
          <w:rFonts w:ascii="Arial" w:cs="Arial" w:eastAsia="Arial" w:hAnsi="Arial"/>
          <w:sz w:val="18"/>
          <w:szCs w:val="18"/>
          <w:b w:val="1"/>
          <w:bCs w:val="1"/>
          <w:color w:val="auto"/>
        </w:rPr>
        <w:t xml:space="preserve">Stephen Chen </w:t>
      </w:r>
      <w:r>
        <w:rPr>
          <w:rFonts w:ascii="Arial" w:cs="Arial" w:eastAsia="Arial" w:hAnsi="Arial"/>
          <w:sz w:val="18"/>
          <w:szCs w:val="18"/>
          <w:color w:val="auto"/>
        </w:rPr>
        <w:t>has served as our General Counsel since March 2020. From July 2014 to February 2020, he served as Associate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Proofpoint, Inc., an enterprise security company. Mr. Chen previously served as Associate General Counsel of Marin Software, Director and Senior Counsel, Mergers and Acquisition at VMWare, Inc. and Legal Director of Yahoo!. Mr. Chen holds a B.A. in History and a J.D. from Harvard University.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 xml:space="preserve">Amy Bohutinsky </w:t>
      </w:r>
      <w:r>
        <w:rPr>
          <w:rFonts w:ascii="Arial" w:cs="Arial" w:eastAsia="Arial" w:hAnsi="Arial"/>
          <w:sz w:val="18"/>
          <w:szCs w:val="18"/>
          <w:color w:val="auto"/>
        </w:rPr>
        <w:t>has served as a member of our board of directors since June 2020. From 2005 to 2019, she held various leadership roles</w:t>
      </w:r>
      <w:r>
        <w:rPr>
          <w:rFonts w:ascii="Arial" w:cs="Arial" w:eastAsia="Arial" w:hAnsi="Arial"/>
          <w:sz w:val="18"/>
          <w:szCs w:val="18"/>
          <w:b w:val="1"/>
          <w:bCs w:val="1"/>
          <w:color w:val="auto"/>
        </w:rPr>
        <w:t xml:space="preserve"> </w:t>
      </w:r>
      <w:r>
        <w:rPr>
          <w:rFonts w:ascii="Arial" w:cs="Arial" w:eastAsia="Arial" w:hAnsi="Arial"/>
          <w:sz w:val="18"/>
          <w:szCs w:val="18"/>
          <w:color w:val="auto"/>
        </w:rPr>
        <w:t>at Zillow Group, Inc., a publicly-traded online real estate marketplace company, including most recently as the Chief Operating Officer, from August 2015 to 2019, and as the Chief Marketing Officer, from March 2011 to August 2015. From 2001 to 2005, Ms. Bohutinsky served in various leadership positions at Hotwire, Inc., an online travel company, including Director of Corporate Communications. Ms. Bohutinsky has consulted as a venture partner at TCV, a private equity and venture capital firm, since 2019. Ms. Bohutinsky has served on the board of directors of Zillow Group since October 2018. Previously, she served on the board of directors of Gap, Inc., a publicly-traded clothing retailer, from 2018 to 2020. She also previously served on the boards of directors of HotelTonight, LLC, a privately held mobile-based hotel booking service (acquired by Airbnb, Inc. in 2019) and Avvo, Inc., a privately held online legal marketplace (acquired by Internet Brands in 2018). Ms. Bohutinsky holds a B.A. in Journalism and Mass Communications from Washington &amp; Lee University. We believe Ms. Bohutinsky is qualified to serve as a member of our board of directors due to her valuable strategic and operational expertise and experience as director and senior leader of other large consumer-facing companies.</w:t>
      </w:r>
    </w:p>
    <w:p>
      <w:pPr>
        <w:spacing w:after="0" w:line="135"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 xml:space="preserve">Sara Clemens </w:t>
      </w:r>
      <w:r>
        <w:rPr>
          <w:rFonts w:ascii="Arial" w:cs="Arial" w:eastAsia="Arial" w:hAnsi="Arial"/>
          <w:sz w:val="18"/>
          <w:szCs w:val="18"/>
          <w:color w:val="auto"/>
        </w:rPr>
        <w:t>has served as a member of our board of directors since June 2020. Ms. Clemens has served as the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at Twitch since January 2018. From 2014 to 2017, she served as the Chief Operating Officer at Pandora Media and, from 2012 to 2013, she served as the Vice President of Corporate Development at LinkedIn. Ms. Clemens currently serves as on the board of directors of Khosla Ventures Acquisition Co. III. Ms. Clemens holds a B.A. in English and an M.A. (Hons) from the University of Canterbury, New Zealand. We believe Ms. Clemens is qualified to serve as a member of our board of directors due to her extensive strategic and operational expertise and experience in senior leadership roles at other technology companies.</w:t>
      </w:r>
    </w:p>
    <w:p>
      <w:pPr>
        <w:spacing w:after="0" w:line="12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b w:val="1"/>
          <w:bCs w:val="1"/>
          <w:color w:val="auto"/>
        </w:rPr>
        <w:t xml:space="preserve">Bing Gordon </w:t>
      </w:r>
      <w:r>
        <w:rPr>
          <w:rFonts w:ascii="Arial" w:cs="Arial" w:eastAsia="Arial" w:hAnsi="Arial"/>
          <w:sz w:val="18"/>
          <w:szCs w:val="18"/>
          <w:color w:val="auto"/>
        </w:rPr>
        <w:t>has served as a member of our board of directors since February 2020. Since June 2008, Mr. Gordon has served as a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at Kleiner Perkins Caufield &amp; Byers, a venture capital firm. From 1998 to 2009, he served as the Executive Vice President and Chief Creative officer of Electronic Acts,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144" w:right="379"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gaming company he co-founded. Mr. Gordon has served on the board of directors of Zynga Inc., a publicly-traded video game developer, since July 2008. Mr. Gordon is a special advisor to the board of directors of Amazon, and was previously a member of its board from 2003 to 2018. Mr. Gordon holds a B.A. in English from Yale and an M.B.A. from the Stanford Graduate School of Business. We believe Mr. Gordon is qualified to serve as a member of our board of directors due to his investment, strategic and operational expertise and his experience in senior leadership roles at other technology companies.</w:t>
      </w:r>
    </w:p>
    <w:p>
      <w:pPr>
        <w:spacing w:after="0" w:line="132"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 xml:space="preserve">Gillian Munson </w:t>
      </w:r>
      <w:r>
        <w:rPr>
          <w:rFonts w:ascii="Arial" w:cs="Arial" w:eastAsia="Arial" w:hAnsi="Arial"/>
          <w:sz w:val="18"/>
          <w:szCs w:val="18"/>
          <w:color w:val="auto"/>
        </w:rPr>
        <w:t>has served as a member of our board of directors since September 2019. Ms. Munson has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Iora Health, Inc., a healthcare company, since January 2021 and as a Venture Partner at Union Square Ventures since April 2019. From 2013 to 2019, she served as Chief Financial Officer of XO Group Inc., the parent company of The Knot Inc., a media and technology company. Ms. Munson’s previous positions include Managing Director at Allen &amp; Company LLC, Vice President, Business Development at Symbol Technologies, LLC, and both Executive Director and Senior Equity Analyst at Morgan Stanley. Ms. Munson has served on the board of directors of Phreesia, Inc., a publicly-traded software company, since May 2019, and previously served on the board of directors of Monster Worldwide, Inc. from 2015 to 2016. Ms. Munson holds a B.A. in Political Science and Economics from the Colorado College in Colorado Springs. We believe Ms. Munson is qualified to serve as a member of our board of directors due to her experiences in senior leadership roles at consumer-facing companies and her background in investment and research.</w:t>
      </w:r>
    </w:p>
    <w:p>
      <w:pPr>
        <w:spacing w:after="0" w:line="132"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 xml:space="preserve">Jim Shelton </w:t>
      </w:r>
      <w:r>
        <w:rPr>
          <w:rFonts w:ascii="Arial" w:cs="Arial" w:eastAsia="Arial" w:hAnsi="Arial"/>
          <w:sz w:val="18"/>
          <w:szCs w:val="18"/>
          <w:color w:val="auto"/>
        </w:rPr>
        <w:t>has served as a member of our board of directors since October 2020. Mr. Shelton has served as the Chief Investment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Officer at the Blue Meridian Partners, a nonprofit funding collaborative, since January 2020, and a Partner of Amandla Enterprises, an impact investment and advisory firm, since July 2018. From July 2016 to July 2018, he served as the President of Education for the Chan Zuckerberg Initiative. From June 2015 to July 2016, Mr. Shelton previously served as the President and Chief Impact Officer of 2U, Inc., an educational technology company. From 2009 to 2015, he held various roles at the US Department of Education, most recently as Deputy Secretary and Chief Operating Officer. Mr. Shelton holds a B.A. in Computer Science from Morehouse College and an M.S. in Education and an M.B.A. from the Stanford Graduate School of Business. We believe Mr. Shelton is qualified to serve as a member of our board of directors due to his extensive experience in senior leadership roles at public companies and in the government, along with his commitment to education.</w:t>
      </w:r>
    </w:p>
    <w:p>
      <w:pPr>
        <w:spacing w:after="0" w:line="13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Laela Sturdy </w:t>
      </w:r>
      <w:r>
        <w:rPr>
          <w:rFonts w:ascii="Arial" w:cs="Arial" w:eastAsia="Arial" w:hAnsi="Arial"/>
          <w:sz w:val="18"/>
          <w:szCs w:val="18"/>
          <w:color w:val="auto"/>
        </w:rPr>
        <w:t>has served as a member of our board of directors since March 2020. Ms. Sturdy has served as a General Partner at CapitalG,</w:t>
      </w:r>
      <w:r>
        <w:rPr>
          <w:rFonts w:ascii="Arial" w:cs="Arial" w:eastAsia="Arial" w:hAnsi="Arial"/>
          <w:sz w:val="18"/>
          <w:szCs w:val="18"/>
          <w:b w:val="1"/>
          <w:bCs w:val="1"/>
          <w:color w:val="auto"/>
        </w:rPr>
        <w:t xml:space="preserve"> </w:t>
      </w:r>
      <w:r>
        <w:rPr>
          <w:rFonts w:ascii="Arial" w:cs="Arial" w:eastAsia="Arial" w:hAnsi="Arial"/>
          <w:sz w:val="18"/>
          <w:szCs w:val="18"/>
          <w:color w:val="auto"/>
        </w:rPr>
        <w:t>the growth investment fund financed by Alphabet Inc., since October 2013. Previously, Ms. Sturdy held several roles at Google, including Managing Director, Emerging Businesses. Since March 2021, Ms. Sturdy has served on the board of directors of UiPath, Inc., a publicly-traded process automation software company, and previously served on the board of directors of Care.com from July 2016 to May 2019. Ms. Sturdy holds an A.B. in Biochemistry from Harvard College, an M.Sc. in Multimedia Systems from Trinity College Dublin and an M.B.A. from the Stanford Graduate School of Business. We believe Ms. Sturdy is qualified to serve as a member of our board of directors due to her experience in investing in, and facilitating the growth of, technology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which will become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144" w:right="35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the completion of this offering. Our board of directors currently consists of nine directors, seven of whom will qualify as “independent” under the Nasdaq Listing Rules.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Mmes. Bohutinsky, Clemens, Munson, and Sturdy and Messrs. Gordon and Shelton qualify as independent directors in accordance with the Nasdaq Listing Rules.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Our board of directors has made a subjective determination as to each independent director that no relationships exists that, in the opinion of our board of directors, would interfere with the exercise of independent judgment in carrying out the responsibilities of a director. Drs. von Ahn and Hacker are not considered independent by virtue of their positions as our Chief Executive Officer and Chief Technology Officer, respectively. In making these determinations, our board of directors reviewed and discussed information provided by the directors and us with regard to each director’s relationships as they may relate to us and our management, including the beneficial ownership of our capital stock by each director, and the transactions involving them described in the section titled “Certain Relationships and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In accordance with our amended and restated certificate of incorporation, which will become effective immediately prior to the completion of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39" w:lineRule="exact"/>
        <w:rPr>
          <w:sz w:val="20"/>
          <w:szCs w:val="20"/>
          <w:color w:val="auto"/>
        </w:rPr>
      </w:pPr>
    </w:p>
    <w:p>
      <w:pPr>
        <w:ind w:left="660" w:right="36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 directors will be Bing Gordon and Laela Sturdy, and their terms will expire at the annual meeting of stockholders to be held in 2022;</w:t>
      </w:r>
    </w:p>
    <w:p>
      <w:pPr>
        <w:spacing w:after="0" w:line="143"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 directors will be Amy Bohutinsky, Gillian Munson, and Jim Shelton, and their terms will expire at the annual meeting of stockholders to be held in 2023; and</w:t>
      </w:r>
    </w:p>
    <w:p>
      <w:pPr>
        <w:spacing w:after="0" w:line="14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III directors will be Luis von Ahn, Sara Clemens, and Severin Hacker, and their terms will expire at the annual meeting of stockholders to be held in 2024.</w:t>
      </w:r>
    </w:p>
    <w:p>
      <w:pPr>
        <w:spacing w:after="0" w:line="15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 Process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 w:right="339"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part of management presentations that focus on particular business functions, operations, or strategies, and presents the steps taken by management to mitigate or eliminate such risks.</w:t>
      </w:r>
    </w:p>
    <w:p>
      <w:pPr>
        <w:spacing w:after="0" w:line="14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risk and compliance committee is responsible for overseeing our major financial risk exposures and the steps our management has taken to monitor and control these exposures. The audit, risk and compliance committee also approves or disapproves any related party transactions. Our nominating and corporate governance committee monitors the effectiveness of our corporate governance guidelines. Our compensation and leadership committee assesses and monitors whether any of our compensation policies and programs has the potential to encourage excessive risk-taking.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Our board of directors has established an audit, risk and compliance committee, a compensation and leadership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Nasdaq Listing Rules, which we will post on our website at www.duolingo.com.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Risk, and Compliance Committee</w:t>
      </w:r>
    </w:p>
    <w:p>
      <w:pPr>
        <w:spacing w:after="0" w:line="20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audit, risk, and compliance committee oversees our corporate accounting and financial reporting process. Among other matters, the audit, risk, and compliance committee:</w:t>
      </w:r>
    </w:p>
    <w:p>
      <w:pPr>
        <w:spacing w:after="0" w:line="13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pre-approves the audit and non-audit fees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reviews and approves all related party transactions on an ongoing basis;</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any complaints received by us regarding accounting, internal accounting controls, or auditing matters;</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discusses with management on a periodic basis, or as appropriate, policies, and procedures with respect to risk assessment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4" w:right="359" w:bottom="1440" w:gutter="0" w:footer="0" w:header="0"/>
        </w:sectPr>
      </w:pPr>
    </w:p>
    <w:bookmarkStart w:id="157" w:name="page158"/>
    <w:bookmarkEnd w:id="15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consults with management to establish procedures and internal controls relating to cybersecurity;</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investigates any reports received through the ethics helpline and reports to the board of directors periodically with respect to any information received through the ethics helpline and any related investigations; and</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reviews the audit, risk and compliance committee charter and the audit, risk and compliance committee’s performance on an annual basis.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audit, risk and compliance committee consists of Gillian Munson, Amy Bohutinsky, Jim Shelton, and Laela Sturdy. Our board of directors has determined that all members are independent under the Nasdaq Listing Rules and Rule 10A-3(b)(1) of the Exchange Act. The chair of our audit, risk and compliance committee is Ms. Munson. Our board of directors has determined that Ms. Munson is an audit committee financial expert as such term is currently defined in Item 407(d)(5) of Regulation S-K. Our board of directors has also determined that each member of our audit, risk and compliance committee can read and understand fundamental consolidated financial statements, in accordance with applicable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Leadership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leadership committee oversees policies relating to the compensation and benefits of our officers and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Among other matters, the compensation and leadership committee:</w:t>
      </w:r>
    </w:p>
    <w:p>
      <w:pPr>
        <w:spacing w:after="0" w:line="171" w:lineRule="exact"/>
        <w:rPr>
          <w:sz w:val="20"/>
          <w:szCs w:val="20"/>
          <w:color w:val="auto"/>
        </w:rPr>
      </w:pPr>
    </w:p>
    <w:p>
      <w:pPr>
        <w:ind w:left="660" w:right="68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compensation of our executive officers other than our Chief Executive Officer and any executive officer who is then-serving as a member of our board of directors;</w:t>
      </w:r>
    </w:p>
    <w:p>
      <w:pPr>
        <w:spacing w:after="0" w:line="143"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other than our Chief Executive Officer and any executive officer who is then-serving as a member of our board of directors in light of those goals and objectives and approves the compensation of these officers based on such evaluations;</w:t>
      </w:r>
    </w:p>
    <w:p>
      <w:pPr>
        <w:spacing w:after="0" w:line="147"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and approves or makes recommendations to our board of directors regarding our incentive compensation plans and arrangements, retirement plans, and special or supplemental compensation and benefits;</w:t>
      </w:r>
    </w:p>
    <w:p>
      <w:pPr>
        <w:spacing w:after="0" w:line="14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the performance of any executive officer who is then-serving as a member of our board of directors and makes recommendations with respect to such executive officer’s compensation to our board of directors, which retains the authority to make compensation decisions relative to such executive officers;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director compensation;</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reviews the compensation and leadership committee charter and the compensation and leadership committee’s performance on an annual basis.</w:t>
      </w:r>
    </w:p>
    <w:p>
      <w:pPr>
        <w:spacing w:after="0" w:line="15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compensation and leadership committee consists of Bing Gordon and Sara Clemens. Our board of directors has determined that all members of our compensation and leadership committee are independent under the Nasdaq Listing Rules and are “non-employee directors” as defined in Rule 16b-3 promulgated under the Exchange Act. The chair of our compensation and leadership committee is Mr. Gordon.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 w:right="35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composition of our board of directors. In addition, the nominating and corporate governance committee is responsible for overseeing our corporate governance policies and making recommendations to our board of directors concerning governance matters.</w:t>
      </w:r>
    </w:p>
    <w:p>
      <w:pPr>
        <w:spacing w:after="0" w:line="152"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Our nominating and corporate governance committee consists of Sara Clemens, Amy Bohutinsky, and Jim Shelton. Our board of directors has determined that all members of the nominating and corporate governance committee are independent under the Nasdaq Listing Rules. The chair of our nominating and corporate governance committee is Ms. Clemens.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Leadership Committee Interlocks and Insider Participation</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None of the members of the compensation and leadership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and leadership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Code of Ethics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adopted a written code of business conduct and ethics that applies to all of our directors, officers, and employees, including those officers responsible for financial reporting. The full text of our code of business conduct and ethics will be posted on the investor relations section of our website at www.duolingo.com. Any substantive amendment to, or waiver of, a provision of the code of business conduct and ethics that applies to our principal executive officer, principal financial officer, principal accounting officer or controller, or persons performing similar functions will be disclosed on our website.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both of which will become effective immediately prior to the completion of this offering, among other things, limit our directors’ liability, and provide that we may indemnify our directors and officers to the fullest extent permitted under the Delaware General Corporation Law. As authorized by the Delaware General Corporation Law, our amended and restated certificate of incorporation provides that to the fullest extent permitted by Delaware law, our directors will not be personally liable to us or our stockholders for monetary damages for breach of fiduciary duty as directors, except for liability for any:</w:t>
      </w:r>
    </w:p>
    <w:p>
      <w:pPr>
        <w:spacing w:after="0" w:line="139"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transaction from which the director derives an improper personal benefit;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unlawful payment of dividends or unlawful redemption or repurchase of shares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144" w:right="359" w:bottom="1440" w:gutter="0" w:footer="0" w:header="0"/>
        </w:sectPr>
      </w:pPr>
    </w:p>
    <w:bookmarkStart w:id="159" w:name="page160"/>
    <w:bookmarkEnd w:id="15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43"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Our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addition, we have entered, and intend to continue to enter, into separate indemnification agreements with our directors and officers. Subject to certain exceptions, these indemnification agreements, among other things, require us to indemnify such directors and officers to the fullest extent permitted by Delaware law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such director and officer in advance of the final disposition of the action, suit or proceeding.</w:t>
      </w:r>
    </w:p>
    <w:p>
      <w:pPr>
        <w:spacing w:after="0" w:line="1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w:t>
      </w:r>
    </w:p>
    <w:p>
      <w:pPr>
        <w:spacing w:after="0" w:line="14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believe that these provisions in our amended and restated certificate of incorporation and amended and restated bylaws and these indemnification agreements are necessary to attract and retain qualified persons as directors and officers.</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 w:right="339" w:bottom="1440" w:gutter="0" w:footer="0" w:header="0"/>
        </w:sectPr>
      </w:pPr>
    </w:p>
    <w:bookmarkStart w:id="160" w:name="page161"/>
    <w:bookmarkEnd w:id="16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for Fiscal Year 2020</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information for 2020 regarding the compensation awarded to, earned by or paid to the non-employee directors who served on our board of directors during fiscal year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 in Pension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Fees Earned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9"/>
              </w:rPr>
              <w:t>Value and</w:t>
            </w: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Non-Equity Incentive</w:t>
            </w:r>
          </w:p>
        </w:tc>
        <w:tc>
          <w:tcPr>
            <w:tcW w:w="1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Nonqualified Deferred</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or Paid in</w:t>
            </w:r>
          </w:p>
        </w:tc>
        <w:tc>
          <w:tcPr>
            <w:tcW w:w="10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Compensation</w:t>
            </w: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Cash ($)</w:t>
            </w:r>
          </w:p>
        </w:tc>
        <w:tc>
          <w:tcPr>
            <w:tcW w:w="100" w:type="dxa"/>
            <w:vAlign w:val="bottom"/>
            <w:tcBorders>
              <w:bottom w:val="single" w:sz="8" w:color="DBDBDB"/>
            </w:tcBorders>
          </w:tcPr>
          <w:p>
            <w:pPr>
              <w:spacing w:after="0"/>
              <w:rPr>
                <w:sz w:val="15"/>
                <w:szCs w:val="15"/>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Awards ($)</w:t>
            </w:r>
          </w:p>
        </w:tc>
        <w:tc>
          <w:tcPr>
            <w:tcW w:w="100" w:type="dxa"/>
            <w:vAlign w:val="bottom"/>
            <w:tcBorders>
              <w:bottom w:val="single" w:sz="8" w:color="DBDBDB"/>
            </w:tcBorders>
          </w:tcPr>
          <w:p>
            <w:pPr>
              <w:spacing w:after="0"/>
              <w:rPr>
                <w:sz w:val="15"/>
                <w:szCs w:val="15"/>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DBDBDB"/>
            </w:tcBorders>
          </w:tcPr>
          <w:p>
            <w:pPr>
              <w:spacing w:after="0"/>
              <w:rPr>
                <w:sz w:val="15"/>
                <w:szCs w:val="15"/>
                <w:color w:val="auto"/>
              </w:rPr>
            </w:pP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Plan 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w:t>
            </w:r>
          </w:p>
        </w:tc>
        <w:tc>
          <w:tcPr>
            <w:tcW w:w="100" w:type="dxa"/>
            <w:vAlign w:val="bottom"/>
            <w:tcBorders>
              <w:bottom w:val="single" w:sz="8" w:color="DBDBDB"/>
            </w:tcBorders>
          </w:tcPr>
          <w:p>
            <w:pPr>
              <w:spacing w:after="0"/>
              <w:rPr>
                <w:sz w:val="15"/>
                <w:szCs w:val="15"/>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w:t>
            </w:r>
          </w:p>
        </w:tc>
        <w:tc>
          <w:tcPr>
            <w:tcW w:w="10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Amy Bohutinsky</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303,200</w:t>
            </w:r>
          </w:p>
        </w:tc>
        <w:tc>
          <w:tcPr>
            <w:tcW w:w="100" w:type="dxa"/>
            <w:vAlign w:val="bottom"/>
            <w:shd w:val="clear" w:color="auto" w:fill="DBDBDB"/>
          </w:tcPr>
          <w:p>
            <w:pPr>
              <w:spacing w:after="0"/>
              <w:rPr>
                <w:sz w:val="18"/>
                <w:szCs w:val="18"/>
                <w:color w:val="auto"/>
              </w:rPr>
            </w:pP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Sara Clemens</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303,200</w:t>
            </w:r>
          </w:p>
        </w:tc>
        <w:tc>
          <w:tcPr>
            <w:tcW w:w="10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303,200</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Brad Burnham</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Bing Gordon</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Gillian Munson</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760" w:type="dxa"/>
            <w:vAlign w:val="bottom"/>
            <w:gridSpan w:val="2"/>
          </w:tcPr>
          <w:p>
            <w:pPr>
              <w:ind w:left="20"/>
              <w:spacing w:after="0"/>
              <w:rPr>
                <w:sz w:val="20"/>
                <w:szCs w:val="20"/>
                <w:color w:val="auto"/>
              </w:rPr>
            </w:pPr>
            <w:r>
              <w:rPr>
                <w:rFonts w:ascii="Arial" w:cs="Arial" w:eastAsia="Arial" w:hAnsi="Arial"/>
                <w:sz w:val="16"/>
                <w:szCs w:val="16"/>
                <w:color w:val="auto"/>
              </w:rPr>
              <w:t>Jim Shelton</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427,600</w:t>
            </w:r>
          </w:p>
        </w:tc>
        <w:tc>
          <w:tcPr>
            <w:tcW w:w="100" w:type="dxa"/>
            <w:vAlign w:val="bottom"/>
          </w:tcPr>
          <w:p>
            <w:pPr>
              <w:spacing w:after="0"/>
              <w:rPr>
                <w:sz w:val="18"/>
                <w:szCs w:val="18"/>
                <w:color w:val="auto"/>
              </w:rPr>
            </w:pPr>
          </w:p>
        </w:tc>
        <w:tc>
          <w:tcPr>
            <w:tcW w:w="1740" w:type="dxa"/>
            <w:vAlign w:val="bottom"/>
            <w:gridSpan w:val="2"/>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427,600</w:t>
            </w:r>
          </w:p>
        </w:tc>
        <w:tc>
          <w:tcPr>
            <w:tcW w:w="0" w:type="dxa"/>
            <w:vAlign w:val="bottom"/>
          </w:tcPr>
          <w:p>
            <w:pPr>
              <w:spacing w:after="0"/>
              <w:rPr>
                <w:sz w:val="1"/>
                <w:szCs w:val="1"/>
                <w:color w:val="auto"/>
              </w:rPr>
            </w:pPr>
          </w:p>
        </w:tc>
      </w:tr>
      <w:tr>
        <w:trPr>
          <w:trHeight w:val="219"/>
        </w:trPr>
        <w:tc>
          <w:tcPr>
            <w:tcW w:w="1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Laela Sturdy</w:t>
            </w:r>
          </w:p>
        </w:tc>
        <w:tc>
          <w:tcPr>
            <w:tcW w:w="1140" w:type="dxa"/>
            <w:vAlign w:val="bottom"/>
            <w:gridSpan w:val="2"/>
            <w:shd w:val="clear" w:color="auto" w:fill="DBDBDB"/>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DBDBDB"/>
          </w:tcPr>
          <w:p>
            <w:pPr>
              <w:ind w:left="142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ind w:left="13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4"/>
                <w:szCs w:val="14"/>
                <w:color w:val="auto"/>
              </w:rPr>
              <w:t>________________</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right="280" w:hanging="332"/>
        <w:spacing w:after="0" w:line="258"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shown represent the grant date fair value of option awards granted during fiscal year 2020 as calculated in accordance with ASC Topic 718. See Note 9 of the audited consolidated financial statements included in this registration statement for the assumptions used in calculating this amount.</w:t>
      </w:r>
    </w:p>
    <w:p>
      <w:pPr>
        <w:spacing w:after="0" w:line="139" w:lineRule="exact"/>
        <w:rPr>
          <w:rFonts w:ascii="Arial" w:cs="Arial" w:eastAsia="Arial" w:hAnsi="Arial"/>
          <w:sz w:val="14"/>
          <w:szCs w:val="14"/>
          <w:color w:val="auto"/>
        </w:rPr>
      </w:pPr>
    </w:p>
    <w:p>
      <w:pPr>
        <w:ind w:left="340" w:right="240"/>
        <w:spacing w:after="0" w:line="258" w:lineRule="auto"/>
        <w:rPr>
          <w:rFonts w:ascii="Arial" w:cs="Arial" w:eastAsia="Arial" w:hAnsi="Arial"/>
          <w:sz w:val="14"/>
          <w:szCs w:val="14"/>
          <w:color w:val="auto"/>
        </w:rPr>
      </w:pPr>
      <w:r>
        <w:rPr>
          <w:rFonts w:ascii="Arial" w:cs="Arial" w:eastAsia="Arial" w:hAnsi="Arial"/>
          <w:sz w:val="14"/>
          <w:szCs w:val="14"/>
          <w:color w:val="auto"/>
        </w:rPr>
        <w:t>The table below shows the aggregate number of option awards (exercisable and unexercisable) held as of December 31, 2020 by each non-employee director who was serving as of December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7"/>
              </w:rPr>
              <w:t>Shares Underlying</w:t>
            </w: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8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0"/>
                <w:szCs w:val="10"/>
                <w:color w:val="auto"/>
              </w:rPr>
            </w:pPr>
          </w:p>
        </w:tc>
        <w:tc>
          <w:tcPr>
            <w:tcW w:w="1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Options Outstanding at</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8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Fiscal Year End</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Amy Bohutinsky</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Sara Clemens</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Brad Burnham</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Bing Gordon</w:t>
            </w:r>
          </w:p>
        </w:tc>
        <w:tc>
          <w:tcPr>
            <w:tcW w:w="1520" w:type="dxa"/>
            <w:vAlign w:val="bottom"/>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Gillian Munson</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tcPr>
          <w:p>
            <w:pPr>
              <w:ind w:left="20"/>
              <w:spacing w:after="0"/>
              <w:rPr>
                <w:sz w:val="20"/>
                <w:szCs w:val="20"/>
                <w:color w:val="auto"/>
              </w:rPr>
            </w:pPr>
            <w:r>
              <w:rPr>
                <w:rFonts w:ascii="Arial" w:cs="Arial" w:eastAsia="Arial" w:hAnsi="Arial"/>
                <w:sz w:val="14"/>
                <w:szCs w:val="14"/>
                <w:color w:val="auto"/>
              </w:rPr>
              <w:t>Jim Shelton</w:t>
            </w:r>
          </w:p>
        </w:tc>
        <w:tc>
          <w:tcPr>
            <w:tcW w:w="152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9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Laela Sturdy</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0"/>
        </w:trPr>
        <w:tc>
          <w:tcPr>
            <w:tcW w:w="34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Arial" w:cs="Arial" w:eastAsia="Arial" w:hAnsi="Arial"/>
                <w:sz w:val="14"/>
                <w:szCs w:val="14"/>
                <w:color w:val="auto"/>
              </w:rPr>
              <w:t>None of our non-employee directors held a stock award as of December 31, 2020.</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9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Historically, we have not had a formalized non-employee director compensation program; however, with the exception of Mr. Burnham, we have granted each of our non-employee directors options to purchase shares of our common stock in connection with their commencement of service with us. All options granted to our non-employee directors are granted pursuant to our 2011 Plan. Ms. Munson’s option grant vests in equal installments annually over two years, while the other non-employee directors’ options vest in equal installments annually over four years, in each case subject to the director’s continued service. In March 2021, we granted Ms. Sturdy an option to purchase 40,000 shares of our common stock, subject to the same four year vesting terms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 w:right="33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approved a compensation policy for our non-employee directors, or the Director Compensation Program, to be effective in connection with the consummation of this offering. Pursuant to the Director Compensation Program, our non-employee directors will receive cash compensation as follows:</w:t>
      </w:r>
    </w:p>
    <w:p>
      <w:pPr>
        <w:spacing w:after="0" w:line="13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$30,000 per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non-executive chairperson will receive an additional annual cash retainer in the amount of $25,000 per year.</w:t>
      </w:r>
    </w:p>
    <w:p>
      <w:pPr>
        <w:spacing w:after="0" w:line="171"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chairperson of the audit, risk and compliance committee will receive an additional annual cash retainer in the amount of $20,000 per year for such chairperson’s service on the audit, risk and compliance committee. Each non-chairperson member of the audit, risk and compliance committee will receive an additional annual cash retainer in the amount of $10,000 per year for such member’s service on the audit, risk and compliance committee.</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chairperson of the compensation and leadership committee will receive an additional annual cash retainer in the amount of</w:t>
      </w:r>
    </w:p>
    <w:p>
      <w:pPr>
        <w:spacing w:after="0" w:line="9" w:lineRule="exact"/>
        <w:rPr>
          <w:rFonts w:ascii="Arial" w:cs="Arial" w:eastAsia="Arial" w:hAnsi="Arial"/>
          <w:sz w:val="18"/>
          <w:szCs w:val="18"/>
          <w:color w:val="auto"/>
        </w:rPr>
      </w:pPr>
    </w:p>
    <w:p>
      <w:pPr>
        <w:ind w:left="660" w:right="40"/>
        <w:spacing w:after="0" w:line="256" w:lineRule="auto"/>
        <w:rPr>
          <w:rFonts w:ascii="Arial" w:cs="Arial" w:eastAsia="Arial" w:hAnsi="Arial"/>
          <w:sz w:val="18"/>
          <w:szCs w:val="18"/>
          <w:color w:val="auto"/>
        </w:rPr>
      </w:pPr>
      <w:r>
        <w:rPr>
          <w:rFonts w:ascii="Arial" w:cs="Arial" w:eastAsia="Arial" w:hAnsi="Arial"/>
          <w:sz w:val="18"/>
          <w:szCs w:val="18"/>
          <w:color w:val="auto"/>
        </w:rPr>
        <w:t>$12,000 per year for such chairperson’s service on the compensation and leadership committee. Each non-chairperson member of the compensation and leadership committee will receive an additional annual cash retainer in the amount of $6,000 per year for such member’s service on the compensation and leadership committee.</w:t>
      </w:r>
    </w:p>
    <w:p>
      <w:pPr>
        <w:spacing w:after="0" w:line="147"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chairperson of the nominating and governance committee will receive additional an annual cash retainer in the amount of $8,000 per year for such chairperson’s service on the nominating and governance committee. Each non-chairperson member of the nominating and governance committee will receive an additional annual cash retainer in the amount of $4,000 per year for such member’s service on the nominating and governance committee.</w:t>
      </w:r>
    </w:p>
    <w:p>
      <w:pPr>
        <w:spacing w:after="0" w:line="16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Under the Director Compensation Program, each non-employee director will automatically be granted (i) restricted stock units covering a number of shares of our common stock calculated by dividing (a) $300,000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upon the director’s initial appointment or election to our board of directors, referred to as the Initial Grant, and (ii) for each non-employee director who has served for at least six months as of the date of each annual stockholders’ meeting, restricted stock units covering a number of shares of our common stock calculated by dividing (a) $160,000 by (b) the closing trading price of our common stock as of the date of grant (or if the date of grant is not a trading day, the immediately preceding trading day) and using assumptions published in our most recent periodic report as of the date of grant, rounded down to the nearest whole share, automatically on the date of each annual stockholders’ meeting thereafter, referred to as the Annual Grant. The Initial Grant will vest over three years, subject to continued service through each applicable vesting date. The Annual Grant will vest on the first anniversary of the date of grant, provided, that if our annual stockholders’ meeting immediately following the date of grant takes place prior to the first anniversary of the date of grant, the Annual Grant will vest immediately prior to our annual stockholders’ meeting following the date of grant, subject to continued service through each applicable vesting date.</w:t>
      </w:r>
    </w:p>
    <w:p>
      <w:pPr>
        <w:spacing w:after="0" w:line="152"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In the event of a change in control (as defined in the Director Compensation Program), each Initial Grant and Annual Grant, along with any stock options or other equity-based awards held by any non-employee director, will vest and, to the extent applicable, become exercisable immediately prior to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 w:right="339"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“2020 Summary Compensation Table” below. For the year ended December 31, 2020, our chief executive officer and the next two most highly-compensated executive officers, or our named executive officers (NEOs), and their positions were as follows:</w:t>
      </w:r>
    </w:p>
    <w:p>
      <w:pPr>
        <w:spacing w:after="0" w:line="136"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Luis von Ahn,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Severin Hacker, our Chief Technology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Matthew Skaruppa, our Chief Financial Officer.</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is a discussion and analysis of compensation arrangements of our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total compensation paid to our named executive officers for the fiscal year ending on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0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1"/>
                <w:szCs w:val="11"/>
                <w:color w:val="auto"/>
              </w:rPr>
            </w:pPr>
          </w:p>
        </w:tc>
        <w:tc>
          <w:tcPr>
            <w:tcW w:w="10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Awards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Compensation</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right"/>
              <w:ind w:right="328"/>
              <w:spacing w:after="0" w:line="176"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8"/>
                <w:szCs w:val="18"/>
                <w:b w:val="1"/>
                <w:bCs w:val="1"/>
                <w:color w:val="auto"/>
                <w:vertAlign w:val="superscript"/>
              </w:rPr>
              <w:t>(1)</w:t>
            </w:r>
          </w:p>
        </w:tc>
        <w:tc>
          <w:tcPr>
            <w:tcW w:w="8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(2)</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(3)</w:t>
            </w:r>
          </w:p>
        </w:tc>
        <w:tc>
          <w:tcPr>
            <w:tcW w:w="100" w:type="dxa"/>
            <w:vAlign w:val="bottom"/>
            <w:tcBorders>
              <w:bottom w:val="single" w:sz="8" w:color="DBDBDB"/>
            </w:tcBorders>
          </w:tcPr>
          <w:p>
            <w:pPr>
              <w:spacing w:after="0"/>
              <w:rPr>
                <w:sz w:val="15"/>
                <w:szCs w:val="15"/>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DBDBDB"/>
          </w:tcPr>
          <w:p>
            <w:pPr>
              <w:ind w:left="20"/>
              <w:spacing w:after="0" w:line="147" w:lineRule="exact"/>
              <w:rPr>
                <w:sz w:val="20"/>
                <w:szCs w:val="20"/>
                <w:color w:val="auto"/>
              </w:rPr>
            </w:pPr>
            <w:r>
              <w:rPr>
                <w:rFonts w:ascii="Arial" w:cs="Arial" w:eastAsia="Arial" w:hAnsi="Arial"/>
                <w:sz w:val="14"/>
                <w:szCs w:val="14"/>
                <w:color w:val="auto"/>
              </w:rPr>
              <w:t>Luis von Ahn</w:t>
            </w: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2020</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330,000</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1,250</w:t>
            </w: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3,094,000</w:t>
            </w:r>
          </w:p>
        </w:tc>
        <w:tc>
          <w:tcPr>
            <w:tcW w:w="100" w:type="dxa"/>
            <w:vAlign w:val="bottom"/>
            <w:shd w:val="clear" w:color="auto" w:fill="DBDBDB"/>
          </w:tcPr>
          <w:p>
            <w:pPr>
              <w:spacing w:after="0"/>
              <w:rPr>
                <w:sz w:val="12"/>
                <w:szCs w:val="12"/>
                <w:color w:val="auto"/>
              </w:rPr>
            </w:pPr>
          </w:p>
        </w:tc>
        <w:tc>
          <w:tcPr>
            <w:tcW w:w="1560" w:type="dxa"/>
            <w:vAlign w:val="bottom"/>
            <w:shd w:val="clear" w:color="auto" w:fill="DBDBDB"/>
          </w:tcPr>
          <w:p>
            <w:pPr>
              <w:jc w:val="right"/>
              <w:spacing w:after="0" w:line="147" w:lineRule="exact"/>
              <w:rPr>
                <w:sz w:val="20"/>
                <w:szCs w:val="20"/>
                <w:color w:val="auto"/>
              </w:rPr>
            </w:pPr>
            <w:r>
              <w:rPr>
                <w:rFonts w:ascii="Arial" w:cs="Arial" w:eastAsia="Arial" w:hAnsi="Arial"/>
                <w:sz w:val="14"/>
                <w:szCs w:val="14"/>
                <w:color w:val="auto"/>
              </w:rPr>
              <w:t>16,840</w:t>
            </w:r>
          </w:p>
        </w:tc>
        <w:tc>
          <w:tcPr>
            <w:tcW w:w="100" w:type="dxa"/>
            <w:vAlign w:val="bottom"/>
            <w:shd w:val="clear" w:color="auto" w:fill="DBDBDB"/>
          </w:tcPr>
          <w:p>
            <w:pPr>
              <w:spacing w:after="0"/>
              <w:rPr>
                <w:sz w:val="12"/>
                <w:szCs w:val="12"/>
                <w:color w:val="auto"/>
              </w:rPr>
            </w:pPr>
          </w:p>
        </w:tc>
        <w:tc>
          <w:tcPr>
            <w:tcW w:w="1080" w:type="dxa"/>
            <w:vAlign w:val="bottom"/>
            <w:shd w:val="clear" w:color="auto" w:fill="DBDBDB"/>
          </w:tcPr>
          <w:p>
            <w:pPr>
              <w:ind w:left="380"/>
              <w:spacing w:after="0" w:line="147" w:lineRule="exact"/>
              <w:rPr>
                <w:sz w:val="20"/>
                <w:szCs w:val="20"/>
                <w:color w:val="auto"/>
              </w:rPr>
            </w:pPr>
            <w:r>
              <w:rPr>
                <w:rFonts w:ascii="Arial" w:cs="Arial" w:eastAsia="Arial" w:hAnsi="Arial"/>
                <w:sz w:val="14"/>
                <w:szCs w:val="14"/>
                <w:color w:val="auto"/>
              </w:rPr>
              <w:t>3,442,090</w:t>
            </w: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Chief Executive Officer</w:t>
            </w: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Severin Hacker</w:t>
            </w: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322,350</w:t>
            </w:r>
          </w:p>
        </w:tc>
        <w:tc>
          <w:tcPr>
            <w:tcW w:w="100" w:type="dxa"/>
            <w:vAlign w:val="bottom"/>
          </w:tcPr>
          <w:p>
            <w:pPr>
              <w:spacing w:after="0"/>
              <w:rPr>
                <w:sz w:val="13"/>
                <w:szCs w:val="13"/>
                <w:color w:val="auto"/>
              </w:rPr>
            </w:pPr>
          </w:p>
        </w:tc>
        <w:tc>
          <w:tcPr>
            <w:tcW w:w="1160" w:type="dxa"/>
            <w:vAlign w:val="bottom"/>
            <w:gridSpan w:val="2"/>
          </w:tcPr>
          <w:p>
            <w:pPr>
              <w:ind w:left="860"/>
              <w:spacing w:after="0" w:line="153"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3,094,000</w:t>
            </w:r>
          </w:p>
        </w:tc>
        <w:tc>
          <w:tcPr>
            <w:tcW w:w="100" w:type="dxa"/>
            <w:vAlign w:val="bottom"/>
          </w:tcPr>
          <w:p>
            <w:pPr>
              <w:spacing w:after="0"/>
              <w:rPr>
                <w:sz w:val="13"/>
                <w:szCs w:val="13"/>
                <w:color w:val="auto"/>
              </w:rPr>
            </w:pPr>
          </w:p>
        </w:tc>
        <w:tc>
          <w:tcPr>
            <w:tcW w:w="1560" w:type="dxa"/>
            <w:vAlign w:val="bottom"/>
          </w:tcPr>
          <w:p>
            <w:pPr>
              <w:jc w:val="right"/>
              <w:spacing w:after="0" w:line="153" w:lineRule="exact"/>
              <w:rPr>
                <w:sz w:val="20"/>
                <w:szCs w:val="20"/>
                <w:color w:val="auto"/>
              </w:rPr>
            </w:pPr>
            <w:r>
              <w:rPr>
                <w:rFonts w:ascii="Arial" w:cs="Arial" w:eastAsia="Arial" w:hAnsi="Arial"/>
                <w:sz w:val="14"/>
                <w:szCs w:val="14"/>
                <w:color w:val="auto"/>
              </w:rPr>
              <w:t>16,840</w:t>
            </w:r>
          </w:p>
        </w:tc>
        <w:tc>
          <w:tcPr>
            <w:tcW w:w="100" w:type="dxa"/>
            <w:vAlign w:val="bottom"/>
          </w:tcPr>
          <w:p>
            <w:pPr>
              <w:spacing w:after="0"/>
              <w:rPr>
                <w:sz w:val="13"/>
                <w:szCs w:val="13"/>
                <w:color w:val="auto"/>
              </w:rPr>
            </w:pPr>
          </w:p>
        </w:tc>
        <w:tc>
          <w:tcPr>
            <w:tcW w:w="1080" w:type="dxa"/>
            <w:vAlign w:val="bottom"/>
          </w:tcPr>
          <w:p>
            <w:pPr>
              <w:ind w:left="380"/>
              <w:spacing w:after="0" w:line="153" w:lineRule="exact"/>
              <w:rPr>
                <w:sz w:val="20"/>
                <w:szCs w:val="20"/>
                <w:color w:val="auto"/>
              </w:rPr>
            </w:pPr>
            <w:r>
              <w:rPr>
                <w:rFonts w:ascii="Arial" w:cs="Arial" w:eastAsia="Arial" w:hAnsi="Arial"/>
                <w:sz w:val="14"/>
                <w:szCs w:val="14"/>
                <w:color w:val="auto"/>
              </w:rPr>
              <w:t>3,433,190</w:t>
            </w:r>
          </w:p>
        </w:tc>
        <w:tc>
          <w:tcPr>
            <w:tcW w:w="0" w:type="dxa"/>
            <w:vAlign w:val="bottom"/>
          </w:tcPr>
          <w:p>
            <w:pPr>
              <w:spacing w:after="0"/>
              <w:rPr>
                <w:sz w:val="1"/>
                <w:szCs w:val="1"/>
                <w:color w:val="auto"/>
              </w:rPr>
            </w:pPr>
          </w:p>
        </w:tc>
      </w:tr>
      <w:tr>
        <w:trPr>
          <w:trHeight w:val="171"/>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Chief Technology Officer</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20" w:type="dxa"/>
            <w:vAlign w:val="bottom"/>
            <w:gridSpan w:val="2"/>
            <w:shd w:val="clear" w:color="auto" w:fill="DBDBDB"/>
          </w:tcPr>
          <w:p>
            <w:pPr>
              <w:ind w:left="20"/>
              <w:spacing w:after="0" w:line="153" w:lineRule="exact"/>
              <w:rPr>
                <w:sz w:val="20"/>
                <w:szCs w:val="20"/>
                <w:color w:val="auto"/>
              </w:rPr>
            </w:pPr>
            <w:r>
              <w:rPr>
                <w:rFonts w:ascii="Arial" w:cs="Arial" w:eastAsia="Arial" w:hAnsi="Arial"/>
                <w:sz w:val="14"/>
                <w:szCs w:val="14"/>
                <w:color w:val="auto"/>
              </w:rPr>
              <w:t>Matthew Skaruppa (4)</w:t>
            </w: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2020</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322,537</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1,931,889</w:t>
            </w:r>
          </w:p>
        </w:tc>
        <w:tc>
          <w:tcPr>
            <w:tcW w:w="100" w:type="dxa"/>
            <w:vAlign w:val="bottom"/>
            <w:shd w:val="clear" w:color="auto" w:fill="DBDBDB"/>
          </w:tcPr>
          <w:p>
            <w:pPr>
              <w:spacing w:after="0"/>
              <w:rPr>
                <w:sz w:val="13"/>
                <w:szCs w:val="13"/>
                <w:color w:val="auto"/>
              </w:rPr>
            </w:pPr>
          </w:p>
        </w:tc>
        <w:tc>
          <w:tcPr>
            <w:tcW w:w="1560" w:type="dxa"/>
            <w:vAlign w:val="bottom"/>
            <w:shd w:val="clear" w:color="auto" w:fill="DBDBDB"/>
          </w:tcPr>
          <w:p>
            <w:pPr>
              <w:jc w:val="right"/>
              <w:spacing w:after="0" w:line="153" w:lineRule="exact"/>
              <w:rPr>
                <w:sz w:val="20"/>
                <w:szCs w:val="20"/>
                <w:color w:val="auto"/>
              </w:rPr>
            </w:pPr>
            <w:r>
              <w:rPr>
                <w:rFonts w:ascii="Arial" w:cs="Arial" w:eastAsia="Arial" w:hAnsi="Arial"/>
                <w:sz w:val="14"/>
                <w:szCs w:val="14"/>
                <w:color w:val="auto"/>
              </w:rPr>
              <w:t>5,840</w:t>
            </w:r>
          </w:p>
        </w:tc>
        <w:tc>
          <w:tcPr>
            <w:tcW w:w="100" w:type="dxa"/>
            <w:vAlign w:val="bottom"/>
            <w:shd w:val="clear" w:color="auto" w:fill="DBDBDB"/>
          </w:tcPr>
          <w:p>
            <w:pPr>
              <w:spacing w:after="0"/>
              <w:rPr>
                <w:sz w:val="13"/>
                <w:szCs w:val="13"/>
                <w:color w:val="auto"/>
              </w:rPr>
            </w:pPr>
          </w:p>
        </w:tc>
        <w:tc>
          <w:tcPr>
            <w:tcW w:w="1080" w:type="dxa"/>
            <w:vAlign w:val="bottom"/>
            <w:shd w:val="clear" w:color="auto" w:fill="DBDBDB"/>
          </w:tcPr>
          <w:p>
            <w:pPr>
              <w:ind w:left="380"/>
              <w:spacing w:after="0" w:line="153" w:lineRule="exact"/>
              <w:rPr>
                <w:sz w:val="20"/>
                <w:szCs w:val="20"/>
                <w:color w:val="auto"/>
              </w:rPr>
            </w:pPr>
            <w:r>
              <w:rPr>
                <w:rFonts w:ascii="Arial" w:cs="Arial" w:eastAsia="Arial" w:hAnsi="Arial"/>
                <w:sz w:val="14"/>
                <w:szCs w:val="14"/>
                <w:color w:val="auto"/>
              </w:rPr>
              <w:t>2,410,266</w:t>
            </w:r>
          </w:p>
        </w:tc>
        <w:tc>
          <w:tcPr>
            <w:tcW w:w="0" w:type="dxa"/>
            <w:vAlign w:val="bottom"/>
          </w:tcPr>
          <w:p>
            <w:pPr>
              <w:spacing w:after="0"/>
              <w:rPr>
                <w:sz w:val="1"/>
                <w:szCs w:val="1"/>
                <w:color w:val="auto"/>
              </w:rPr>
            </w:pPr>
          </w:p>
        </w:tc>
      </w:tr>
      <w:tr>
        <w:trPr>
          <w:trHeight w:val="171"/>
        </w:trPr>
        <w:tc>
          <w:tcPr>
            <w:tcW w:w="38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Chief Financial Officer</w:t>
            </w: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0" w:hanging="332"/>
        <w:spacing w:after="0" w:line="249"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 reported for Dr. von Ahn reflects bonuses awarded to him under our language challenge program pursuant to which employees may earn bonuses by completing language challenges. Amount for Mr. Skaruppa reflects a signing bonus we paid in connection with his commencement of employment with us. For additional details about the bonuses paid by us in 2020, see the section below titled “Narrative Disclosure to Summary Compensation Table – 2020 Bonuses.”</w:t>
      </w:r>
    </w:p>
    <w:p>
      <w:pPr>
        <w:spacing w:after="0" w:line="146"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option awards granted during fiscal year 2020 as calculated in accordance with ASC Topic 718. See Note 9 of the audited consolidated financial statements included in this registration statement for the assumptions used in calculating these amounts.</w:t>
      </w:r>
    </w:p>
    <w:p>
      <w:pPr>
        <w:spacing w:after="0" w:line="139" w:lineRule="exact"/>
        <w:rPr>
          <w:rFonts w:ascii="Arial" w:cs="Arial" w:eastAsia="Arial" w:hAnsi="Arial"/>
          <w:sz w:val="14"/>
          <w:szCs w:val="14"/>
          <w:color w:val="auto"/>
        </w:rPr>
      </w:pPr>
    </w:p>
    <w:p>
      <w:pPr>
        <w:ind w:left="340" w:right="220" w:hanging="332"/>
        <w:spacing w:after="0" w:line="258"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Amount reported includes $5,700 paid to all employees as a work from home stipend and $140 as the value of a gift provided to all employees. Amount reported for Drs. von Ahn and Hacker also includes $11,000 in matching contributions under our 401(k) plan.</w:t>
      </w:r>
    </w:p>
    <w:p>
      <w:pPr>
        <w:spacing w:after="0" w:line="139" w:lineRule="exact"/>
        <w:rPr>
          <w:rFonts w:ascii="Arial" w:cs="Arial" w:eastAsia="Arial" w:hAnsi="Arial"/>
          <w:sz w:val="14"/>
          <w:szCs w:val="14"/>
          <w:color w:val="auto"/>
        </w:rPr>
      </w:pPr>
    </w:p>
    <w:p>
      <w:pPr>
        <w:ind w:left="320" w:hanging="312"/>
        <w:spacing w:after="0"/>
        <w:tabs>
          <w:tab w:leader="none" w:pos="3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Skaruppa commenced employment with us in February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20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Our NEOs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 w:right="339" w:bottom="1440" w:gutter="0" w:footer="0" w:header="0"/>
        </w:sectPr>
      </w:pPr>
    </w:p>
    <w:bookmarkStart w:id="163" w:name="page164"/>
    <w:bookmarkEnd w:id="16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fiscal year 2020, Drs. von Ahn and Hacker and Mr. Skaruppa had an annual base salary of $330,000, $322,350 and $375,000,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compensation and leadership committee may adjust base salaries from time to time in their discretion.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fiscal year 2020, we did not maintain a formal performance bonus program, and we have not adopted a formal performance bonus program for 2021.</w:t>
      </w:r>
    </w:p>
    <w:p>
      <w:pPr>
        <w:spacing w:after="0" w:line="14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connection with Mr. Skaruppa’s commencement of employment in March 2020, we paid him a one-time signing bonus in the amount of $150,000. Mr. Skaruppa has agreed to repay $75,000 of the signing bonus in the event of certain terminations of his employment within his first year of employment, as described below under “Employment Compensation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Dr. von Ahn received bonuses totaling $1,250 under our language challenge program in which all of our employees are eligible to participate.</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board of directors or compensation and leadership committee may award discretionary bonuses or adopt a performance program following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Equity-Based Compensation</w:t>
      </w:r>
    </w:p>
    <w:p>
      <w:pPr>
        <w:spacing w:after="0" w:line="207" w:lineRule="exact"/>
        <w:rPr>
          <w:sz w:val="20"/>
          <w:szCs w:val="20"/>
          <w:color w:val="auto"/>
        </w:rPr>
      </w:pPr>
    </w:p>
    <w:p>
      <w:pPr>
        <w:jc w:val="both"/>
        <w:ind w:right="80"/>
        <w:spacing w:after="0" w:line="269" w:lineRule="auto"/>
        <w:rPr>
          <w:sz w:val="20"/>
          <w:szCs w:val="20"/>
          <w:color w:val="auto"/>
        </w:rPr>
      </w:pPr>
      <w:r>
        <w:rPr>
          <w:rFonts w:ascii="Arial" w:cs="Arial" w:eastAsia="Arial" w:hAnsi="Arial"/>
          <w:sz w:val="18"/>
          <w:szCs w:val="18"/>
          <w:color w:val="auto"/>
        </w:rPr>
        <w:t>Pursuant to our Amended and Restated 2011 Equity Incentive Plan (2011 Plan), we have granted stock options and restricted stock units to our employees, including our named executive officers, in order to attract and retain them, as well as to align their interests with the interests of our stockholders. In order to provide a long-term incentive, our stock options generally vest over four years subject to continued service to us.</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March 2020, in connection with his commencement of employment, we granted Mr. Skaruppa an option to purchase 306,163 shares of our common stock. Mr. Skaruppa’s option grant vests as to 25% of the shares underlying the option on the first anniversary of the date he commenced employment with us and as to 1/48th of the shares on each monthly anniversary thereafter, in each case, subject to continued service through the applicable vesting date. Mr. Skaruppa’s option was granted at an exercise price of $14.42, which our board of directors determined was equal to the fair market value of a share of our common stock on the date of grant.</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December 2020, we granted each of Drs. von Ahn and Hacker an option to purchase 175,000 shares of our common stock. Drs. von Ahn’s and Hacker’s option grants vest in 48 monthly installments following the vesting commencement date, in each case, subject to continued service through the applicable vesting date. Drs. von Ahn’s and Hacker’s options were granted at an exercise price of $38.08 per share, which our board of directors determined was equal to the fair market value of a share of our common stock on the date of grant.</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Drs. von Ahn’s and Hacker’s outstanding options are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(as defined in the 2011 Plan), Drs. von Ahn’s or Hacker’s service is terminated by us without Cause or by the executive for Good Reason (as such terms are defined in the 2011 Plan), then 100% of the shares subject to each option held by him will vest and be exercisable, subject to the delivery of a release of claims in favor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 w:right="339" w:bottom="1440" w:gutter="0" w:footer="0" w:header="0"/>
        </w:sectPr>
      </w:pPr>
    </w:p>
    <w:bookmarkStart w:id="164" w:name="page165"/>
    <w:bookmarkEnd w:id="16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April 7, 2021, pursuant to the 2011 Plan, we granted Mr. Skaruppa 25,000 restricted stock units, or RSUs, which require the satisfaction of both a liquidity event condition and a service-based condition in order to vest. The liquidity event condition will be satisfied on the six-month anniversary of, or, if earlier, March 15 of the year following, the completion of this offering or, if earlier, the consummation of a Change in Control. The service-based requirement will be satisfied as to 25% of the RSUs on May 15, 2022 and as to 6.25% of the RSUs on each quarterly anniversary thereafter, subject to continued service through the applicable date. Each RSU vests on the first date both the liquidity event condition and the service-based condition has been satisfied in respect of that particular RSU. Each RSU entitles the holder to a share of our common stock upon vesting.</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If Mr. Skaruppa’s employment with us is terminated by us without Cause or by Mr. Skaruppa for Good Reason (in each case as defined in his offer letter with us) within the period commencing three months prior to a Change in Control and ending twelve months after the Change in Control, then the vesting and exercisability of his outstanding equity awards will accelerate in respect of 100% of the shares subject to the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Equity-Based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Multi-Year Performance-Based Founder Awards</w:t>
      </w:r>
    </w:p>
    <w:p>
      <w:pPr>
        <w:spacing w:after="0" w:line="203"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In connection with this offering, our board of directors worked closely with its compensation consultant, Compensia, to design a one-time equity incentive for Drs. von Ahn and Hacker that significantly aligns their compensation with the long-term interests of our stockholders by requiring the achievement of sustained stock price targets. In designing the equity incentive for Drs. von Ahn and Hacker, our board of directors considered Dr. von Ahn’s and Dr. Hacker’s significant stockholdings, long-term leadership and the comparatively modest level of cash compensation they have received from us. The equity incentive is comprised of 1,200,000 and 600,000 performance-based restricted stock units (PSUs), respectively. The PSUs vest upon the satisfaction of both a service-based condition and a performance-based condition and generally are settled one year after vesting. The service-based condition is satisfied as to 25% of the PSUs on each anniversary of the completion of this offering, subject to Dr. von Ahn and Dr. Hacker continuing to serve as our Chief Executive Officer and Chief Technology Officer, respectively, through the applicable date. The performance-based condition will be satisfied in the event Dr. von Ahn and Dr. Hacker continue to serve as our Chief Executive Officer and Chief Technology Officer, respectively, through the date the 60-day trailing volume weighted average closing price of our Class A common stock reaches certain stock price hurdles, which are set at multiples of the price to the public for this offering, over a period of ten years,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320" w:top="144" w:right="379" w:bottom="1440" w:gutter="0" w:footer="0" w:header="0"/>
        </w:sectPr>
      </w:pPr>
    </w:p>
    <w:bookmarkStart w:id="165" w:name="page166"/>
    <w:bookmarkEnd w:id="16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Tranche</w:t>
            </w:r>
          </w:p>
        </w:tc>
        <w:tc>
          <w:tcPr>
            <w:tcW w:w="1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Multiple of IPO Price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PSUs for Dr.</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Number of PSUs for Dr.</w:t>
            </w:r>
          </w:p>
        </w:tc>
        <w:tc>
          <w:tcPr>
            <w:tcW w:w="0" w:type="dxa"/>
            <w:vAlign w:val="bottom"/>
          </w:tcPr>
          <w:p>
            <w:pPr>
              <w:spacing w:after="0"/>
              <w:rPr>
                <w:sz w:val="1"/>
                <w:szCs w:val="1"/>
                <w:color w:val="auto"/>
              </w:rPr>
            </w:pPr>
          </w:p>
        </w:tc>
      </w:tr>
      <w:tr>
        <w:trPr>
          <w:trHeight w:val="109"/>
        </w:trPr>
        <w:tc>
          <w:tcPr>
            <w:tcW w:w="118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von Ahn</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Hacker</w:t>
            </w:r>
          </w:p>
        </w:tc>
        <w:tc>
          <w:tcPr>
            <w:tcW w:w="0" w:type="dxa"/>
            <w:vAlign w:val="bottom"/>
          </w:tcPr>
          <w:p>
            <w:pPr>
              <w:spacing w:after="0"/>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vMerge w:val="continue"/>
          </w:tcPr>
          <w:p>
            <w:pPr>
              <w:spacing w:after="0"/>
              <w:rPr>
                <w:sz w:val="5"/>
                <w:szCs w:val="5"/>
                <w:color w:val="auto"/>
              </w:rPr>
            </w:pPr>
          </w:p>
        </w:tc>
        <w:tc>
          <w:tcPr>
            <w:tcW w:w="1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1.25x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1.5x</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1.75x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8"/>
              </w:rPr>
              <w:t>60,000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2.0x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2.5x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3.0x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3.5x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4.0x</w:t>
            </w:r>
          </w:p>
        </w:tc>
        <w:tc>
          <w:tcPr>
            <w:tcW w:w="2060" w:type="dxa"/>
            <w:vAlign w:val="bottom"/>
          </w:tcPr>
          <w:p>
            <w:pPr>
              <w:jc w:val="center"/>
              <w:spacing w:after="0"/>
              <w:rPr>
                <w:sz w:val="20"/>
                <w:szCs w:val="20"/>
                <w:color w:val="auto"/>
              </w:rPr>
            </w:pPr>
            <w:r>
              <w:rPr>
                <w:rFonts w:ascii="Arial" w:cs="Arial" w:eastAsia="Arial" w:hAnsi="Arial"/>
                <w:sz w:val="18"/>
                <w:szCs w:val="18"/>
                <w:color w:val="auto"/>
              </w:rPr>
              <w:t>120,000</w:t>
            </w:r>
          </w:p>
        </w:tc>
        <w:tc>
          <w:tcPr>
            <w:tcW w:w="1980" w:type="dxa"/>
            <w:vAlign w:val="bottom"/>
          </w:tcPr>
          <w:p>
            <w:pPr>
              <w:jc w:val="center"/>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8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DDDDDD"/>
          </w:tcPr>
          <w:p>
            <w:pPr>
              <w:spacing w:after="0"/>
              <w:rPr>
                <w:sz w:val="19"/>
                <w:szCs w:val="19"/>
                <w:color w:val="auto"/>
              </w:rPr>
            </w:pPr>
          </w:p>
        </w:tc>
        <w:tc>
          <w:tcPr>
            <w:tcW w:w="1920" w:type="dxa"/>
            <w:vAlign w:val="bottom"/>
            <w:shd w:val="clear" w:color="auto" w:fill="DDDDDD"/>
          </w:tcPr>
          <w:p>
            <w:pPr>
              <w:jc w:val="center"/>
              <w:spacing w:after="0"/>
              <w:rPr>
                <w:sz w:val="20"/>
                <w:szCs w:val="20"/>
                <w:color w:val="auto"/>
              </w:rPr>
            </w:pPr>
            <w:r>
              <w:rPr>
                <w:rFonts w:ascii="Arial" w:cs="Arial" w:eastAsia="Arial" w:hAnsi="Arial"/>
                <w:sz w:val="18"/>
                <w:szCs w:val="18"/>
                <w:color w:val="auto"/>
                <w:w w:val="99"/>
              </w:rPr>
              <w:t>6.0x</w:t>
            </w:r>
          </w:p>
        </w:tc>
        <w:tc>
          <w:tcPr>
            <w:tcW w:w="206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180,000</w:t>
            </w:r>
          </w:p>
        </w:tc>
        <w:tc>
          <w:tcPr>
            <w:tcW w:w="1980" w:type="dxa"/>
            <w:vAlign w:val="bottom"/>
            <w:shd w:val="clear" w:color="auto" w:fill="DDDDDD"/>
          </w:tcPr>
          <w:p>
            <w:pPr>
              <w:jc w:val="center"/>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8.0x</w:t>
            </w:r>
          </w:p>
        </w:tc>
        <w:tc>
          <w:tcPr>
            <w:tcW w:w="2060" w:type="dxa"/>
            <w:vAlign w:val="bottom"/>
          </w:tcPr>
          <w:p>
            <w:pPr>
              <w:jc w:val="center"/>
              <w:spacing w:after="0"/>
              <w:rPr>
                <w:sz w:val="20"/>
                <w:szCs w:val="20"/>
                <w:color w:val="auto"/>
              </w:rPr>
            </w:pPr>
            <w:r>
              <w:rPr>
                <w:rFonts w:ascii="Arial" w:cs="Arial" w:eastAsia="Arial" w:hAnsi="Arial"/>
                <w:sz w:val="18"/>
                <w:szCs w:val="18"/>
                <w:color w:val="auto"/>
              </w:rPr>
              <w:t>240,000</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120,000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Each stock price hurdle will be equitably adjusted to reflect any stock splits, stock dividends or other restructurings impacting our Class A common stock. The size of the award was determined after consideration of similar equity awards to founders of privately held and publicly traded technology companies that are serving in executive positions. The number of PSUs for which the performance-based condition may be satisfied is heavily weighted towards the higher stock price hurdles, which our board of directors believes that, when combined with the service-based condition requiring a minimum of four years of service, comprises a structure designed to achieve its incentive and alignment goals with respect to this award.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PSUs that have not satisfied the performance-based condition as of the tenth anniversary of the grant date will be forfeited. Our board of directors intends for the PSUs to be the exclusive equity award that Drs. von Ahn and Hacker will receive through the tenth anniversary of the date of grant.</w:t>
      </w:r>
    </w:p>
    <w:p>
      <w:pPr>
        <w:spacing w:after="0" w:line="149"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In the event of Dr. von Ahn or Dr. Hacker ceases to serve as our Chief Executive Officer or Chief Technology Officer, respectively, as a result of death or disability, the service-based condition will be deemed satisfied, any vested PSUs will generally be settled, any unvested PSUs will remain outstanding and eligible to vest based on achievement of the stock price hurdles set forth above for two years, and any PSUs for which the stock price hurdle has not been met at that time will be forfeited. Unless mutually agreed otherwise, in the event Dr. von Ahn or Dr. Hacker ceases to serve as our Chief Executive Officer or Chief Technology Officer, respectively, for any reason other than death or disability, any vested PSUs will generally be settled and any unvested PSUs will be forfeited. Further, if such cessation of service is effected by us for cause, or Dr. von Ahn or Dr. Hacker engages in fraud or material misconduct, vested PSUs which have not yet been settled may be clawed back to the extent determined appropriate by our board of directors.</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event of a change in control, no accelerated vesting for any tranches will occur solely as a result of the change in control. Upon such event, the service-based condition will be deemed satisfied, achievement of stock price hurdles for purposes of the PSUs will be measured based on the price per share to be received by stockholders in connection with the change in control, and any PSUs for which the stock price hurdle has not been met will be forfeited. To the extent the price per share received by the stockholders in connection with the change in control falls between two stock price hurdles, the number of PSUs deemed earned based on satisfaction of the performance condition will be determined using linear interpolation between the two stock price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 w:right="339" w:bottom="1440" w:gutter="0" w:footer="0" w:header="0"/>
        </w:sectPr>
      </w:pPr>
    </w:p>
    <w:bookmarkStart w:id="166" w:name="page167"/>
    <w:bookmarkEnd w:id="16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2021 Equity Awards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7, 2021, we granted Mr. Skaruppa 25,000 RSUs under our 2011 Plan. The RSUs vest based on the satisfaction of a service-based requirement and a liquidity event requirement within the term of the RSUs. Subject to Mr. Skaruppa’s continued service to us, the service-based requirement will be satisfied as to 25% of the RSUs on May 15, 2022 and as to 6.25% of the RSUs each quarter thereafter. The liquidity event requirement will be satisfied on a change in control or, generally, six months after our securities become publicly traded, including the completion of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2021 Incentive Award Plan</w:t>
      </w:r>
    </w:p>
    <w:p>
      <w:pPr>
        <w:spacing w:after="0" w:line="20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common stock, subject to approval of such plan by our stockholders. For additional information about the 2021 Plan, please see the section titled “Equity Compensation Plans”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basis through contributions to the 401(k) plan. Currently, we match contributions made by employees who have been employed by us for at least one year and who participate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56"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07"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do not provide our named executive officers with any perquisites beyond those made generally available to our other employees. In 2020, we provided each of our employees, including our named executive officers, with a stipend of $5,700 to assist with costs related to working remotely. We also provided each employee, including our named executive officers, with a gift valued at $140.</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future, our board of directors or compensation and leadership committee may provide perquisites to our named executive officers in the event it determines that it is necessary or appropriate to incentivize or fairly compensate them.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20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320" w:top="144" w:right="399" w:bottom="1440" w:gutter="0" w:footer="0" w:header="0"/>
        </w:sectPr>
      </w:pPr>
    </w:p>
    <w:bookmarkStart w:id="167" w:name="page168"/>
    <w:bookmarkEnd w:id="16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all outstanding equity awards held by our NEOs as of 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6"/>
              </w:rPr>
              <w:t>Option Awards (1)</w:t>
            </w: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Equity Incentive Plan</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Awards: Number of</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Number of Securities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Securities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Vesting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Underlying</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Unexercised</w:t>
            </w:r>
          </w:p>
        </w:tc>
        <w:tc>
          <w:tcPr>
            <w:tcW w:w="14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Option Exercise</w:t>
            </w:r>
          </w:p>
        </w:tc>
        <w:tc>
          <w:tcPr>
            <w:tcW w:w="130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Option Expiration</w:t>
            </w:r>
          </w:p>
        </w:tc>
        <w:tc>
          <w:tcPr>
            <w:tcW w:w="0" w:type="dxa"/>
            <w:vAlign w:val="bottom"/>
          </w:tcPr>
          <w:p>
            <w:pPr>
              <w:spacing w:after="0"/>
              <w:rPr>
                <w:sz w:val="1"/>
                <w:szCs w:val="1"/>
                <w:color w:val="auto"/>
              </w:rPr>
            </w:pPr>
          </w:p>
        </w:tc>
      </w:tr>
      <w:tr>
        <w:trPr>
          <w:trHeight w:val="122"/>
        </w:trPr>
        <w:tc>
          <w:tcPr>
            <w:tcW w:w="2700" w:type="dxa"/>
            <w:vAlign w:val="bottom"/>
            <w:vMerge w:val="restart"/>
          </w:tcPr>
          <w:p>
            <w:pPr>
              <w:ind w:left="11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Unexercised Options</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Unearned Options</w:t>
            </w:r>
          </w:p>
        </w:tc>
        <w:tc>
          <w:tcPr>
            <w:tcW w:w="142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Commencement Date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Exercisable</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0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BDBDB"/>
            </w:tcBorders>
          </w:tcPr>
          <w:p>
            <w:pPr>
              <w:spacing w:after="0"/>
              <w:rPr>
                <w:sz w:val="14"/>
                <w:szCs w:val="14"/>
                <w:color w:val="auto"/>
              </w:rPr>
            </w:pPr>
          </w:p>
        </w:tc>
        <w:tc>
          <w:tcPr>
            <w:tcW w:w="13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DBDBDB"/>
            </w:tcBorders>
          </w:tcPr>
          <w:p>
            <w:pPr>
              <w:spacing w:after="0"/>
              <w:rPr>
                <w:sz w:val="14"/>
                <w:szCs w:val="14"/>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7"/>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Luis von Ahn</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1/1/2019 (1)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83,854</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6"/>
        </w:trPr>
        <w:tc>
          <w:tcPr>
            <w:tcW w:w="2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1/1/2020 (1)</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40,104</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22"/>
        </w:trPr>
        <w:tc>
          <w:tcPr>
            <w:tcW w:w="2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1/1/2021 (1)</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Severin Hacker</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1/1/2019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69,854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91,146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2/14/2029</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1/1/2020 (1)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38,604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134,896</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12/12/2029</w:t>
            </w: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1/1/2021 (1)</w:t>
            </w: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38.08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12/2/2030</w:t>
            </w:r>
          </w:p>
        </w:tc>
        <w:tc>
          <w:tcPr>
            <w:tcW w:w="0" w:type="dxa"/>
            <w:vAlign w:val="bottom"/>
          </w:tcPr>
          <w:p>
            <w:pPr>
              <w:spacing w:after="0"/>
              <w:rPr>
                <w:sz w:val="1"/>
                <w:szCs w:val="1"/>
                <w:color w:val="auto"/>
              </w:rPr>
            </w:pPr>
          </w:p>
        </w:tc>
      </w:tr>
      <w:tr>
        <w:trPr>
          <w:trHeight w:val="219"/>
        </w:trPr>
        <w:tc>
          <w:tcPr>
            <w:tcW w:w="2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Matthew Skaruppa</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2/24/2020 (2)</w:t>
            </w:r>
          </w:p>
        </w:tc>
        <w:tc>
          <w:tcPr>
            <w:tcW w:w="100" w:type="dxa"/>
            <w:vAlign w:val="bottom"/>
            <w:shd w:val="clear" w:color="auto" w:fill="DBDBDB"/>
          </w:tcPr>
          <w:p>
            <w:pPr>
              <w:spacing w:after="0"/>
              <w:rPr>
                <w:sz w:val="19"/>
                <w:szCs w:val="19"/>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306,163</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3/10/2030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40" w:right="20" w:hanging="332"/>
        <w:spacing w:after="0" w:line="244"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Each option held by Drs. von Ahn and Hacker vests and becomes exercisable in 48 monthly installments following the vesting commencement date, subject to the named executive officer’s continuing to provide services to us through the applicable vesting date. Each option is subject to accelerated vesting upon the completion of this offering in respect of the lesser of (A) 60% of total number of shares subject to the option, or (B) the number of then unvested shares subject to the option, subject to continued service through the completion of this offering. Additionally, if within twelve months immediately following a Change in Control, Drs. von Ahn’s or Hacker’s service is terminated by us without Cause or by the NEO for Good Reason, then 100% of the shares subject to each option held by him will vest and be exercisable, subject to the delivery of a release of claims in favor of us.</w:t>
      </w:r>
    </w:p>
    <w:p>
      <w:pPr>
        <w:spacing w:after="0" w:line="151" w:lineRule="exact"/>
        <w:rPr>
          <w:rFonts w:ascii="Arial" w:cs="Arial" w:eastAsia="Arial" w:hAnsi="Arial"/>
          <w:sz w:val="14"/>
          <w:szCs w:val="14"/>
          <w:color w:val="auto"/>
        </w:rPr>
      </w:pPr>
    </w:p>
    <w:p>
      <w:pPr>
        <w:ind w:left="340" w:hanging="332"/>
        <w:spacing w:after="0" w:line="247" w:lineRule="auto"/>
        <w:tabs>
          <w:tab w:leader="none" w:pos="327"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Skaruppa’s option grant vests as to 25% of the shares underlying the option on the first anniversary of the vesting commencement date and as to 1/48th of the shares underlying the option each month thereafter, subject to Mr. Skaruppa continuing to provide services to us through the applicable vesting date. If Mr. Skaruppa’s employment with us is terminated by us without Cause or by Mr. Skaruppa for Good Reason within the period commencing three months prior to a Change in Control and ending twelve months after the Change in Control, then the vesting and exercisability of the option will accelerate in respect of 100% of the shares subject to the option.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20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We have entered into offer letters with each of our named executed officers. Each offer letter sets forth the title, base salary, and initial equity award for the executive and summarizes the other terms and conditions applicable to the executive’s employment with us. Additionally, each of our named executive officers has entered into a proprietary information and invention assignment agreement with us.</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In accordance with Mr. Skaruppa’s offer letter, we paid him a signing bonus in the amount of $150,000. If, within the first year of Mr. Skaruppa’s employment, we terminate his employment for Cause or he resigns without Good Reason (as defined below), then Mr. Skaruppa has agreed to repay $75,000 of the signing bonus.</w:t>
      </w:r>
    </w:p>
    <w:p>
      <w:pPr>
        <w:spacing w:after="0" w:line="14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Mr. Skaruppa’s offer letter also provides that if his employment is terminated by us without Cause or by him for Good Reason, then, subject to his timely delivery of an effective release of claims, he will be entitled to receive six months continued payment of his base salary, up to six months continued healthcare coverage at our expense and, solely if such termination occurs within the period commencing three months prior to a Change in Control and ending twelve months after a Change in Control, vesting acceleration of 100% of the shares underlying his outstanding stock options and other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 w:right="339" w:bottom="1440" w:gutter="0" w:footer="0" w:header="0"/>
        </w:sectPr>
      </w:pPr>
    </w:p>
    <w:bookmarkStart w:id="168" w:name="page169"/>
    <w:bookmarkEnd w:id="16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purposes of Mr. Skaruppa’s offer letter, “Cause” means Mr. Skaruppa’s: (1) material breach of any of his obligations contained in his offer letter, including his willful failure or refusal to perform the job duties and responsibilities assigned to him by us, subject to our provision of notice within 60 days of such failure and his failure to cure within 30 days after such notice; (2) commission of any felony or crime involving moral turpitude; (3) participation in a fraud, act of material dishonesty or misappropriation or similar conduct against us; (4) conduct that is materially injurious to us or our affiliates or subsidiaries, monetarily or otherwise; (5) improper disclosure of our confidential or proprietary information except as required by law; or (6) obtaining a direct or indirect personal benefit from the transfer or use of our trade secrets or intellectual property other than on our behalf or as required by law.</w:t>
      </w:r>
    </w:p>
    <w:p>
      <w:pPr>
        <w:spacing w:after="0" w:line="151"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For the purposes of Mr. Skaruppa’s offer letter, “Good Reason” means any of the following events without his written consent: (1) any material breach of the terms of his offer letter by us; (2) a material reduction or diminution in his title, duties, role, reporting line, and/or responsibilities; (3) any material change in the principal location of his employment that increases his one-way commute by more than ten miles; or (4) any reduction by us of his base salary of ten percent or more (other than as part of a company-wide reduction). In order to perfect Good Reason, Mr. Skaruppa must provide advance written notice of such resignation to us within sixty days of the initial occurrence of the event or action giving rise to Good Reason, such written notice must specify that his resignation is effective not less than thirty days, nor more than sixty days, after the date of the written notice, and we must have failed to remedy the basis for Good Reason prior to the date of resignation specified in the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this offering, our board of directors has approved entering into change in control and severance agreements with each of our named executive officers that provide for severance benefits in connection with certain qualifying terminations.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event Drs. von Ahn or Hacker resigns for good reason or we terminate Drs. von Ahn’s or Hacker’s employment without cause (in each case to be defined in the applicable agreement), in addition to any accrued obligations, he is entitled to continued payment of his base salary for 12 months as well as continued healthcare coverage under our medical plan paid or reimbursed by us for up to 12 months. In the event we terminate Mr. Skaruppa’s employment without cause, in addition to any accrued obligations, he is entitled to continued payment of his base salary for six months as well as continued healthcare coverage under our medical plan paid or reimbursed by us for up to six months. Payment of severance is contingent on the executive timely providing us with a general release of claims.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In the event Drs. von Ahn or Hacker resigns for good reason or we terminate Drs. von Ahn’s or Hacker’s employment without cause, in each case, within the three month period prior to, or twelve month period following, a change in control (to be defined in the applicable agreement) (the Change in Control Protection Period), in addition to any accrued obligations and in lieu of the severance benefits described above, he is entitled to the following benefits: (i) payment of an amount equal to 1.5 times his then-current annual base salary, payable over an 18-month period, (ii) payment of a pro-rated annual bonus assuming target performance and paid in a single lump sum, (iii) continued health coverage under our medical plan paid or reimbursed by us for up to 18 months, and (iv) accelerated vesting of all outstanding equity awards subject to time-based vesting provisions. In the event Mr. Skaruppa resigns for good reason or we terminate Mr. Skaruppa’s employment without cause, in each case, within the Change in Control Protection Period, in addition to any accrued obligations and in lieu of the severance benefits described above, he is entitled to the following benefits: (i) payment of an amount equal to his then-current annual base salary, payable over a 12-month period, (ii) payment of a pro-rated annual bonus assuming target performance and paid in a single lump sum, (iii) continued health coverage under our medical plan paid or reimbursed by us for up to 12 months, and (iv) accelerated vesting of all outstanding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 w:right="339" w:bottom="1440" w:gutter="0" w:footer="0" w:header="0"/>
        </w:sectPr>
      </w:pPr>
    </w:p>
    <w:bookmarkStart w:id="169" w:name="page170"/>
    <w:bookmarkEnd w:id="16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subject to time-based vesting provisions. Payment of severance is contingent on the executive timely providing us with a general release of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0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following summarizes the material terms of the long-term incentive compensation plan in which our named executive officers will be eligible to participate following the consummation of this offering and our existing equity plans, under which we have previously made periodic grants of equity and equity-based awards to our named executive officers and other key employees.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Incentive Award Plan</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intend to adopt the 2021 Plan, which will be effective on the day prior to the first public trading date of our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Under the 2021 Plan, 7,832,000 shares of our Class A common stock (the “shares”) will be initially reserved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variety of stock-based compensation awards, including stock options, stock appreciation rights (SARs), restricted stock awards, restricted stock unit awards and other stock-based awards. The number of shares initially reserved for issuance or transfer pursuant to awards under the 2021 Plan will be increased by (1) the number of shares represented by awards outstanding under our existing equity plans, or Prior Plan Awards, that become available for issuance under the counting provisions described below following the effective date and (2) an annual increase on the first day of each fiscal year beginning in 2022 and ending in 2031, equal to the lesser of (A) 5% of the shares of our common stock outstanding (on an as converted basis) on the last day of the immediately preceding fiscal year and (B) such smaller number of shares of stock as determined by our board of directors; provided, however, that no more than 44,749,446 shares of Class A common stock may be issued upon the exercise of incentive stock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counting provisions will be in effect for the share reserve under the 2021 Plan:</w:t>
      </w:r>
    </w:p>
    <w:p>
      <w:pPr>
        <w:spacing w:after="0" w:line="171" w:lineRule="exact"/>
        <w:rPr>
          <w:sz w:val="20"/>
          <w:szCs w:val="20"/>
          <w:color w:val="auto"/>
        </w:rPr>
      </w:pPr>
    </w:p>
    <w:p>
      <w:pPr>
        <w:jc w:val="both"/>
        <w:ind w:left="660" w:right="8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an award (including a Prior Plan Award) terminates, expires or lapses for any reason or an award is settled in cash without the delivery of shares, any shares of Class A common stock or Class B common stock subject to the award at such time will be available for future grants under the 2021 Plan;</w:t>
      </w:r>
    </w:p>
    <w:p>
      <w:pPr>
        <w:spacing w:after="0" w:line="147"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shares of Class A common stock or Class B common stock are tendered or withheld to satisfy the grant, exercise price or tax withholding obligation with respect to any award under the 2021 Plan or Prior Plan Award, such tendered or withheld shares will be available for future grants under the 2021 Plan;</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2021 Plan;</w:t>
      </w:r>
    </w:p>
    <w:p>
      <w:pPr>
        <w:spacing w:after="0" w:line="143"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extent that shares of our common stock are repurchased by us prior to vesting so that shares are returned to us, such shares will be available for future grants under the 2021 Plan;</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Prior Plan Awards will not be counted against the shares available for issuance under the 2021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 w:right="359" w:bottom="1440" w:gutter="0" w:footer="0" w:header="0"/>
        </w:sectPr>
      </w:pPr>
    </w:p>
    <w:bookmarkStart w:id="170" w:name="page171"/>
    <w:bookmarkEnd w:id="17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40" w:hanging="328"/>
        <w:spacing w:after="0" w:line="256"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 for such individual’s first year of service and $750,000 for each year thereafter.</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and leadership committee of our board of directors is expected to administer the 2021 Plan unless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assumes authority for administration. The compensation and leadership committee must consist of at least three members of our board of directors, each of whom is intended to qualify as a “non-employee director” for purposes of Rule 16b-3 under the Exchange Act and an “independent director” within the meaning of the rules of the applicable stock exchange, or other principal securities market on which shares of our common stock are traded. The 2021 Plan provides that the board or compensation and leadership committee may delegate its authority to grant awards to employees other than 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5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of directors may at any time remove the compensation and leadership committee as the administrator and revest in itself the authority to administer the 2021 Plan. The full board of directors will administer the 2021 Plan with respect to awards to non-employee directors.</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SARs, restricted stock and all other stock-based and cash-based awards under the 2021 Plan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who are then our officers, employees or consultants or are the officers, employees or consultants of certain of our subsidiaries. Such awards also may be granted to our directors. Only employees of our company or certain of our subsidiaries may be granted incentive stock options (ISOs).</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2021 Plan provides that the administrator may grant or issue stock options (SARs) restricted stock, restricted stock units,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cash-based awards and dividend equivalents, or any combination thereof. Each award will be set forth in a separate agreement with the person receiving the award and will indicate the type, terms and conditions of the award.</w:t>
      </w:r>
    </w:p>
    <w:p>
      <w:pPr>
        <w:spacing w:after="0" w:line="107" w:lineRule="exact"/>
        <w:rPr>
          <w:sz w:val="20"/>
          <w:szCs w:val="20"/>
          <w:color w:val="auto"/>
        </w:rPr>
      </w:pPr>
    </w:p>
    <w:p>
      <w:pPr>
        <w:ind w:left="660" w:right="100" w:hanging="328"/>
        <w:spacing w:after="0" w:line="258"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Nonstatutory Stock Options (</w:t>
      </w:r>
      <w:r>
        <w:rPr>
          <w:rFonts w:ascii="Arial" w:cs="Arial" w:eastAsia="Arial" w:hAnsi="Arial"/>
          <w:sz w:val="18"/>
          <w:szCs w:val="18"/>
          <w:color w:val="auto"/>
        </w:rPr>
        <w:t>NSOs) will provide for the right to purchase shares of our common stock at a specified price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129" w:lineRule="exact"/>
        <w:rPr>
          <w:rFonts w:ascii="Arial" w:cs="Arial" w:eastAsia="Arial" w:hAnsi="Arial"/>
          <w:sz w:val="18"/>
          <w:szCs w:val="18"/>
          <w:color w:val="auto"/>
        </w:rPr>
      </w:pPr>
    </w:p>
    <w:p>
      <w:pPr>
        <w:jc w:val="both"/>
        <w:ind w:left="660" w:right="160" w:hanging="328"/>
        <w:spacing w:after="0" w:line="266"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will be designed in a manner intended to comply with the provisions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of 1986, as amended (the Code), and will be subject to specified restrictions contained in the Code. Among such restrictions, ISOs must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 w:right="339" w:bottom="1440" w:gutter="0" w:footer="0" w:header="0"/>
        </w:sectPr>
      </w:pPr>
    </w:p>
    <w:bookmarkStart w:id="171" w:name="page172"/>
    <w:bookmarkEnd w:id="17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date of grant and the ISO must not be exercisable after a period of five years measured from the date of grant.</w:t>
      </w:r>
    </w:p>
    <w:p>
      <w:pPr>
        <w:spacing w:after="0" w:line="133" w:lineRule="exact"/>
        <w:rPr>
          <w:sz w:val="20"/>
          <w:szCs w:val="20"/>
          <w:color w:val="auto"/>
        </w:rPr>
      </w:pPr>
    </w:p>
    <w:p>
      <w:pPr>
        <w:ind w:left="6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33"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may be awarded to any eligible individual, typically without payment of consideration, but subject to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33" w:lineRule="exact"/>
        <w:rPr>
          <w:rFonts w:ascii="Arial" w:cs="Arial" w:eastAsia="Arial" w:hAnsi="Arial"/>
          <w:sz w:val="18"/>
          <w:szCs w:val="18"/>
          <w:color w:val="auto"/>
        </w:rPr>
      </w:pPr>
    </w:p>
    <w:p>
      <w:pPr>
        <w:ind w:left="660" w:right="200" w:hanging="328"/>
        <w:spacing w:after="0" w:line="258"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2021 Plan must be at least 100% of the fair market value of a share of our common stock on the date of grant. SARs under the 2021 Plan will be settled in cash or shares of our common stock, or in a combination of both, at the election of the administrator.</w:t>
      </w:r>
    </w:p>
    <w:p>
      <w:pPr>
        <w:spacing w:after="0" w:line="129"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133"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alone or in tandem with awards 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 w:right="359" w:bottom="1440" w:gutter="0" w:footer="0" w:header="0"/>
        </w:sectPr>
      </w:pPr>
    </w:p>
    <w:bookmarkStart w:id="172" w:name="page173"/>
    <w:bookmarkEnd w:id="17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unless the plan administrator elects to terminate an award in exchange for cash,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13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stock dividend or other distribution, stock split, reverse stock split, reorganization, combination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Plan;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13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2021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46"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2011 Equity Incentive Plan</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currently maintain the 2011 Plan, which became effective on October 18, 2011 upon its adoption by our board of directors. Following this offering and in connection with the effectiveness of our 2021 Plan, the 2011 Plan will terminate and no further awards will be granted under the 2011 Plan. However, all outstanding awards will continue to be governed by their existing terms.</w:t>
      </w:r>
    </w:p>
    <w:p>
      <w:pPr>
        <w:spacing w:after="0" w:line="13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the compensation and leadership committee or another committee thereof appointed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has the authority to administer the 2011 Plan and the awards granted under it. The administrator has the authority to select the service providers to whom awards will be granted under the 2011 Plan, the number of shares to be subject to those awards under the 2011 Plan, and the terms and conditions of the awards granted. In addition, the administrator has the authority to construe and interpret the 2011 Plan and to adopt rules for the relating to the 2011 Plan, and exercise such other powers that it deems necessary and desirable to promote the bests interests of the company and that are consistent with the terms of the 2011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 w:right="339" w:bottom="1440" w:gutter="0" w:footer="0" w:header="0"/>
        </w:sectPr>
      </w:pPr>
    </w:p>
    <w:bookmarkStart w:id="173" w:name="page174"/>
    <w:bookmarkEnd w:id="17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March 31, 2021, we had reserved an aggregate of 10,113,254 shares of our common stock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2011 Plan. As of March 31, 2021, options to purchase a total of 7,770,502 shares of our common stock and 41,917 RSUs were outstanding and 715,321 shares remained available for future grants.</w:t>
      </w:r>
    </w:p>
    <w:p>
      <w:pPr>
        <w:spacing w:after="0" w:line="121"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2011 Plan provides that the administrator may grant or issue options, including ISOs and NSOs, and stock purchase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consultants and directors; provided that only employees may be granted ISOs.</w:t>
      </w:r>
    </w:p>
    <w:p>
      <w:pPr>
        <w:spacing w:after="0" w:line="93" w:lineRule="exact"/>
        <w:rPr>
          <w:sz w:val="20"/>
          <w:szCs w:val="20"/>
          <w:color w:val="auto"/>
        </w:rPr>
      </w:pPr>
    </w:p>
    <w:p>
      <w:pPr>
        <w:ind w:left="660" w:right="120" w:hanging="328"/>
        <w:spacing w:after="0" w:line="255"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2011 Plan provides for the grant of ISOs or NSOs. ISOs may be granted only to employees. NSOs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34"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Stock Purchase Rights</w:t>
      </w:r>
      <w:r>
        <w:rPr>
          <w:rFonts w:ascii="Arial" w:cs="Arial" w:eastAsia="Arial" w:hAnsi="Arial"/>
          <w:sz w:val="18"/>
          <w:szCs w:val="18"/>
          <w:color w:val="auto"/>
        </w:rPr>
        <w:t>. The 2011 Plan provides for the grant of stock purchase rights. Each stock purchase right that is accepted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governed by a restricted stock purchase agreement, which will detail the restrictions on transferability, risk of forfeiture and other restrictions the administrator approves. In general, restricted stock acquired upon exercise of a stock purchase right may not be sold, transferred, pledged, hypothecated, margined or otherwise encumbered until restrictions are removed or expire. Holders of restricted stock, unlike recipients of stock options, will have voting rights and will have the right to receive dividends, if any, prior to the time when the restrictions lapse.</w:t>
      </w:r>
    </w:p>
    <w:p>
      <w:pPr>
        <w:spacing w:after="0" w:line="13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2011 Plan provides for the grant of restricted stock units. Each restricted stock unit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unfunded, unsecured right to receive a share of our common stock or an amount of cash or other consideration equal to the fair market value of a share of our common stock. The terms of each award of restricted stock units are set forth in a restricted stock unit agreement.</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Adjustments of Awards. </w:t>
      </w:r>
      <w:r>
        <w:rPr>
          <w:rFonts w:ascii="Arial" w:cs="Arial" w:eastAsia="Arial" w:hAnsi="Arial"/>
          <w:sz w:val="18"/>
          <w:szCs w:val="18"/>
          <w:color w:val="auto"/>
        </w:rPr>
        <w:t>In the event of any dividend or other distribution, reorganization, merger, consolidation, combination,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sale, transfer, exchange or other disposition of substantially all of our assets, or exchange of shares or other similar corporate transaction or event, other than with respect to an equity restructuring (such as a stock split, stock dividend, spin-off or recapitalization), the administrator will make adjustments to the number and class of shares available for issuance under the 2011 Plan and the number, class and price of shares subject to outstanding awards, in order to prevent dilution or enlargement of benefits. In the event of an equity restructuring of the company, the number, class and price of shares subject to outstanding options and stock purchase rights, and the number and class of shares available for issuance under the 2011 Plan will be proportionately adjusted by the administrator.</w:t>
      </w:r>
    </w:p>
    <w:p>
      <w:pPr>
        <w:spacing w:after="0" w:line="132"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any outstanding awards granted prior to September 12, 2012 may be assumed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substituted and where the acquirer does not assume or replace such awards, prior to the consummation of such transaction, such outstanding awards will accelerate in full. Otherwise, in the event of a merger or change in control, the administrator has broad discretion to determine the treatment of each outstanding award, including providing for awards to terminate or accelerate in full immediately prior to the change in control or for awards to terminate in exchange for cash or other property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 w:right="339" w:bottom="1440" w:gutter="0" w:footer="0" w:header="0"/>
        </w:sectPr>
      </w:pPr>
    </w:p>
    <w:bookmarkStart w:id="174" w:name="page175"/>
    <w:bookmarkEnd w:id="17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terminate the 2011 Plan or any portion thereof at any time. However,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may impair the rights of a holder of an outstanding award without the holder’s consent, and any action by our board of directors to increase the number of shares subject to the plan or extend the term of the plan is subject to the approval of our stockholders. Additionally, an amendment of the plan shall be subject to the approval of our stockholders, where such approval by our stockholders of an amendment is required by applicable law. Following this offering and in connection with the effectiveness of our 2021 Plan, the 2011 Plan will terminate and no further awards will be granted under the 2011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intend to adopt and ask our stockholders to approve the 2021 Employee Stock Purchase Plan, which we refer to as our ESPP, which will be effective upon the day prior to the effectiveness of the registration statement to which this prospectus relates. The ESPP is designed to allow our eligible employees to purchase shares of our common stock, at semi-annual intervals, with their accumulated payroll deductions. The ESPP is intended to qualify under Section 423 of the Code. The material terms of the ESPP, as it is currently contemplated, are summarized below.</w:t>
      </w:r>
    </w:p>
    <w:p>
      <w:pPr>
        <w:spacing w:after="0" w:line="136" w:lineRule="exact"/>
        <w:rPr>
          <w:sz w:val="20"/>
          <w:szCs w:val="20"/>
          <w:color w:val="auto"/>
        </w:rPr>
      </w:pPr>
    </w:p>
    <w:p>
      <w:pPr>
        <w:jc w:val="both"/>
        <w:ind w:right="80"/>
        <w:spacing w:after="0" w:line="27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and leadership committee will administer the ESPP.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leadership committee can delegate administrative tasks under the ESPP to the services of an agent and/or employees to assist in the administration of the ESPP. The administrator will have the discretionary authority to administer and interpret the ESPP.</w:t>
      </w:r>
    </w:p>
    <w:p>
      <w:pPr>
        <w:jc w:val="both"/>
        <w:ind w:right="80"/>
        <w:spacing w:after="0" w:line="277" w:lineRule="auto"/>
        <w:rPr>
          <w:sz w:val="20"/>
          <w:szCs w:val="20"/>
          <w:color w:val="auto"/>
        </w:rPr>
      </w:pPr>
      <w:r>
        <w:rPr>
          <w:rFonts w:ascii="Arial" w:cs="Arial" w:eastAsia="Arial" w:hAnsi="Arial"/>
          <w:sz w:val="18"/>
          <w:szCs w:val="18"/>
          <w:color w:val="auto"/>
        </w:rPr>
        <w:t>Interpretations and constructions of the administrator of any provision of the ESPP or of any rights thereunder will be conclusive and binding on all persons. We will bear all expenses and liabilities incurred by the ESPP administrator.</w:t>
      </w:r>
    </w:p>
    <w:p>
      <w:pPr>
        <w:spacing w:after="0" w:line="12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maximum number of shares of our common stock which will be authorized for sale under the ESPP is equal to the sum</w:t>
      </w:r>
      <w:r>
        <w:rPr>
          <w:rFonts w:ascii="Arial" w:cs="Arial" w:eastAsia="Arial" w:hAnsi="Arial"/>
          <w:sz w:val="18"/>
          <w:szCs w:val="18"/>
          <w:i w:val="1"/>
          <w:iCs w:val="1"/>
          <w:color w:val="auto"/>
        </w:rPr>
        <w:t xml:space="preserve"> </w:t>
      </w:r>
      <w:r>
        <w:rPr>
          <w:rFonts w:ascii="Arial" w:cs="Arial" w:eastAsia="Arial" w:hAnsi="Arial"/>
          <w:sz w:val="18"/>
          <w:szCs w:val="18"/>
          <w:color w:val="auto"/>
        </w:rPr>
        <w:t>of (a) 1,119,000 shares of common stock and (b) an annual increase on the first day of each fiscal year beginning in 2022 and ending in 2031, equal to the lesser of (i) 1% of the shares of our common stock outstanding (on an as converted basis) on the last day of the immediately preceding fiscal year and (ii) such number of shares of common stock as determined by our board of directors; provided, however, no more than 8,390,521 shares of our common stock may be issued under the ESPP. The shares reserved for issuance under the ESPP may be authorized but unissued shares or reacquired shares.</w:t>
      </w:r>
    </w:p>
    <w:p>
      <w:pPr>
        <w:spacing w:after="0" w:line="13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the ESPP for a given offering period generally include employees who are employed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1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at least 1% of their compensation but not more than the lesser of 15% of their compensation or such other limit as determined by the company. Such payroll deductions may be expressed as either a whole number percentage or a fixed dollar amount, and the accumulated deductions will be applied to the purchase of shares on each purchase date. However, a participant may not purchase more than</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100,000 shares in each offering period. The ESPP administrator has the authority to change these limitations for any subsequent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144" w:right="359" w:bottom="1440" w:gutter="0" w:footer="0" w:header="0"/>
        </w:sectPr>
      </w:pPr>
    </w:p>
    <w:bookmarkStart w:id="175" w:name="page176"/>
    <w:bookmarkEnd w:id="17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offering periods, the duration and timing of which will be determined by the ESPP administrator. However, in no event may an offering period be longer than 27 months in length.</w:t>
      </w:r>
    </w:p>
    <w:p>
      <w:pPr>
        <w:spacing w:after="0" w:line="139"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1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5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7"/>
          <w:szCs w:val="17"/>
          <w:i w:val="1"/>
          <w:iCs w:val="1"/>
          <w:color w:val="auto"/>
        </w:rPr>
        <w:t xml:space="preserve">Adjustments upon Changes in Recapitalization, Dissolution, Liquidation, Merger or Asset Sale. </w:t>
      </w:r>
      <w:r>
        <w:rPr>
          <w:rFonts w:ascii="Arial" w:cs="Arial" w:eastAsia="Arial" w:hAnsi="Arial"/>
          <w:sz w:val="17"/>
          <w:szCs w:val="17"/>
          <w:color w:val="auto"/>
        </w:rPr>
        <w:t>In the event of any increase or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ten business days prior to the new exercise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144" w:right="359" w:bottom="1440" w:gutter="0" w:footer="0" w:header="0"/>
        </w:sectPr>
      </w:pPr>
    </w:p>
    <w:bookmarkStart w:id="176" w:name="page177"/>
    <w:bookmarkEnd w:id="17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980"/>
          </w:cols>
          <w:pgMar w:left="320" w:top="144" w:right="599" w:bottom="1440" w:gutter="0" w:footer="0" w:header="0"/>
        </w:sectPr>
      </w:pPr>
    </w:p>
    <w:bookmarkStart w:id="177" w:name="page178"/>
    <w:bookmarkEnd w:id="17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includes a summary of transactions since January 1, 2018 and any currently proposed transactions to which we were or are expected to be a participant in which (1) the amount involved exceeded or will exceed $120,000,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sections titled “Executive Compensation” and “Management—Director Compensation” and the registration rights described in the section titled “Description of Capital Stock—Registration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Secondary Sales</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In November 2020, we entered into an agreement with certain holders of our capital stock pursuant to which we agreed to waive certain transfer restrictions in connection with, and assist in the administration of a secondary offering of our capital stock, or the secondary offering. The secondary offering involved the following transactions in which any of our directors, executive officers and holders of more than 5% of our capital stock, or any affiliate or member of the immediate family of the foregoing persons, had a direct or indirect material interest:</w:t>
      </w:r>
    </w:p>
    <w:p>
      <w:pPr>
        <w:spacing w:after="0" w:line="139" w:lineRule="exact"/>
        <w:rPr>
          <w:sz w:val="20"/>
          <w:szCs w:val="20"/>
          <w:color w:val="auto"/>
        </w:rPr>
      </w:pPr>
    </w:p>
    <w:p>
      <w:pPr>
        <w:jc w:val="both"/>
        <w:ind w:left="660" w:right="300" w:hanging="328"/>
        <w:spacing w:after="0" w:line="256"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Luis von Ahn, our President, Chief Executive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47"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Severin Hacker, our Chief Technology Officer, member of our board of directors, and holder of more than 5% of our capital stock sold 158,942 shares of our capital stock to a third party at a purchase price per share of $59.77 for an aggregate purchase price of approximately $9.5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H Convertible Preferred Stock Financing and Secondary Sales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November 2020, we issued an aggregate of 334,642 shares of our Series H convertible preferred stock to General Atlantic (DU), L.P. (General Atlantic) at a price per share of $59.7653 for proceeds to us of approximately $20.0 million. General Atlantic also purchased, at a price per share of $59.7653, an aggregate of 246,000 shares of our Series B, C and D convertible preferred stock from entities affiliated with Union Square Ventures, a holder of more than 5% of our capital stock and where Brad Burnham, who was then a member of our board of directors, serves as a general partner. Upon the consummation of the foregoing transactions, General Atlantic became the holder of more than 5%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Convertible Preferred Stock Financing</w:t>
      </w:r>
    </w:p>
    <w:p>
      <w:pPr>
        <w:spacing w:after="0" w:line="20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November 2019, we issued an aggregate of 758,146 shares of our Series F convertible preferred stock to CapitalG II LP (CapitalG), a holder of more than 5% of our capital stock, at a price per share of $39.5702 for proceeds to us of approximately $30.0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party to an Amended and Restated Investors’ Rights Agreement, dated as of November 6, 2020 (Investors’ Rights Agreement), with certain holders of our capital stock, including the following holders of more than 5% of our capital stock: entities affiliated with Union Square Ventures, Kleiner Perkins Caufield &amp; Byers, CapitalG, NewView Capital Fund I, L.P. (NewView), and General Atlantic. This agreement provides, among other things, that certain holders of our capital stock have the right to request that we file a registration statement, and/or request that their shares be covered by a registration statement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144" w:right="379" w:bottom="1440" w:gutter="0" w:footer="0" w:header="0"/>
        </w:sectPr>
      </w:pPr>
    </w:p>
    <w:bookmarkStart w:id="178" w:name="page179"/>
    <w:bookmarkEnd w:id="17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are otherwise filing, subject to certain exceptions. See the section titled “Description of Capital Stock—Registration Rights” for additional information regarding these registration rights.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party to an Amended and Restated Voting Agreement, dated as of November 6, 2020 (Voting Agreement), under which certain holders of our capital stock, including Drs. von Ahn and Hacker, and entities affiliated with Union Square Ventures, Kleiner Perkins Caufield &amp; Byers, CapitalG, NewView and General Atlantic, have agreed to vote their shares on certain matters, including with respect to the election of directors. In connection with this offering, the Voting Agreement will terminate and none of our stockholders will have any special rights regarding the election or designation of members of our board of directors, the voting of our capital stock, or the restrictions on transfer pursuant to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party to an Amended and Restated Right of First Refusal and Co-Sale Agreement, dated as of November 6, 2020 (Right of First Refusal and Co-Sale Agreement), with certain holders of our capital stock, including Drs. von Ahn and Hacker, and entities affiliated with Union Square Ventures, Kleiner Perkins Caufield &amp; Byers, CapitalG, NewView and General Atlantic. This agreement provides for rights of first refusal and co-sale relating to the shares of our common stock held by certain parties to the agreement. In connection with this offering, the Right of First Refusal and Co-Sale Agreement will terminate.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Exchange Agreement</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order to effect the Common Stock Reclassification and Exchange, we intend to enter into an exchange agreement with our Founders, Luis von Ahn and Severin Hacker, pursuant to which an aggregate of 6,930,334 shares of Class A common stock held by our Founders will be exchanged into an equivalent number of shares of Class B common stock prior to the completion of this offering. In addition, prior to the completion of this offering, each stock option and award of RSUs held by Drs. von Ahn and Hacker will be amended to provide that such option or award will be exercised into or settle in shares of Class B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0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We have entered into indemnification agreements with each of our current directors, and intend to enter into new indemnification agreements with each of our current directors and officers. Our amended and restated certificate of incorporation and our amended and restated bylaws provide that we will indemnify our directors and officers to the fullest extent permitted by applicable law. See the section titled “Management —Limitation on Liability and Indemnification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intends to adopt a written related party transaction policy, to be effective upon the completion of this offering, setting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forth the policies and procedures for the review and approval or ratification of related party transactions. This policy will cover, with certain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exceptions set forth in Item 404 of Regulation S-K under the Securities Act, any transaction, arrangement, or relationship, or any series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similar transactions, arrangements, or relationships in which we were or are to be a participant, where the amount involved exceeds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$120,000 and a related party had or will have a direct or indirect material interest, including without limitation purchases of goods or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or from the related party or entities in which the related party has a material interest, indebtedness, guarantees of indebtedness,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employment by us of a related party. In reviewing and approving any such transactions, our audit, risk and compliance committee is tasked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consider all relevant facts and circumstances, including but not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44" w:right="359" w:bottom="1440" w:gutter="0" w:footer="0" w:header="0"/>
        </w:sectPr>
      </w:pPr>
    </w:p>
    <w:bookmarkStart w:id="179" w:name="page180"/>
    <w:bookmarkEnd w:id="17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whether the transaction is on terms comparable to those that could be obtained in an arm’s length transaction with an unrelated third party and the extent of the related party’s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320" w:top="144" w:right="399" w:bottom="1440" w:gutter="0" w:footer="0" w:header="0"/>
        </w:sectPr>
      </w:pPr>
    </w:p>
    <w:bookmarkStart w:id="180" w:name="page181"/>
    <w:bookmarkEnd w:id="18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2021, and as adjusted to reflect our sale of our Class A common stock in this offering, for:</w:t>
      </w:r>
    </w:p>
    <w:p>
      <w:pPr>
        <w:spacing w:after="0" w:line="130"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executive officers and current directors as a group;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any class of our voting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June 30, 2021, subject to community property laws where applicable. We have deemed shares of our common stock subject to stock options that are currently exercisable or will be exercisable within 60 days of June 30, 2021, to be outstanding and to be beneficially owned by the person holding the stock option for the purpose of computing the percentage ownership of that person. However, we did not deem these shares subject to stock options outstanding for the purpose of computing the percentage ownership of any other person or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based percentage ownership of our common stock before this offering on 6,340,772 shares of our Class A common stock</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and 26,004,310 shares of our Class B common stock outstanding as of June 30, 2021, in each case, after giving effect to the Transactions, as if the Transactions had occurred as of June 30, 2021. The percentage ownership of our common stock after this offering also assumes the foregoing and the issuance and sale of 3,700,000 shares by us in this offering, and does not include the exercise of the underwriters’ option to purchase 765,916 additional shares from us.</w:t>
      </w:r>
    </w:p>
    <w:p>
      <w:pPr>
        <w:spacing w:after="0" w:line="15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connection with this offering, our board of directors approved the reclassification of all outstanding shares of common stock and all shares of common stock underlying outstanding equity awards under our 2011 Plan into shares of Class A common stock, and all holders of such outstanding shares or equity awards hold a one-time right to exchange such shares of Class A common stock or the shares of Class A common stock issuable upon vesting or exercise of such equity awards, as applicable, for an equal number of shares of Class B common stock, which, in the case of equity awards, may be exercised prior to, at or following the vesting or exercise of the equity award. We have assumed for purposes of the table set forth below that solely our Founders have exercised this right. Class A common stock subject to stock options exercisable or RSUs subject to vesting within 60 days of June 30, 2021 are shown in the table below as Class A common stock or, in the case of our Founders, as Class B common stock, in “Shares Beneficially Owned Prior to this Offering” and “Shares Beneficially Owned After this Offering.” See the section titled “Description of Capital Stock”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44" w:right="359" w:bottom="1440" w:gutter="0" w:footer="0" w:header="0"/>
        </w:sectPr>
      </w:pPr>
    </w:p>
    <w:bookmarkStart w:id="181" w:name="page182"/>
    <w:bookmarkEnd w:id="18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Duolingo, Inc., 5900 Penn Avenue, Pittsburgh, Pennsylvania 15206.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2940" w:type="dxa"/>
            <w:vAlign w:val="bottom"/>
            <w:gridSpan w:val="8"/>
          </w:tcPr>
          <w:p>
            <w:pPr>
              <w:jc w:val="center"/>
              <w:ind w:left="450"/>
              <w:spacing w:after="0"/>
              <w:rPr>
                <w:sz w:val="20"/>
                <w:szCs w:val="20"/>
                <w:color w:val="auto"/>
              </w:rPr>
            </w:pPr>
            <w:r>
              <w:rPr>
                <w:rFonts w:ascii="Arial" w:cs="Arial" w:eastAsia="Arial" w:hAnsi="Arial"/>
                <w:sz w:val="13"/>
                <w:szCs w:val="13"/>
                <w:b w:val="1"/>
                <w:bCs w:val="1"/>
                <w:color w:val="auto"/>
                <w:w w:val="97"/>
              </w:rPr>
              <w:t>Shares Beneficially Owned Prior to</w:t>
            </w:r>
          </w:p>
        </w:tc>
        <w:tc>
          <w:tcPr>
            <w:tcW w:w="5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 of</w:t>
            </w:r>
          </w:p>
        </w:tc>
        <w:tc>
          <w:tcPr>
            <w:tcW w:w="920" w:type="dxa"/>
            <w:vAlign w:val="bottom"/>
          </w:tcPr>
          <w:p>
            <w:pPr>
              <w:spacing w:after="0"/>
              <w:rPr>
                <w:sz w:val="13"/>
                <w:szCs w:val="13"/>
                <w:color w:val="auto"/>
              </w:rPr>
            </w:pPr>
          </w:p>
        </w:tc>
        <w:tc>
          <w:tcPr>
            <w:tcW w:w="2860" w:type="dxa"/>
            <w:vAlign w:val="bottom"/>
            <w:gridSpan w:val="8"/>
          </w:tcPr>
          <w:p>
            <w:pPr>
              <w:jc w:val="center"/>
              <w:ind w:left="449"/>
              <w:spacing w:after="0"/>
              <w:rPr>
                <w:sz w:val="20"/>
                <w:szCs w:val="20"/>
                <w:color w:val="auto"/>
              </w:rPr>
            </w:pPr>
            <w:r>
              <w:rPr>
                <w:rFonts w:ascii="Arial" w:cs="Arial" w:eastAsia="Arial" w:hAnsi="Arial"/>
                <w:sz w:val="13"/>
                <w:szCs w:val="13"/>
                <w:b w:val="1"/>
                <w:bCs w:val="1"/>
                <w:color w:val="auto"/>
                <w:w w:val="96"/>
              </w:rPr>
              <w:t>Shares Beneficially Owned After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3"/>
                <w:szCs w:val="13"/>
                <w:b w:val="1"/>
                <w:bCs w:val="1"/>
                <w:color w:val="auto"/>
                <w:w w:val="95"/>
              </w:rPr>
              <w:t>this Offering</w:t>
            </w:r>
          </w:p>
        </w:tc>
        <w:tc>
          <w:tcPr>
            <w:tcW w:w="520" w:type="dxa"/>
            <w:vAlign w:val="bottom"/>
            <w:tcBorders>
              <w:bottom w:val="single" w:sz="8" w:color="auto"/>
            </w:tcBorders>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Voting</w:t>
            </w:r>
          </w:p>
        </w:tc>
        <w:tc>
          <w:tcPr>
            <w:tcW w:w="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3"/>
                <w:szCs w:val="13"/>
                <w:b w:val="1"/>
                <w:bCs w:val="1"/>
                <w:color w:val="auto"/>
                <w:w w:val="98"/>
              </w:rPr>
              <w:t>this Offering</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100" w:type="dxa"/>
            <w:vAlign w:val="bottom"/>
            <w:gridSpan w:val="3"/>
          </w:tcPr>
          <w:p>
            <w:pPr>
              <w:ind w:left="560"/>
              <w:spacing w:after="0" w:line="135" w:lineRule="exact"/>
              <w:rPr>
                <w:sz w:val="20"/>
                <w:szCs w:val="20"/>
                <w:color w:val="auto"/>
              </w:rPr>
            </w:pPr>
            <w:r>
              <w:rPr>
                <w:rFonts w:ascii="Arial" w:cs="Arial" w:eastAsia="Arial" w:hAnsi="Arial"/>
                <w:sz w:val="13"/>
                <w:szCs w:val="13"/>
                <w:b w:val="1"/>
                <w:bCs w:val="1"/>
                <w:color w:val="auto"/>
              </w:rPr>
              <w:t>Class A</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660"/>
              <w:spacing w:after="0" w:line="135" w:lineRule="exact"/>
              <w:rPr>
                <w:sz w:val="20"/>
                <w:szCs w:val="20"/>
                <w:color w:val="auto"/>
              </w:rPr>
            </w:pPr>
            <w:r>
              <w:rPr>
                <w:rFonts w:ascii="Arial" w:cs="Arial" w:eastAsia="Arial" w:hAnsi="Arial"/>
                <w:sz w:val="13"/>
                <w:szCs w:val="13"/>
                <w:b w:val="1"/>
                <w:bCs w:val="1"/>
                <w:color w:val="auto"/>
              </w:rPr>
              <w:t>Class B</w:t>
            </w:r>
          </w:p>
        </w:tc>
        <w:tc>
          <w:tcPr>
            <w:tcW w:w="5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Power</w:t>
            </w:r>
          </w:p>
        </w:tc>
        <w:tc>
          <w:tcPr>
            <w:tcW w:w="92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3"/>
          </w:tcPr>
          <w:p>
            <w:pPr>
              <w:ind w:left="580"/>
              <w:spacing w:after="0" w:line="135" w:lineRule="exact"/>
              <w:rPr>
                <w:sz w:val="20"/>
                <w:szCs w:val="20"/>
                <w:color w:val="auto"/>
              </w:rPr>
            </w:pPr>
            <w:r>
              <w:rPr>
                <w:rFonts w:ascii="Arial" w:cs="Arial" w:eastAsia="Arial" w:hAnsi="Arial"/>
                <w:sz w:val="13"/>
                <w:szCs w:val="13"/>
                <w:b w:val="1"/>
                <w:bCs w:val="1"/>
                <w:color w:val="auto"/>
              </w:rPr>
              <w:t>Class A</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580"/>
              <w:spacing w:after="0" w:line="135" w:lineRule="exact"/>
              <w:rPr>
                <w:sz w:val="20"/>
                <w:szCs w:val="20"/>
                <w:color w:val="auto"/>
              </w:rPr>
            </w:pPr>
            <w:r>
              <w:rPr>
                <w:rFonts w:ascii="Arial" w:cs="Arial" w:eastAsia="Arial" w:hAnsi="Arial"/>
                <w:sz w:val="13"/>
                <w:szCs w:val="13"/>
                <w:b w:val="1"/>
                <w:bCs w:val="1"/>
                <w:color w:val="auto"/>
              </w:rPr>
              <w:t>Class B</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61"/>
        </w:trPr>
        <w:tc>
          <w:tcPr>
            <w:tcW w:w="158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Name of Beneficial</w:t>
            </w: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gridSpan w:val="2"/>
          </w:tcPr>
          <w:p>
            <w:pPr>
              <w:jc w:val="center"/>
              <w:spacing w:after="0" w:line="61" w:lineRule="exact"/>
              <w:rPr>
                <w:sz w:val="20"/>
                <w:szCs w:val="20"/>
                <w:color w:val="auto"/>
              </w:rPr>
            </w:pPr>
            <w:r>
              <w:rPr>
                <w:rFonts w:ascii="Arial" w:cs="Arial" w:eastAsia="Arial" w:hAnsi="Arial"/>
                <w:sz w:val="7"/>
                <w:szCs w:val="7"/>
                <w:b w:val="1"/>
                <w:bCs w:val="1"/>
                <w:color w:val="auto"/>
              </w:rPr>
              <w:t>Before</w:t>
            </w:r>
          </w:p>
        </w:tc>
        <w:tc>
          <w:tcPr>
            <w:tcW w:w="920" w:type="dxa"/>
            <w:vAlign w:val="bottom"/>
          </w:tcPr>
          <w:p>
            <w:pPr>
              <w:jc w:val="center"/>
              <w:ind w:right="31"/>
              <w:spacing w:after="0" w:line="61" w:lineRule="exact"/>
              <w:rPr>
                <w:sz w:val="20"/>
                <w:szCs w:val="20"/>
                <w:color w:val="auto"/>
              </w:rPr>
            </w:pPr>
            <w:r>
              <w:rPr>
                <w:rFonts w:ascii="Arial" w:cs="Arial" w:eastAsia="Arial" w:hAnsi="Arial"/>
                <w:sz w:val="7"/>
                <w:szCs w:val="7"/>
                <w:b w:val="1"/>
                <w:bCs w:val="1"/>
                <w:color w:val="auto"/>
              </w:rPr>
              <w:t>Shares</w:t>
            </w: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jc w:val="center"/>
              <w:spacing w:after="0" w:line="61" w:lineRule="exact"/>
              <w:rPr>
                <w:sz w:val="20"/>
                <w:szCs w:val="20"/>
                <w:color w:val="auto"/>
              </w:rPr>
            </w:pPr>
            <w:r>
              <w:rPr>
                <w:rFonts w:ascii="Arial" w:cs="Arial" w:eastAsia="Arial" w:hAnsi="Arial"/>
                <w:sz w:val="7"/>
                <w:szCs w:val="7"/>
                <w:b w:val="1"/>
                <w:bCs w:val="1"/>
                <w:color w:val="auto"/>
              </w:rPr>
              <w:t>Power</w:t>
            </w:r>
          </w:p>
        </w:tc>
        <w:tc>
          <w:tcPr>
            <w:tcW w:w="0" w:type="dxa"/>
            <w:vAlign w:val="bottom"/>
          </w:tcPr>
          <w:p>
            <w:pPr>
              <w:spacing w:after="0"/>
              <w:rPr>
                <w:sz w:val="1"/>
                <w:szCs w:val="1"/>
                <w:color w:val="auto"/>
              </w:rPr>
            </w:pPr>
          </w:p>
        </w:tc>
      </w:tr>
      <w:tr>
        <w:trPr>
          <w:trHeight w:val="122"/>
        </w:trPr>
        <w:tc>
          <w:tcPr>
            <w:tcW w:w="1580" w:type="dxa"/>
            <w:vAlign w:val="bottom"/>
            <w:vMerge w:val="continue"/>
          </w:tcPr>
          <w:p>
            <w:pPr>
              <w:spacing w:after="0"/>
              <w:rPr>
                <w:sz w:val="10"/>
                <w:szCs w:val="10"/>
                <w:color w:val="auto"/>
              </w:rPr>
            </w:pPr>
          </w:p>
        </w:tc>
        <w:tc>
          <w:tcPr>
            <w:tcW w:w="110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4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26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5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4"/>
              </w:rPr>
              <w:t>this</w:t>
            </w:r>
          </w:p>
        </w:tc>
        <w:tc>
          <w:tcPr>
            <w:tcW w:w="92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94"/>
              </w:rPr>
              <w:t>Being</w:t>
            </w:r>
          </w:p>
        </w:tc>
        <w:tc>
          <w:tcPr>
            <w:tcW w:w="112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5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5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After this</w:t>
            </w:r>
          </w:p>
        </w:tc>
        <w:tc>
          <w:tcPr>
            <w:tcW w:w="0" w:type="dxa"/>
            <w:vAlign w:val="bottom"/>
          </w:tcPr>
          <w:p>
            <w:pPr>
              <w:spacing w:after="0"/>
              <w:rPr>
                <w:sz w:val="1"/>
                <w:szCs w:val="1"/>
                <w:color w:val="auto"/>
              </w:rPr>
            </w:pPr>
          </w:p>
        </w:tc>
      </w:tr>
      <w:tr>
        <w:trPr>
          <w:trHeight w:val="172"/>
        </w:trPr>
        <w:tc>
          <w:tcPr>
            <w:tcW w:w="1580" w:type="dxa"/>
            <w:vAlign w:val="bottom"/>
          </w:tcPr>
          <w:p>
            <w:pPr>
              <w:ind w:left="600"/>
              <w:spacing w:after="0"/>
              <w:rPr>
                <w:sz w:val="20"/>
                <w:szCs w:val="20"/>
                <w:color w:val="auto"/>
              </w:rPr>
            </w:pPr>
            <w:r>
              <w:rPr>
                <w:rFonts w:ascii="Arial" w:cs="Arial" w:eastAsia="Arial" w:hAnsi="Arial"/>
                <w:sz w:val="13"/>
                <w:szCs w:val="13"/>
                <w:b w:val="1"/>
                <w:bCs w:val="1"/>
                <w:color w:val="auto"/>
              </w:rPr>
              <w:t>Owner</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920" w:type="dxa"/>
            <w:vAlign w:val="bottom"/>
          </w:tcPr>
          <w:p>
            <w:pPr>
              <w:jc w:val="center"/>
              <w:ind w:right="11"/>
              <w:spacing w:after="0"/>
              <w:rPr>
                <w:sz w:val="20"/>
                <w:szCs w:val="20"/>
                <w:color w:val="auto"/>
              </w:rPr>
            </w:pPr>
            <w:r>
              <w:rPr>
                <w:rFonts w:ascii="Arial" w:cs="Arial" w:eastAsia="Arial" w:hAnsi="Arial"/>
                <w:sz w:val="13"/>
                <w:szCs w:val="13"/>
                <w:b w:val="1"/>
                <w:bCs w:val="1"/>
                <w:color w:val="auto"/>
                <w:w w:val="95"/>
              </w:rPr>
              <w:t>Offered</w:t>
            </w: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Offering</w:t>
            </w:r>
          </w:p>
        </w:tc>
        <w:tc>
          <w:tcPr>
            <w:tcW w:w="0" w:type="dxa"/>
            <w:vAlign w:val="bottom"/>
          </w:tcPr>
          <w:p>
            <w:pPr>
              <w:spacing w:after="0"/>
              <w:rPr>
                <w:sz w:val="1"/>
                <w:szCs w:val="1"/>
                <w:color w:val="auto"/>
              </w:rPr>
            </w:pPr>
          </w:p>
        </w:tc>
      </w:tr>
      <w:tr>
        <w:trPr>
          <w:trHeight w:val="186"/>
        </w:trPr>
        <w:tc>
          <w:tcPr>
            <w:tcW w:w="1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5% Stockholders:</w:t>
            </w:r>
          </w:p>
        </w:tc>
        <w:tc>
          <w:tcPr>
            <w:tcW w:w="8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48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auto"/>
            </w:tcBorders>
            <w:shd w:val="clear" w:color="auto" w:fill="DBDBDB"/>
          </w:tcPr>
          <w:p>
            <w:pPr>
              <w:spacing w:after="0"/>
              <w:rPr>
                <w:sz w:val="16"/>
                <w:szCs w:val="16"/>
                <w:color w:val="auto"/>
              </w:rPr>
            </w:pPr>
          </w:p>
        </w:tc>
        <w:tc>
          <w:tcPr>
            <w:tcW w:w="5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5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840" w:type="dxa"/>
            <w:vAlign w:val="bottom"/>
            <w:tcBorders>
              <w:top w:val="single" w:sz="8" w:color="auto"/>
            </w:tcBorders>
            <w:shd w:val="clear" w:color="auto" w:fill="DBDBDB"/>
          </w:tcPr>
          <w:p>
            <w:pPr>
              <w:spacing w:after="0"/>
              <w:rPr>
                <w:sz w:val="16"/>
                <w:szCs w:val="16"/>
                <w:color w:val="auto"/>
              </w:rPr>
            </w:pPr>
          </w:p>
        </w:tc>
        <w:tc>
          <w:tcPr>
            <w:tcW w:w="8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5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NewView Capital Fund</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5,239,835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3"/>
                <w:szCs w:val="13"/>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5,239,835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I, L.P.(1)</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Union Square</w:t>
            </w:r>
          </w:p>
        </w:tc>
        <w:tc>
          <w:tcPr>
            <w:tcW w:w="110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3,697,944</w:t>
            </w: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14.2</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DBDBDB"/>
          </w:tcPr>
          <w:p>
            <w:pPr>
              <w:spacing w:after="0"/>
              <w:rPr>
                <w:sz w:val="11"/>
                <w:szCs w:val="11"/>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741,438</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2,956,506</w:t>
            </w: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12.0</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Ventures(2)</w:t>
            </w:r>
          </w:p>
        </w:tc>
        <w:tc>
          <w:tcPr>
            <w:tcW w:w="1100" w:type="dxa"/>
            <w:vAlign w:val="bottom"/>
            <w:gridSpan w:val="3"/>
            <w:vMerge w:val="continue"/>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3,561,523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3"/>
                <w:szCs w:val="13"/>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356,152</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3,205,371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CapitalG(3)</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KPCB Holdings, Inc.,</w:t>
            </w:r>
          </w:p>
        </w:tc>
        <w:tc>
          <w:tcPr>
            <w:tcW w:w="110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2,723,033</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136,152</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2,586,881</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as nominee(4)</w:t>
            </w:r>
          </w:p>
        </w:tc>
        <w:tc>
          <w:tcPr>
            <w:tcW w:w="1100" w:type="dxa"/>
            <w:vAlign w:val="bottom"/>
            <w:gridSpan w:val="3"/>
            <w:vMerge w:val="continue"/>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General Atlantic (DU),</w:t>
            </w:r>
          </w:p>
        </w:tc>
        <w:tc>
          <w:tcPr>
            <w:tcW w:w="110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1,849,286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9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1,849,286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Arial" w:cs="Arial" w:eastAsia="Arial" w:hAnsi="Arial"/>
                <w:sz w:val="14"/>
                <w:szCs w:val="14"/>
                <w:color w:val="auto"/>
              </w:rPr>
              <w:t>L.P.(5)</w:t>
            </w:r>
          </w:p>
        </w:tc>
        <w:tc>
          <w:tcPr>
            <w:tcW w:w="1100" w:type="dxa"/>
            <w:vAlign w:val="bottom"/>
            <w:gridSpan w:val="3"/>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DBDBDB"/>
          </w:tcPr>
          <w:p>
            <w:pPr>
              <w:ind w:left="20"/>
              <w:spacing w:after="0" w:line="149" w:lineRule="exact"/>
              <w:rPr>
                <w:sz w:val="20"/>
                <w:szCs w:val="20"/>
                <w:color w:val="auto"/>
              </w:rPr>
            </w:pPr>
            <w:r>
              <w:rPr>
                <w:rFonts w:ascii="Arial" w:cs="Arial" w:eastAsia="Arial" w:hAnsi="Arial"/>
                <w:sz w:val="14"/>
                <w:szCs w:val="14"/>
                <w:b w:val="1"/>
                <w:bCs w:val="1"/>
                <w:color w:val="auto"/>
              </w:rPr>
              <w:t>Executive Officers</w:t>
            </w: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52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b w:val="1"/>
                <w:bCs w:val="1"/>
                <w:color w:val="auto"/>
              </w:rPr>
              <w:t>and Directors:</w:t>
            </w:r>
          </w:p>
        </w:tc>
        <w:tc>
          <w:tcPr>
            <w:tcW w:w="8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Luis von Ahn(6)</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3,937,207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w:t>
            </w: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3,937,207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Severin Hacker(7)</w:t>
            </w:r>
          </w:p>
        </w:tc>
        <w:tc>
          <w:tcPr>
            <w:tcW w:w="110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3,937,207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14.9</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50,000</w:t>
            </w:r>
          </w:p>
        </w:tc>
        <w:tc>
          <w:tcPr>
            <w:tcW w:w="112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3,887,207</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15.5</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Matt Skaruppa(8)</w:t>
            </w:r>
          </w:p>
        </w:tc>
        <w:tc>
          <w:tcPr>
            <w:tcW w:w="800" w:type="dxa"/>
            <w:vAlign w:val="bottom"/>
          </w:tcPr>
          <w:p>
            <w:pPr>
              <w:jc w:val="right"/>
              <w:spacing w:after="0"/>
              <w:rPr>
                <w:sz w:val="20"/>
                <w:szCs w:val="20"/>
                <w:color w:val="auto"/>
              </w:rPr>
            </w:pPr>
            <w:r>
              <w:rPr>
                <w:rFonts w:ascii="Arial" w:cs="Arial" w:eastAsia="Arial" w:hAnsi="Arial"/>
                <w:sz w:val="14"/>
                <w:szCs w:val="14"/>
                <w:color w:val="auto"/>
              </w:rPr>
              <w:t>114,811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114,811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Amy Bohutinsky(9)</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Sara Clemens(10)</w:t>
            </w: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Bing Gordon(11)</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Gillian Munson(11)</w:t>
            </w:r>
          </w:p>
        </w:tc>
        <w:tc>
          <w:tcPr>
            <w:tcW w:w="800" w:type="dxa"/>
            <w:vAlign w:val="bottom"/>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BDBDB"/>
          </w:tcPr>
          <w:p>
            <w:pPr>
              <w:ind w:left="20"/>
              <w:spacing w:after="0"/>
              <w:rPr>
                <w:sz w:val="20"/>
                <w:szCs w:val="20"/>
                <w:color w:val="auto"/>
              </w:rPr>
            </w:pPr>
            <w:r>
              <w:rPr>
                <w:rFonts w:ascii="Arial" w:cs="Arial" w:eastAsia="Arial" w:hAnsi="Arial"/>
                <w:sz w:val="14"/>
                <w:szCs w:val="14"/>
                <w:color w:val="auto"/>
              </w:rPr>
              <w:t>Jim Shelton</w:t>
            </w:r>
          </w:p>
        </w:tc>
        <w:tc>
          <w:tcPr>
            <w:tcW w:w="110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260" w:type="dxa"/>
            <w:vAlign w:val="bottom"/>
            <w:gridSpan w:val="3"/>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140" w:type="dxa"/>
            <w:vAlign w:val="bottom"/>
            <w:gridSpan w:val="3"/>
            <w:shd w:val="clear" w:color="auto" w:fill="DBDBDB"/>
          </w:tcPr>
          <w:p>
            <w:pPr>
              <w:ind w:left="620"/>
              <w:spacing w:after="0"/>
              <w:rPr>
                <w:sz w:val="20"/>
                <w:szCs w:val="20"/>
                <w:color w:val="auto"/>
              </w:rPr>
            </w:pPr>
            <w:r>
              <w:rPr>
                <w:rFonts w:ascii="Arial" w:cs="Arial" w:eastAsia="Arial" w:hAnsi="Arial"/>
                <w:sz w:val="14"/>
                <w:szCs w:val="14"/>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color w:val="auto"/>
              </w:rPr>
              <w:t>Laela Sturdy (12)</w:t>
            </w:r>
          </w:p>
        </w:tc>
        <w:tc>
          <w:tcPr>
            <w:tcW w:w="8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All current executive</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officers and directors</w:t>
            </w:r>
          </w:p>
        </w:tc>
        <w:tc>
          <w:tcPr>
            <w:tcW w:w="8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4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2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DBDBDB"/>
          </w:tcPr>
          <w:p>
            <w:pPr>
              <w:ind w:left="180"/>
              <w:spacing w:after="0" w:line="135" w:lineRule="exact"/>
              <w:rPr>
                <w:sz w:val="20"/>
                <w:szCs w:val="20"/>
                <w:color w:val="auto"/>
              </w:rPr>
            </w:pPr>
            <w:r>
              <w:rPr>
                <w:rFonts w:ascii="Arial" w:cs="Arial" w:eastAsia="Arial" w:hAnsi="Arial"/>
                <w:sz w:val="14"/>
                <w:szCs w:val="14"/>
                <w:color w:val="auto"/>
              </w:rPr>
              <w:t>as a group (12</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734,903</w:t>
            </w: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7,874,414</w:t>
            </w: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29.2</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DBDBDB"/>
          </w:tcPr>
          <w:p>
            <w:pPr>
              <w:spacing w:after="0"/>
              <w:rPr>
                <w:sz w:val="11"/>
                <w:szCs w:val="11"/>
                <w:color w:val="auto"/>
              </w:rPr>
            </w:pPr>
          </w:p>
        </w:tc>
        <w:tc>
          <w:tcPr>
            <w:tcW w:w="920" w:type="dxa"/>
            <w:vAlign w:val="bottom"/>
            <w:shd w:val="clear" w:color="auto" w:fill="DBDBDB"/>
          </w:tcPr>
          <w:p>
            <w:pPr>
              <w:spacing w:after="0"/>
              <w:rPr>
                <w:sz w:val="11"/>
                <w:szCs w:val="11"/>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734,903</w:t>
            </w: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7,824,414</w:t>
            </w: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30.6</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persons)</w:t>
            </w:r>
          </w:p>
        </w:tc>
        <w:tc>
          <w:tcPr>
            <w:tcW w:w="8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4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Other selling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80"/>
              <w:spacing w:after="0"/>
              <w:rPr>
                <w:sz w:val="20"/>
                <w:szCs w:val="20"/>
                <w:color w:val="auto"/>
              </w:rPr>
            </w:pPr>
            <w:r>
              <w:rPr>
                <w:rFonts w:ascii="Arial" w:cs="Arial" w:eastAsia="Arial" w:hAnsi="Arial"/>
                <w:sz w:val="14"/>
                <w:szCs w:val="14"/>
                <w:b w:val="1"/>
                <w:bCs w:val="1"/>
                <w:color w:val="auto"/>
              </w:rPr>
              <w:t>stockholders: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DBDBDB"/>
          </w:tcPr>
          <w:p>
            <w:pPr>
              <w:ind w:left="20"/>
              <w:spacing w:after="0" w:line="153" w:lineRule="exact"/>
              <w:rPr>
                <w:sz w:val="20"/>
                <w:szCs w:val="20"/>
                <w:color w:val="auto"/>
              </w:rPr>
            </w:pPr>
            <w:r>
              <w:rPr>
                <w:rFonts w:ascii="Arial" w:cs="Arial" w:eastAsia="Arial" w:hAnsi="Arial"/>
                <w:sz w:val="14"/>
                <w:szCs w:val="14"/>
                <w:color w:val="auto"/>
              </w:rPr>
              <w:t>Entities affiliated with</w:t>
            </w: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1,223,708</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4.7</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ind w:right="51"/>
              <w:spacing w:after="0"/>
              <w:rPr>
                <w:sz w:val="20"/>
                <w:szCs w:val="20"/>
                <w:color w:val="auto"/>
              </w:rPr>
            </w:pPr>
            <w:r>
              <w:rPr>
                <w:rFonts w:ascii="Arial" w:cs="Arial" w:eastAsia="Arial" w:hAnsi="Arial"/>
                <w:sz w:val="14"/>
                <w:szCs w:val="14"/>
                <w:color w:val="auto"/>
              </w:rPr>
              <w:t>122,371</w:t>
            </w:r>
          </w:p>
        </w:tc>
        <w:tc>
          <w:tcPr>
            <w:tcW w:w="1120" w:type="dxa"/>
            <w:vAlign w:val="bottom"/>
            <w:gridSpan w:val="3"/>
            <w:vMerge w:val="restart"/>
            <w:shd w:val="clear" w:color="auto" w:fill="DBDBDB"/>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1,101,337</w:t>
            </w: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9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15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Drive Capital(13)</w:t>
            </w: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vMerge w:val="continue"/>
            <w:shd w:val="clear" w:color="auto" w:fill="DBDBDB"/>
          </w:tcPr>
          <w:p>
            <w:pPr>
              <w:spacing w:after="0"/>
              <w:rPr>
                <w:sz w:val="14"/>
                <w:szCs w:val="14"/>
                <w:color w:val="auto"/>
              </w:rPr>
            </w:pPr>
          </w:p>
        </w:tc>
        <w:tc>
          <w:tcPr>
            <w:tcW w:w="1120" w:type="dxa"/>
            <w:vAlign w:val="bottom"/>
            <w:gridSpan w:val="3"/>
            <w:vMerge w:val="continue"/>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920" w:type="dxa"/>
            <w:vAlign w:val="bottom"/>
            <w:gridSpan w:val="2"/>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163" w:lineRule="exact"/>
        <w:rPr>
          <w:sz w:val="20"/>
          <w:szCs w:val="20"/>
          <w:color w:val="auto"/>
        </w:rPr>
      </w:pPr>
    </w:p>
    <w:p>
      <w:pPr>
        <w:ind w:left="340" w:right="80" w:hanging="332"/>
        <w:spacing w:after="0" w:line="245" w:lineRule="auto"/>
        <w:tabs>
          <w:tab w:leader="none" w:pos="327"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4,916,730 shares of our Class B common stock issuable upon conversion of our Series B preferred stock, 147,894 shares of our Class B common stock issuable upon conversion of our Series C preferred stock and 175,211 shares of our Class B common stock issuable upon conversion of our Series D preferred stock held directly by NewView Capital Fund I, L.P. (NewView Fund I). NewView Capital Partners I, LLC is the general partner of NewView Fund I. Ravi Viswanathan is the managing member of NewView Capital Partners I, LLC and therefore may be deemed to hold voting and dispositive power over the shares held by NewView Fund I. The business address of each of the persons and entities identified in this footnote is c/o NewView Capital, 1201 Howard Avenue, Suite 101, Burlingame, CA 94010.</w:t>
      </w:r>
    </w:p>
    <w:p>
      <w:pPr>
        <w:spacing w:after="0" w:line="150" w:lineRule="exact"/>
        <w:rPr>
          <w:rFonts w:ascii="Arial" w:cs="Arial" w:eastAsia="Arial" w:hAnsi="Arial"/>
          <w:sz w:val="14"/>
          <w:szCs w:val="14"/>
          <w:color w:val="auto"/>
        </w:rPr>
      </w:pPr>
    </w:p>
    <w:p>
      <w:pPr>
        <w:ind w:left="340" w:right="300" w:hanging="332"/>
        <w:spacing w:after="0" w:line="249" w:lineRule="auto"/>
        <w:tabs>
          <w:tab w:leader="none" w:pos="327"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2,394,100 shares of our Class B common stock issuable upon conversion of our Series A preferred stock and 1,166,113 shares of our Class B common stock issuable upon conversion of our Series B preferred stock held directly by Union Square Ventures 2012 Fund, L.P. (USV 2012 Fund), and (ii) 92,618 shares of our Class B common stock issuable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 w:right="339" w:bottom="1440" w:gutter="0" w:footer="0" w:header="0"/>
        </w:sectPr>
      </w:pPr>
    </w:p>
    <w:bookmarkStart w:id="182" w:name="page183"/>
    <w:bookmarkEnd w:id="18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60"/>
        <w:spacing w:after="0" w:line="244" w:lineRule="auto"/>
        <w:rPr>
          <w:sz w:val="20"/>
          <w:szCs w:val="20"/>
          <w:color w:val="auto"/>
        </w:rPr>
      </w:pPr>
      <w:r>
        <w:rPr>
          <w:rFonts w:ascii="Arial" w:cs="Arial" w:eastAsia="Arial" w:hAnsi="Arial"/>
          <w:sz w:val="14"/>
          <w:szCs w:val="14"/>
          <w:color w:val="auto"/>
        </w:rPr>
        <w:t>conversion of our Series A preferred stock and 45,113 shares of our Class B common stock issuable upon conversion of our Series B preferred stock held directly by USV Investors 2012 Fund, L.P. (USV Investors 2012 Fund). Union Square 2012 GP, L.L.C. (Union Square 2012) is the general partner of USV 2012 Fund and USV Investors 2012 Fund, and has sole voting and investment power with regard to the shares held by USV 2012 Fund and USV Investors 2012 Fund. We refer to Union Square 2012 and affiliated entities as Union Square Ventures. Fred Wilson, Brad Burnham, Albert Wenger, John Buttrick, and Andy Weissman are partners at Union Square Ventures and, therefore, may be deemed to have shared voting and investment power with regard to the shares held directly by Union Square Ventures. The address for each of these entities is 920 Broadway, 2nd Floor New York, NY 10010.</w:t>
      </w:r>
    </w:p>
    <w:p>
      <w:pPr>
        <w:spacing w:after="0" w:line="152" w:lineRule="exact"/>
        <w:rPr>
          <w:sz w:val="20"/>
          <w:szCs w:val="20"/>
          <w:color w:val="auto"/>
        </w:rPr>
      </w:pPr>
    </w:p>
    <w:p>
      <w:pPr>
        <w:ind w:left="340" w:right="60" w:hanging="332"/>
        <w:spacing w:after="0" w:line="243" w:lineRule="auto"/>
        <w:tabs>
          <w:tab w:leader="none" w:pos="3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1,690,436 shares of our Class B common stock issuable upon conversion of our Series D preferred stock held directly by CapitalG 2014 LP, (ii) 1,112,941 shares of our Class B common stock issuable upon conversion of our Series D preferred stock held directly by CapitalG 2015 LP, and (iii) 758,146 shares of our Class B common stock issuable upon conversion of our Series F preferred stock held directly by CapitalG II LP. CapitalG 2014 GP LLC, the general partner of CapitalG 2014 LP, Alphabet Holdings LLC, the managing member of CapitalG 2014 GP LLC, XXVI Holdings Inc., the managing member of Alphabet Holdings LLC, and Alphabet Inc., the controlling stockholder of XXVI Holdings Inc., may each be deemed to have sole voting and dispositive power with respect to the shares held directly by CapitalG 2014 LP. CapitalG 2015 GP LLC, the general partner of CapitalG 2015 LP, Alphabet Holdings LLC, the managing member of CapitalG 2015 GP LLC, XXVI Holdings Inc., the managing member of Alphabet Holdings LLC, and Alphabet Inc., the controlling stockholder of XXVI Holdings Inc., may each be deemed to have sole voting and dispositive power with respect to the shares held directly by CapitalG 2015 LP. CapitalG II GP LLC, the general partner of CapitalG II LP, Alphabet Holdings LLC, the managing member of CapitalG II GP LLC, XXVI Holdings Inc., the managing member of Alphabet Holdings LLC, and Alphabet Inc., the controlling stockholder of XXVI Holdings Inc., may each be deemed to have sole voting and dispositive power with respect to the shares held directly by CapitalG II LP. Each of CapitalG 2014 GP LLC, CapitalG 2015 GP LLC, CapitalG II GP LLC, Alphabet Holdings LLC, XXVI Holdings Inc., and Alphabet Inc. disclaims beneficial ownership of these shares, except to the extent of any pecuniary interest therein. The principal business address for these entities is 1600 Amphitheatre Parkway, Mountain View, California, 94043.</w:t>
      </w:r>
    </w:p>
    <w:p>
      <w:pPr>
        <w:spacing w:after="0" w:line="149" w:lineRule="exact"/>
        <w:rPr>
          <w:rFonts w:ascii="Arial" w:cs="Arial" w:eastAsia="Arial" w:hAnsi="Arial"/>
          <w:sz w:val="14"/>
          <w:szCs w:val="14"/>
          <w:color w:val="auto"/>
        </w:rPr>
      </w:pPr>
    </w:p>
    <w:p>
      <w:pPr>
        <w:ind w:left="340" w:hanging="332"/>
        <w:spacing w:after="0" w:line="243" w:lineRule="auto"/>
        <w:tabs>
          <w:tab w:leader="none" w:pos="3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2,500,670 shares of our Class B common stock issuable upon the conversion of our Series C preferred stock held by KPCB Digital Growth Fund, LLC (KPCB DGF) and 152,279 shares of our Class B common stock issuable upon the conversion of our Series C preferred stock held by KPCB Digital Growth Founders Fund, LLC (KPCB DGF FF), and (ii) 66,061 shares of our Class B common stock issuable upon the conversion of our Series D preferred stock held by KPCB DGF and 4,023 shares of our Class B common stock issuable upon the conversion of our Series D preferred stock held by KPCB DGF FF. All shares are held for convenience in the name of “KPCB Holdings, Inc., as nominee”for the accounts of such entities. The managing member of KPCB DGF and KPCB DGF FF is KPCB DGF Associates, LLC (KPCB DGF Associates). L. John Doerr, Brook Byers, Mary Meeker, William “Bing” Gordon, a member of our board of directors, and Theodore E. Schlein, the managing members of KPCB DGF Associates, exercise shared voting and dispositive control over the shares held by KPCB DGF and KPCB DGF FF. Such managing members disclaim beneficial ownership of all shares held by KPCB DGF and KPCB DGF FF except to the extent of their pecuniary interest therein. The principal business address for all entities and individuals affiliated with Kleiner Perkins Caufield &amp; Byers is c/o Kleiner Perkins Caufield &amp; Byers, LLC, 2750 Sand Hill Road, Menlo Park, CA 94025.</w:t>
      </w:r>
    </w:p>
    <w:p>
      <w:pPr>
        <w:spacing w:after="0" w:line="152" w:lineRule="exact"/>
        <w:rPr>
          <w:rFonts w:ascii="Arial" w:cs="Arial" w:eastAsia="Arial" w:hAnsi="Arial"/>
          <w:sz w:val="14"/>
          <w:szCs w:val="14"/>
          <w:color w:val="auto"/>
        </w:rPr>
      </w:pPr>
    </w:p>
    <w:p>
      <w:pPr>
        <w:ind w:left="340" w:hanging="332"/>
        <w:spacing w:after="0" w:line="242" w:lineRule="auto"/>
        <w:tabs>
          <w:tab w:leader="none" w:pos="3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1,026,986 shares of our Class B common stock issuable upon conversion of our Series A preferred stock, 94,798 shares of our Class B common stock issuable upon conversion of our Series B preferred stock, 88,126 shares of our Class B common stock issuable upon conversion of our Series C preferred stock, 63,076 shares of our Class B common stock issuable upon conversion of our Series D preferred stock, 241,658 shares of our Class B common stock issuable upon conversion of our Series G preferred stock and 334,642 shares of our Class B common stock issuable upon conversion of our Series H preferred stock held directly by General Atlantic (DU), L.P. The limited partners that share beneficial ownership of the shares held by General Atlantic (DU), L.P. (GA DU) are the following General Atlantic investment funds (the GA Funds): General Atlantic Partners 100, L.P. (GAP 100), General Atlantic Partners (Bermuda) EU, L.P. (GAP Bermuda EU), General Atlantic Partners (Lux) SCSp (GAP Lux), GAP Coinvestments III, LLC (GAPCO III), GAP Coinvestments IV, LLC (GAPCO IV), GAP Coinvestments V, LLC (GAPCO V) and GAP Coinvestments CDA, L.P. (GAPCO CDA). The general partner of GA DU is General Atlantic (SPV) GP, LLC (GA SPV). The general partner of GAP Lux is General Atlantic GenPar (Lux) SCSp (GA GenPar Lux) and the general partner of GA GenPar Lux is General Atlantic (Lux) S.à r.l. (GA Lux). The general partner of GAP Bermuda EU and the sole shareholder of GA Lux is General Atlantic GenPar (Bermuda), L.P. (GenPar Bermuda). GAP (Bermuda) Limited (GAP (Bermuda) Limited) is the general partner of GenPar Bermuda. The general partner of GAP 100 is General Atlantic GenPar, L.P. (GA GenPar) and the general partner of GA GenPar is General Atlantic LLC (GA LLC). GA LLC is the managing member of GAPCO III, GAPCO IV and GAPCO V, the general partner of GAPCO CDA and is the sole member of GA SPV. There are nine members of the management committee of GA LLC (the GA Management Committee). The GA Management Committee includes William E. Ford, Gabriel Caillaux, Andrew Crawford, Martín Escobari, Anton Levy, Sandeep Naik, E. Graves Tompkins, N. Robbert Vorhoff and Chi Eric Zhang. The members of the GA Management Committee are also the members of the management committee of GAP (Bermuda) Limited. GA DU, GA SPV, GA GenPar Lux, GA Lux, GenPar Bermuda, GAP (Bermuda) Limited, GA GenPar, GA LLC and the GA Funds (collectively, the GA Group) are a “group” within the meaning of Rule 13d-5 of the Securities Exchange Act of 1934, as amended. The mailing address of the foregoing General Atlantic entities (other than GAP Bermuda EU, GenPar Bermuda, GAP (Bermuda) Limited, GAP Lux, GA GenPar Lux and GA Lux) is c/o General Atlantic Service Company, L.P., 55 East 52nd Street, 33rd Floor, New York, NY 10055. The mailing address of GAP Bermuda EU, GenPar Bermuda, and GAP (Bermuda) Limited is Clarendon House, 2 Church Street, Hamilton HM 11, Bermuda. The mailing address of GAP Lux, GA GenPar Lux and GA Lux is Luxembourg is 412F, Route d’Esch, L-2086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4" w:right="359" w:bottom="1440" w:gutter="0" w:footer="0" w:header="0"/>
        </w:sectPr>
      </w:pPr>
    </w:p>
    <w:bookmarkStart w:id="183" w:name="page184"/>
    <w:bookmarkEnd w:id="18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Luxembourg. Each of the members of the GA Management Committee disclaims ownership of the shares except to the extent that he has a pecuniary interest therein.</w:t>
      </w:r>
    </w:p>
    <w:p>
      <w:pPr>
        <w:spacing w:after="0" w:line="163" w:lineRule="exact"/>
        <w:rPr>
          <w:sz w:val="20"/>
          <w:szCs w:val="20"/>
          <w:color w:val="auto"/>
        </w:rPr>
      </w:pPr>
    </w:p>
    <w:p>
      <w:pPr>
        <w:ind w:left="340" w:right="220" w:hanging="332"/>
        <w:spacing w:after="0" w:line="249" w:lineRule="auto"/>
        <w:tabs>
          <w:tab w:leader="none" w:pos="32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3,457,417 shares of our Class B common stock held directly by Dr. von Ahn, and (ii) 479,790 shares of our Class B common stock that may be acquired pursuant to the exercise of stock options within 60 days of June 30, 2021, including as a result of accelerated vesting in connection with this offering as described in the section titled “Executive Compensation-—Narrative to Summary Compensation Table-—Equity-Based Compensation.”.</w:t>
      </w:r>
    </w:p>
    <w:p>
      <w:pPr>
        <w:spacing w:after="0" w:line="146" w:lineRule="exact"/>
        <w:rPr>
          <w:rFonts w:ascii="Arial" w:cs="Arial" w:eastAsia="Arial" w:hAnsi="Arial"/>
          <w:sz w:val="14"/>
          <w:szCs w:val="14"/>
          <w:color w:val="auto"/>
        </w:rPr>
      </w:pPr>
    </w:p>
    <w:p>
      <w:pPr>
        <w:ind w:left="340" w:right="220" w:hanging="332"/>
        <w:spacing w:after="0" w:line="247" w:lineRule="auto"/>
        <w:tabs>
          <w:tab w:leader="none" w:pos="327"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3,457,417 shares of our Class B common stock held directly by a family trust of which Dr. Hacker is a trustee, (ii) 15,500 shares of our Class B common stock held directly by Dr. Hacker, and (iii) 464,290 shares of our Class B common stock that may be acquired pursuant to the exercise of stock options within 60 days of June 30, 2021, including as a result of accelerated vesting in connection with this offering as described in the section titled “Executive Compensation–Narrative to Summary Compensation Table—Equity-Based Compensation.”</w:t>
      </w:r>
    </w:p>
    <w:p>
      <w:pPr>
        <w:spacing w:after="0" w:line="147"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114,811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held directly by Ms. Clemens.</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12,500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10,000 shares of our Class A common stock that may be acquired pursuant to the exercise of stock options within 60 days of June 30, 2021.</w:t>
      </w:r>
    </w:p>
    <w:p>
      <w:pPr>
        <w:spacing w:after="0" w:line="163" w:lineRule="exact"/>
        <w:rPr>
          <w:rFonts w:ascii="Arial" w:cs="Arial" w:eastAsia="Arial" w:hAnsi="Arial"/>
          <w:sz w:val="14"/>
          <w:szCs w:val="14"/>
          <w:color w:val="auto"/>
        </w:rPr>
      </w:pPr>
    </w:p>
    <w:p>
      <w:pPr>
        <w:ind w:left="340" w:hanging="332"/>
        <w:spacing w:after="0" w:line="244" w:lineRule="auto"/>
        <w:tabs>
          <w:tab w:leader="none" w:pos="339"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(i) 646.636 shares of our Class B common stock issuable upon conversion of our Series E preferred stock held by Drive Capital Fund II, L.P., or DC Fund II, (ii) 557,399 shares of our Class B common stock issuable upon conversion of our Series E preferred stock held by Drive Capital Fund II (TE), L.P., or DC Fund II (TE), and (iii) 19,946 shares of our Class B common stock issuable upon conversion of our Series E preferred stock held by Drive Capital Ignition Fund II, L.P., or DC Ignition Fund II, or collectively, Fund II. Drive Capital Fund II (GP), LLC, or GP II LLC, serves as the general partner of Fund II. An investment committee of GP II LLC comprised of Christopher Olsen and Mark D. Kvamme controls all voting and investment decisions with respect to Fund II, including with respect to the shares held by Fund II. Christopher Olsen and Mark D. Kvamme control other voting matters related to GP II LLC through control of its manager, Drive Capital, LLC. The address of each of these entities is 629 N. High St 6th Fl, Columbus, Ohio 43215.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320" w:top="144" w:right="379" w:bottom="1440" w:gutter="0" w:footer="0" w:header="0"/>
        </w:sectPr>
      </w:pPr>
    </w:p>
    <w:bookmarkStart w:id="184" w:name="page185"/>
    <w:bookmarkEnd w:id="18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our authorized capital stock will consist of:</w:t>
      </w:r>
    </w:p>
    <w:p>
      <w:pPr>
        <w:spacing w:after="0" w:line="130"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2,000,000,000 shares of Class A common stock, $0.0001 par value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30,000,000 shares of Class B common stock, $0.0001 par value per share;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20,000,000 shares of preferred stock, $0.0001 par value per share.</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Prior to the completion of this offering, we intend to (i) reclassify all outstanding shares of our common stock into an equal number of shares of our Class A common stock and all shares of common stock underlying outstanding equity awards under our 2011 Plan, other than those held by Luis von Ahn and Severin Hacker (our Founders), into shares of Class A common stock, (ii) amend the terms of our outstanding convertible preferred stock to provide that such shares are initially convertible into shares of Class B common stock, and (iii) amend the terms of outstanding equity awards held by our Founders to provide that such awards are exercisable for or settle into shares of Class B common stock. In addition, pursuant to an exchange agreement to be entered into with our Founders, our Founders will exchange all shares of Class A common stock held by them into an aggregate of 6,930,334 shares of Class B common stock (collectively, the Transactions).</w:t>
      </w:r>
    </w:p>
    <w:p>
      <w:pPr>
        <w:spacing w:after="0" w:line="15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After giving effect to the Transactions, as if such Transactions had occurred on March 31, 2021, there were 6,187,542 shares of Class A common stock and 26,004,610 shares of Class B common stock outstanding, held of record by 442 stockholders, and no shares of our convertible preferred stock outstanding. Our board of directors is authorized, without stockholder approval except as required by the Listing Rules of Nasdaq, to issue additional shares of 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Class B Common Stock</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two classes of authorized common stock: Class A and Class B common stock. All outstanding shares of our convertible preferred stock will be converted into shares of our Class B common stock immediately prior to the completion of this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our Class A common stock is entitled to one vote per share, and each holder of our Class B common stock is entitled</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 20 votes per share, on all matters submitted to a vote of the stockholders. The holders of our Class A and Class B common stock will generally vote together as a single class on all matters submitted to a vote of our stockholders, unless otherwise required by Delaware law or our amended and restated certificate of incorporation. Delaware law could require either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144" w:right="379" w:bottom="1440" w:gutter="0" w:footer="0" w:header="0"/>
        </w:sectPr>
      </w:pPr>
    </w:p>
    <w:bookmarkStart w:id="185" w:name="page186"/>
    <w:bookmarkEnd w:id="18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or Class B common stock to vote separately as a single class in the following circumstances:</w:t>
      </w:r>
    </w:p>
    <w:p>
      <w:pPr>
        <w:spacing w:after="0" w:line="171" w:lineRule="exact"/>
        <w:rPr>
          <w:sz w:val="20"/>
          <w:szCs w:val="20"/>
          <w:color w:val="auto"/>
        </w:rPr>
      </w:pPr>
    </w:p>
    <w:p>
      <w:pPr>
        <w:ind w:left="660" w:right="2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61" w:lineRule="exact"/>
        <w:rPr>
          <w:sz w:val="20"/>
          <w:szCs w:val="20"/>
          <w:color w:val="auto"/>
        </w:rPr>
      </w:pPr>
    </w:p>
    <w:p>
      <w:pPr>
        <w:ind w:right="1800"/>
        <w:spacing w:after="0" w:line="446" w:lineRule="auto"/>
        <w:rPr>
          <w:sz w:val="20"/>
          <w:szCs w:val="20"/>
          <w:color w:val="auto"/>
        </w:rPr>
      </w:pPr>
      <w:r>
        <w:rPr>
          <w:rFonts w:ascii="Arial" w:cs="Arial" w:eastAsia="Arial" w:hAnsi="Arial"/>
          <w:sz w:val="18"/>
          <w:szCs w:val="18"/>
          <w:color w:val="auto"/>
        </w:rPr>
        <w:t xml:space="preserve">Our amended and restated certificate of incorporation will not provide for cumulative voting for the election of directors. </w:t>
      </w:r>
      <w:r>
        <w:rPr>
          <w:rFonts w:ascii="Arial" w:cs="Arial" w:eastAsia="Arial" w:hAnsi="Arial"/>
          <w:sz w:val="18"/>
          <w:szCs w:val="18"/>
          <w:b w:val="1"/>
          <w:bCs w:val="1"/>
          <w:i w:val="1"/>
          <w:iCs w:val="1"/>
          <w:color w:val="auto"/>
        </w:rPr>
        <w:t>Dividend Rights</w:t>
      </w:r>
    </w:p>
    <w:p>
      <w:pPr>
        <w:ind w:right="20"/>
        <w:spacing w:after="0" w:line="277" w:lineRule="auto"/>
        <w:rPr>
          <w:sz w:val="20"/>
          <w:szCs w:val="20"/>
          <w:color w:val="auto"/>
        </w:rPr>
      </w:pPr>
      <w:r>
        <w:rPr>
          <w:rFonts w:ascii="Arial" w:cs="Arial" w:eastAsia="Arial" w:hAnsi="Arial"/>
          <w:sz w:val="18"/>
          <w:szCs w:val="18"/>
          <w:color w:val="auto"/>
        </w:rPr>
        <w:t>The holders of our Class A and Class B common stock are entitled to receive dividends as may be declared from time to time by our board of directors out of legally available funds. See the section titled “Dividend Policy”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completion of this offering, except for certain permitted transfers further described in our amended and restated certificate of incorporation, including estate planning or charitable transfers where exclusive voting control with respect to the shares of Class B common stock is retained by the transferring holder, transfers from one Founder to the other Founder, and transfers to affiliates or certain other related entities of the transferring holder.</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outstanding shares of our Class B common stock will convert automatically into shares of our Class A common stock at 5:00 p.m. New York City time on a date fixed by our board of directors that is not less than 60 days nor more than 180 days following the date the aggregate number of shares of our Class B common stock then outstanding ceases to represent at least 5% of the aggregate number of all shares of our common stock then outstanding. In addition, each share of Class B common stock held by our Founders (or any of such Founders’ permitted transferees, other than the other Founder) will automatically convert into one share of Class A common stock at 5:00 p.m. New York City time on a date fixed by our board of directors that is not less than 60 nor more than 180 days following the death or disability of such Founder.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Once converted into Class A common stock, the Class B common stock may not be reissued.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event of our liquidation, dissolution, or winding up, holders of our Class A and Class B common stock will be entitled to share ratably in the net assets legally available for distribution to stockholders after the payment of all of our debts and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 w:right="359" w:bottom="1440" w:gutter="0" w:footer="0" w:header="0"/>
        </w:sectPr>
      </w:pPr>
    </w:p>
    <w:bookmarkStart w:id="186" w:name="page187"/>
    <w:bookmarkEnd w:id="18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our Class A and Class B common stock have no preemptive, conversion (except as noted above), or subscription rights, and there are no redemption or sinking fund provisions applicable to our Class A common stock or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our Class A and Class B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Immediately prior to the completion of this offering, all of our currently outstanding shares of redeemable convertible preferred stock will convert into Class B common stock, and we will not have any shares of redeemable convertible preferred stock outstanding, whereupon our restated certificate of incorporation will be amended and restated to delete all references to such shares of redeemable convertible preferred stock. From and after the completion of this offering, our board of directors will have the authority, without further action by our stockholders, to issue up to 20,000,000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 Amendment</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our board of directors amended our 2011 Plan to provide for outstanding equity awards granted thereunder to be exercisable for or settle in shares of Class A common stock, or, if provided by the administrator, shares of Class B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2021, and after giving effect to the Transactions, we had outstanding options to purchase an aggregate of 6,736,002 shares of our Class A common stock, with a weighted-average exercise price of $9.64 per share, and 1,034,500 shares of our Class B common stock, with a weighted-average exercise price of $20.17 per share, in each case pursuant to our 2011 Plan. After March 31, 2021, we issued options to purchase an addition 71,700 shares of our Class A common stock pursuant to our 2011 Plan, at an exercise price of $52.80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7" w:lineRule="exact"/>
        <w:rPr>
          <w:sz w:val="20"/>
          <w:szCs w:val="20"/>
          <w:color w:val="auto"/>
        </w:rPr>
      </w:pPr>
    </w:p>
    <w:p>
      <w:pPr>
        <w:jc w:val="both"/>
        <w:ind w:right="900"/>
        <w:spacing w:after="0" w:line="271" w:lineRule="auto"/>
        <w:rPr>
          <w:sz w:val="20"/>
          <w:szCs w:val="20"/>
          <w:color w:val="auto"/>
        </w:rPr>
      </w:pPr>
      <w:r>
        <w:rPr>
          <w:rFonts w:ascii="Arial" w:cs="Arial" w:eastAsia="Arial" w:hAnsi="Arial"/>
          <w:sz w:val="18"/>
          <w:szCs w:val="18"/>
          <w:color w:val="auto"/>
        </w:rPr>
        <w:t>As of March 31, 2021, and after giving effect to the Transactions, we had outstanding RSUs representing the right to receive upon vesting 41,917 shares of our Class A common stock. After March 31, 2021, we issued additional RSUs pursuant to our 2011 Plan representing the right to receive upon vesting 552,788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44" w:right="359" w:bottom="1440" w:gutter="0" w:footer="0" w:header="0"/>
        </w:sectPr>
      </w:pPr>
    </w:p>
    <w:bookmarkStart w:id="187" w:name="page188"/>
    <w:bookmarkEnd w:id="18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Upon the completion of this offering, certain holders of our Class B common stock and Class A common stock will be entitled to rights with respect to the registration of their shares under the Securities Act. These registration rights are contained in the Investors’ Rights Agreement. We and certain holders of our Class A common stock and convertible preferred stock are parties to the Investors’ Rights Agreement. The registration rights set forth in the Investors’ Rights Agreement terminate upon the earlier to occur of (1) three years following the completion of this offering, and (2) with respect to any particular stockholder, such earlier time after the completion of this offering, at which (x) such stockholder can sell all of its Registrable Securities, as defined in the Investors’ Rights Agreement, in compliance with Rule 144(b)(1), or (y) such stockholder holds 1% or less of our outstanding common stock and such stockholder is able to sell all of its Registrable Securities, without restriction pursuant to Rule 144 during any three-month period. We will pay the registration expenses (other than any underwriting discounts and selling commissions) of the holders of the shares registered for sale pursuant to the registrations described below, including the reasonable fees of one counsel for the selling holders not to exceed $25,000. However, we will not be required to bear the expenses in connection with the exercise of the demand registration rights of a registration if the request is subsequently withdrawn at the request of the selling stockholders holding a majority of securities to be registered, subject to specified exceptions. In an underwritten public offering, the underwriters have the right, subject to specified conditions, to limit the number of shares such holders may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Upon the completion of this offering, the holders of up to approximately 19,074,276 shares of our Class B common stock will be entitled to certain demand registration rights. At any time beginning six months after the completion of this offering, the holders of at least 55% of these shares then outstanding can request that we register the offer and sale of their shares on a registration statement on Form S-1 if we are eligible to file a registration statement on Form S-1 so long as the request covers at least that number of shares with an anticipated offering price, net of underwriting discounts and commissions, of at least $15.0 million. We are obligated to effect only two such registrations. If we determine that it would materially impede, delay or interfere with any material pending or proposed transaction or require disclosure of material non-public information that that, if disclosed, would be materially harmful to the company and its stockholders, we have the right to defer such registration, not more than once in any 12-month period, for a period of up to 90 days.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Upon the completion of this offering, the holders of up to approximately 19,074,276 shares of our Class B common stock will be entitled to certain Form S-3 registration rights. The holders of Registrable Securities may make a written request that we register the offer and sale of their shares on a registration statement on Form S-3 if we are eligible to file a registration statement on Form S-3 so long as the request covers at least that number of shares with an anticipated offering price (net of underwriting discounts and commissions) of at least</w:t>
      </w:r>
    </w:p>
    <w:p>
      <w:pPr>
        <w:ind w:right="20"/>
        <w:spacing w:after="0" w:line="268" w:lineRule="auto"/>
        <w:rPr>
          <w:sz w:val="20"/>
          <w:szCs w:val="20"/>
          <w:color w:val="auto"/>
        </w:rPr>
      </w:pPr>
      <w:r>
        <w:rPr>
          <w:rFonts w:ascii="Arial" w:cs="Arial" w:eastAsia="Arial" w:hAnsi="Arial"/>
          <w:sz w:val="18"/>
          <w:szCs w:val="18"/>
          <w:color w:val="auto"/>
        </w:rPr>
        <w:t>$5.0 million. These stockholders may make an unlimited number of requests for registration on Form S-3; however, we will not be required to effect a registration on Form S-3 if we have effected two such registrations within the 12-month period preceding the date of the request. In addition, if we determine that it would be materially detrimental to us and our stockholders to effect such a registration, we have the right to defer such registration, not more than once in any 12-month period, for a period of up to 90 days. Lastly, we will not be required to effect a demand registration on Form S-3 if we give notice to such stockholders of our bona fide intention to file a registration statement within 120 days of receipt of a request for registration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320" w:top="144" w:right="379" w:bottom="1440" w:gutter="0" w:footer="0" w:header="0"/>
        </w:sectPr>
      </w:pPr>
    </w:p>
    <w:bookmarkStart w:id="188" w:name="page189"/>
    <w:bookmarkEnd w:id="18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If we propose to register the offer and sale of our common stock under the Securities Act, in connection with the public offering of such common stock, the holders of up to approximately 19,074,276 shares of our Class B common stock will be entitled to certain “piggyback” registration rights allowing the holders to include their shares in such registration, subject to certain marketing and other limitations, which, in the case of an underwritten offering, will be in the sole discretion of the underwriters. As a result, whenever we propose to file a registration statement under the Securities Act, other than with respect to (1) a demand registration described above, (2) a registration related solely to a company stock plan, (3) a registration relating to a corporate reorganization or transaction under Rule 145 of the Securities Act, (4) a registration on any form that does not include substantially the same information as would be required to be included in a registration statement covering the public offering of our common stock, or (5)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each of which will become effective immediately prior to the completion of this offering, contain provisions that could make the following actions and transactions, among others,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 w:right="339" w:bottom="1440" w:gutter="0" w:footer="0" w:header="0"/>
        </w:sectPr>
      </w:pPr>
    </w:p>
    <w:bookmarkStart w:id="189" w:name="page190"/>
    <w:bookmarkEnd w:id="18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Dual Class Stock</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As described above in the subsection titled “—Class A and Class B Common Stock—Voting Rights,” our amended and restated certificate of incorporation will continue to provide for a dual class common stock structure, which will provide our Founders and current investors with significant influence over all matters requiring stockholder approval, including the election of directors and significant corporate transactions, such as a merger or other sale of our company or its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0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0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only be called by an officer of our company pursuant to a resolution adopted by a majority of our board of directors then in office or the chairperson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will provide that from and after the date holders of our Class B common stock hold less than 50% of the voting power of our capital stock, no action may be taken by our stockholders by written consent.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Proposals and Nominations</w:t>
      </w:r>
    </w:p>
    <w:p>
      <w:pPr>
        <w:spacing w:after="0" w:line="2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Effective upon the completion of this offering, our board of directors will be divided into three classes, divided as nearly as equal in number as possible.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the then outstanding capital stock will be able to elect all of our directors. Our amended and certificate of incorporation will provide for the removal of any of our directors only for cause and require a stockholder vote by the holders of a majority of the voting power of the then outstanding capital stock. For more information on the classified board, see the section titled “Management—Classified Board of Directors.”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144" w:right="359" w:bottom="1440" w:gutter="0" w:footer="0" w:header="0"/>
        </w:sectPr>
      </w:pPr>
    </w:p>
    <w:bookmarkStart w:id="190" w:name="page191"/>
    <w:bookmarkEnd w:id="19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filling vacancies may discourage a third party from making a tender offer or otherwise attempting to obtain control of us because it generally makes it more difficult for stockholders to replace a majority of the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Forum Selection</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will contain the choice of forum provision described above, it is possible that a court could find that such a provision is inapplicable for a particular claim or action or that such provision is unenforceable.</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0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 least 66 2/3% of the voting power of all of the then outstanding capital stock entitled to vote generally in the election of directors, voting together as a single class. In addition, the affirmative vote of holders of at least 80% of the shares of Class B common stock outstanding at the time of such vote, voting as a separate series, is required to amend or repeal, or adopt any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 w:right="339" w:bottom="1440" w:gutter="0" w:footer="0" w:header="0"/>
        </w:sectPr>
      </w:pPr>
    </w:p>
    <w:bookmarkStart w:id="191" w:name="page192"/>
    <w:bookmarkEnd w:id="19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100"/>
        <w:spacing w:after="0" w:line="446" w:lineRule="auto"/>
        <w:rPr>
          <w:sz w:val="20"/>
          <w:szCs w:val="20"/>
          <w:color w:val="auto"/>
        </w:rPr>
      </w:pPr>
      <w:r>
        <w:rPr>
          <w:rFonts w:ascii="Arial" w:cs="Arial" w:eastAsia="Arial" w:hAnsi="Arial"/>
          <w:sz w:val="18"/>
          <w:szCs w:val="18"/>
          <w:color w:val="auto"/>
        </w:rPr>
        <w:t xml:space="preserve">our amended and restated certificate of incorporation relating to the rights and preferences of our common stock. </w:t>
      </w:r>
      <w:r>
        <w:rPr>
          <w:rFonts w:ascii="Arial" w:cs="Arial" w:eastAsia="Arial" w:hAnsi="Arial"/>
          <w:sz w:val="18"/>
          <w:szCs w:val="18"/>
          <w:b w:val="1"/>
          <w:bCs w:val="1"/>
          <w:color w:val="auto"/>
        </w:rPr>
        <w:t>Limitation on Liability and Indemnification</w:t>
      </w:r>
    </w:p>
    <w:p>
      <w:pPr>
        <w:spacing w:after="0" w:line="277" w:lineRule="auto"/>
        <w:rPr>
          <w:sz w:val="20"/>
          <w:szCs w:val="20"/>
          <w:color w:val="auto"/>
        </w:rPr>
      </w:pPr>
      <w:r>
        <w:rPr>
          <w:rFonts w:ascii="Arial" w:cs="Arial" w:eastAsia="Arial" w:hAnsi="Arial"/>
          <w:sz w:val="18"/>
          <w:szCs w:val="18"/>
          <w:color w:val="auto"/>
        </w:rPr>
        <w:t>For a discussion of limitation on liability and indemnification, see the section titled “Management—Limitation on Liability and Indemnification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and Class B common stock will be American Stock Transfer &amp; Trust Company, LLC. The transfer agent’s address is 6201 15th Avenue, Brooklyn, New York 11219.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the Nasdaq Global Select Market under the symbol “DUOL.”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144" w:right="499" w:bottom="1440" w:gutter="0" w:footer="0" w:header="0"/>
        </w:sectPr>
      </w:pPr>
    </w:p>
    <w:bookmarkStart w:id="192" w:name="page193"/>
    <w:bookmarkEnd w:id="19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jc w:val="both"/>
        <w:ind w:right="320"/>
        <w:spacing w:after="0" w:line="269" w:lineRule="auto"/>
        <w:rPr>
          <w:sz w:val="20"/>
          <w:szCs w:val="20"/>
          <w:color w:val="auto"/>
        </w:rPr>
      </w:pPr>
      <w:r>
        <w:rPr>
          <w:rFonts w:ascii="Arial" w:cs="Arial" w:eastAsia="Arial" w:hAnsi="Arial"/>
          <w:sz w:val="18"/>
          <w:szCs w:val="18"/>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Upon the completion of this offering, based on the number of shares of our common stock outstanding as of March 31, 2021, we will have a total of 11,293,655 shares of our Class A common stock and 24,598,497 shares of our Class B common stock outstanding, assuming the occurrence of the Transactions as if such Transactions had occurred as of March 31, 2021. Of these shares, all of the Class A common stock sold in this offering by us, plus any shares sold by us upon exercise, if any, of the underwriters’ option to purchase shares of Class A common stock, will be freely tradable in the public market without restriction or further registration under the Securities Act, unless these shares are purchased by one of our “affiliates,” as that term is defined in Rule 144.</w:t>
      </w:r>
    </w:p>
    <w:p>
      <w:pPr>
        <w:spacing w:after="0" w:line="152"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remaining shares of Class A and Class B common stock will be, and shares of Class A and Class B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07"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(the “lock-up period”), except with the prior written consent of Goldman Sachs &amp; Co. LLC.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certain shares may automatically be released pursuant to the following conditions:</w:t>
      </w:r>
    </w:p>
    <w:p>
      <w:pPr>
        <w:spacing w:after="0" w:line="171" w:lineRule="exact"/>
        <w:rPr>
          <w:sz w:val="20"/>
          <w:szCs w:val="20"/>
          <w:color w:val="auto"/>
        </w:rPr>
      </w:pPr>
    </w:p>
    <w:p>
      <w:pPr>
        <w:ind w:left="660" w:hanging="328"/>
        <w:spacing w:after="0" w:line="252"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holder is a current employee, contractor or consultant of the company (excluding any of our officers or directors), then up to 25% of such holder’s shares of Class A common stock and securities convertible into or exchangeable for shares of Class A common stock held as of the date of this prospectus (including any vested and exercisable stock options as of such date (Vested Securities) but excluding any unvested convertible securities, stock options, restricted stock units or other equity awards issued by us (Unvested Securities)) may be sold in the public market for a 7-consecutive trading day period beginning at the commencement of trading on the first day on which shares of our Class A common stock trade on Nasdaq (up to approximately 1.6 million shares of our Class A common stock held by such employees, contractors or consultants will be released pursuant to this provision);</w:t>
      </w:r>
    </w:p>
    <w:p>
      <w:pPr>
        <w:spacing w:after="0" w:line="152"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holder is a current or former employee, contractor or consultant of the company (excluding any of our officers or directors), the lock-up period shall terminate immediately prior to the commencement of trading on the third trading day after we publish our second quarterly financial results following this offering (the Second Quarterly Earnings Date);</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holder is an officer or director of the company, 30% of such holder’s shares of Class A common stock and securities convertible into or exchangeable for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 w:right="339" w:bottom="1440" w:gutter="0" w:footer="0" w:header="0"/>
        </w:sectPr>
      </w:pPr>
    </w:p>
    <w:bookmarkStart w:id="193" w:name="page194"/>
    <w:bookmarkEnd w:id="19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stock (including Vested Securities but excluding Unvested Securities) shall be released from the lock-up period immediately prior to the commencement of trading on the third trading day (any such date, the Price-Based Early Release Date) immediately following the date the following conditions are met (such date, the Measurement Date): (1) the close of trading on the Second Quarterly Earnings Date and (2) the last reported closing price of our Class A common stock is greater than the final offering price per share set forth on the cover page of this prospectus for any 10 trading days (including the Measurement Date) out of any 15-consecutive trading day period (the Measurement Period), provided that the holder will not be entitled to any incremental release of securities pursuant to the conditions described below;</w:t>
      </w:r>
    </w:p>
    <w:p>
      <w:pPr>
        <w:spacing w:after="0" w:line="153" w:lineRule="exact"/>
        <w:rPr>
          <w:sz w:val="20"/>
          <w:szCs w:val="20"/>
          <w:color w:val="auto"/>
        </w:rPr>
      </w:pPr>
    </w:p>
    <w:p>
      <w:pPr>
        <w:ind w:left="660" w:hanging="328"/>
        <w:spacing w:after="0" w:line="25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holder elects to sell shares in this offering and does so sell at least 10% but no less than 20%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20% of such holder’s shares (measured as of the date of this prospectus and including Vested Securities but excluding Unvested Securities); and</w:t>
      </w:r>
    </w:p>
    <w:p>
      <w:pPr>
        <w:spacing w:after="0" w:line="151" w:lineRule="exact"/>
        <w:rPr>
          <w:rFonts w:ascii="Arial" w:cs="Arial" w:eastAsia="Arial" w:hAnsi="Arial"/>
          <w:sz w:val="18"/>
          <w:szCs w:val="18"/>
          <w:color w:val="auto"/>
        </w:rPr>
      </w:pPr>
    </w:p>
    <w:p>
      <w:pPr>
        <w:ind w:left="660" w:right="140" w:hanging="328"/>
        <w:spacing w:after="0" w:line="25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holder elects to sell shares in this offering and does so sell at least 20% of number of the aggregate number of their shares of Class A common stock and securities convertible into or exchangeable for shares of Class A common stock (including Vested Securities but excluding Unvested Securities) held as of the date set forth on the cover page of this prospectus, the lock-up period shall terminate as to 30% of such holder’s shares (measured as of the date of this prospectus and including Vested Securities but excluding Unvested Securities).</w:t>
      </w:r>
    </w:p>
    <w:p>
      <w:pPr>
        <w:spacing w:after="0" w:line="16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For the avoidance of doubt, the Measurement Period may begin prior to the Second Quarterly Earnings Date. In addition, we may, in our discretion, extend the date of the Price-Based Early Release Date as reasonably needed for administrative processing or to the extent such release date would occur during one of our blackout periods, in which case we will publicly announce the date of the Price-Based Early Release Date following the close of trading on the day that is at least two trading days prior to such date.</w:t>
      </w:r>
    </w:p>
    <w:p>
      <w:pPr>
        <w:spacing w:after="0" w:line="15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restrictions on our officers, directors, and other holders, including the selling stockholders, set forth above are subject to certain exceptions, including with respect to: (i) transfers as a bona fide gift or gifts or charitable contribution, or for bona fide estate planning purposes; (ii) transfers to any immediate family member, to any trust for the direct or indirect benefit of the holder or the immediate family thereof, or to a trustor, trustee or beneficiary of the trust or to the estate of a beneficiary of such trust; (iii) transfers upon death or by will, testamentary document or intestate succession; (iv) transfers of securities acquired in this offering or in open market transactions after the closing date of this offering; (v) transfers to another corporation, partnership, limited liability company, or other business entity that is an affiliate, or to any investment fund or other entity controlled or managed by the holder or affiliates of the holder, or as part of a distribution by the holder to its stockholders, controlled by, managing or managed by or under common control with the holder or an affiliate, or as part of a distribution, transfer, or disposition to partners, members, stockholders or other equity holders or to the estate thereof; (vi) transfers to us in connection with the vesting or settlement of restricted stock units or the “net” or “cashless” exercise of options, warrants or other rights to purchase shares of our Class A common stock pursuant to equity awards granted under an equity incentive plan, stock purchase plan or other equity award plan, provided that any shares of Class A common stock received by the holder upon such vesting, settlement or exercise shall otherwise remain subject to the lock-up period; (vii) transfers to us in connection with the repurchase of shares of our Class A common stock issued pursuant to equity awards granted under an equity incentive plan, stock purchase plan or other equity award plan provided that such repurchase is in connection with the termination of the holder’s relationship with us; (viii) transfers pursuant to a bona fide third-party tender offer, merger, consolidation or other similar transaction made to all holders of shares of Class A common stock involving a change of control that is approved by our board of directors or the majority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320" w:top="144" w:right="379" w:bottom="1440" w:gutter="0" w:footer="0" w:header="0"/>
        </w:sectPr>
      </w:pPr>
    </w:p>
    <w:bookmarkStart w:id="194" w:name="page195"/>
    <w:bookmarkEnd w:id="19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voting power of our outstanding capital stock, provided that, in the event that such tender offer, merger, consolidation or other similar transaction is not completed, the holder’s shares shall remain subject to the lock-up period; (ix) transfers in connection with the conversion or reclassification of our outstanding preferred stock or other capital stock, provided that any such shares of Class A Common Stock or securities convertible into or exchangeable for shares of Class A common stock received upon such conversion or reclassification shall remain subject to the lock-up period; (x) transfers by operation of law, such as pursuant to a qualified domestic order, divorce settlement, divorce settlement or other related court order and (xi) transfers to the underwriters pursuant to the terms of the underwriting agreement. Notwithstanding anything to the contrary above, in the case of clauses (i) through (iii) and (v) above, any such transfer shall not involve a disposition for value and the transferee shall agree to be subject to the lock-up period; in the case of (i) through (v) above, no filing under the Exchange Act or other public filing, report or announcement reporting a reduction in beneficial ownership of shares of Class A common stock shall be required or voluntarily made during the lock-up period; in the case of any transfers pursuant to clauses (vi), (vii), and (x) above, no filing under the Exchange Act or other public filing, report or announcement reporting a reduction in beneficial ownership of shares of Class A common stock shall be voluntarily made during the lock-up period and any filing that is required under the Exchange Act to be made during the lock-up period shall include a statement in such report to the effect that such transfer relates to the circumstances described in such clauses.</w:t>
      </w:r>
    </w:p>
    <w:p>
      <w:pPr>
        <w:spacing w:after="0" w:line="16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restrictions set forth above applicable to us are subject to certain exceptions, including with respect to: (i) the shares to be sold in this offering; (ii) any shares of Class A or Class B common stock issued upon the reclassification and exchange of common stock in connection with this offering outstanding on the date set forth on the cover page of this prospectus and as described in this prospectus; (iii) any shares of Class A or Class B common stock or any securities or other awards convertible into, exercisable for, or that represent the right to receive Class A or Class B common stock pursuant to our equity incentive plans or employee stock purchase plans that are described in this prospectus (the Company’s Plans) or otherwise in equity compensation arrangements described in this prospectus or any shares of Class A or Class B common stock issuable upon the conversion, exercise or settlement of such awards; (iv) any shares of Class A common stock issuable upon the conversion or exchange of convertible or exchangeable securities or the exercise of warrants or options (including net exercise, conversion or settlement and in respect of tax withholding payments due upon the exercise of options or the vesting of equity-based awards) or the settlement of RSUs or other equity awards (including net settlement and in respect of tax withholding payments), in each case outstanding on or prior to the date set forth on the cover page of this prospectus or as otherwise contemplated by any lock-up letter entered into in connection with this offering by our securityholders; (v) facilitating the establishment of a trading plan on behalf of a securityholder, officer or director of ours pursuant to Rule 10b5-1 under the Exchange Act; (vi) the entry into an agreement providing for the issuance by us of shares of Class A or Class B common stock or any security convertible into or exercisable for shares of Class A or Class B common stock in connection with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(vii) the entry into any agreement providing for the issuance of shares of Class A or Class B common stock or any security convertible into or exercisable for shares of Class A or Class B common stock in connection with joint ventures, commercial relationships or other strategic transactions, and the issuance of any such securities pursuant to any such agreement; (viii) the filing of any registration statement on Form S-8 or a successor form thereto relating to the resale of securities as contemplated by any lock-up letter signed in connection with this offering or the Company’s Plans or any assumed employee benefit plan contemplated by clause (vi); and (ix) up to 323,500 shares of Class A common stock to support organizations who are committed to helping people around the world access better educational opportunities (see “Business—People and Culture” for more information); provided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320" w:top="144" w:right="359" w:bottom="1440" w:gutter="0" w:footer="0" w:header="0"/>
        </w:sectPr>
      </w:pPr>
    </w:p>
    <w:bookmarkStart w:id="195" w:name="page196"/>
    <w:bookmarkEnd w:id="19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case of clauses (vi) and (vii), the aggregate number of shares of Class A and Class B common stock that we may sell or issue or agree to sell or issue pursuant to clauses (vi) and (vii) shall not exceed 10% of the total number of shares of Class A and Class B common stock issued and outstanding immediately following the completion of this offering; and provided further that, in the case of clauses (iii), (iv), (vi) and (vii), the recipient of such securities shall have executed a lock-up letter on or prior to the date of issuance of such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36"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or</w:t>
      </w:r>
    </w:p>
    <w:p>
      <w:pPr>
        <w:spacing w:after="0" w:line="171"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Nasdaq Global Select Market during the four calendar weeks preceding the filing of a notice on Form 144 with respect to such sale.</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 w:right="359" w:bottom="1440" w:gutter="0" w:footer="0" w:header="0"/>
        </w:sectPr>
      </w:pPr>
    </w:p>
    <w:bookmarkStart w:id="196" w:name="page197"/>
    <w:bookmarkEnd w:id="19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our amended and restated investors’ rights agreement, the holders of up to 17,668,163 shares of our Class B common stock or their respective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of the shares of our Class A and Class B common stock issuable or reserved for issuance under our 2011 Plan, 2021 Plan, and ESPP. Shares covered by such registration statement will be eligible for sale in the public market, subject to the Rule 144 limitations and vesting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60"/>
          </w:cols>
          <w:pgMar w:left="320" w:top="144" w:right="419" w:bottom="1440" w:gutter="0" w:footer="0" w:header="0"/>
        </w:sectPr>
      </w:pPr>
    </w:p>
    <w:bookmarkStart w:id="197" w:name="page198"/>
    <w:bookmarkEnd w:id="19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3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7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 w:right="339" w:bottom="1440" w:gutter="0" w:footer="0" w:header="0"/>
        </w:sectPr>
      </w:pPr>
    </w:p>
    <w:bookmarkStart w:id="198" w:name="page199"/>
    <w:bookmarkEnd w:id="19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Class A common stock and the partners in such partnerships should consult their tax advisors regarding the US federal income tax consequences to them.</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0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36"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5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144" w:right="359" w:bottom="1440" w:gutter="0" w:footer="0" w:header="0"/>
        </w:sectPr>
      </w:pPr>
    </w:p>
    <w:bookmarkStart w:id="199" w:name="page200"/>
    <w:bookmarkEnd w:id="19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130" w:lineRule="exact"/>
        <w:rPr>
          <w:sz w:val="20"/>
          <w:szCs w:val="20"/>
          <w:color w:val="auto"/>
        </w:rPr>
      </w:pPr>
    </w:p>
    <w:p>
      <w:pPr>
        <w:ind w:left="66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4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15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56" w:lineRule="exact"/>
        <w:rPr>
          <w:sz w:val="20"/>
          <w:szCs w:val="20"/>
          <w:color w:val="auto"/>
        </w:rPr>
      </w:pPr>
    </w:p>
    <w:p>
      <w:pPr>
        <w:ind w:right="380"/>
        <w:spacing w:after="0" w:line="446" w:lineRule="auto"/>
        <w:rPr>
          <w:sz w:val="20"/>
          <w:szCs w:val="20"/>
          <w:color w:val="auto"/>
        </w:rPr>
      </w:pPr>
      <w:r>
        <w:rPr>
          <w:rFonts w:ascii="Arial" w:cs="Arial" w:eastAsia="Arial" w:hAnsi="Arial"/>
          <w:sz w:val="18"/>
          <w:szCs w:val="18"/>
          <w:color w:val="auto"/>
        </w:rPr>
        <w:t xml:space="preserve">Non-US Holders should consult their tax advisors regarding potentially applicable income tax treaties that may provide for different rules. </w:t>
      </w:r>
      <w:r>
        <w:rPr>
          <w:rFonts w:ascii="Arial" w:cs="Arial" w:eastAsia="Arial" w:hAnsi="Arial"/>
          <w:sz w:val="18"/>
          <w:szCs w:val="18"/>
          <w:b w:val="1"/>
          <w:bCs w:val="1"/>
          <w:color w:val="auto"/>
        </w:rPr>
        <w:t>Information Reporting and Backup Withholding</w:t>
      </w:r>
    </w:p>
    <w:p>
      <w:pPr>
        <w:ind w:right="300"/>
        <w:spacing w:after="0" w:line="277"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144" w:right="359" w:bottom="1440" w:gutter="0" w:footer="0" w:header="0"/>
        </w:sectPr>
      </w:pPr>
    </w:p>
    <w:bookmarkStart w:id="200" w:name="page201"/>
    <w:bookmarkEnd w:id="20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w:t>
      </w:r>
    </w:p>
    <w:p>
      <w:pPr>
        <w:ind w:firstLine="8"/>
        <w:spacing w:after="0" w:line="267" w:lineRule="auto"/>
        <w:tabs>
          <w:tab w:leader="none" w:pos="2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144" w:right="379" w:bottom="1440" w:gutter="0" w:footer="0" w:header="0"/>
        </w:sectPr>
      </w:pPr>
    </w:p>
    <w:bookmarkStart w:id="201" w:name="page202"/>
    <w:bookmarkEnd w:id="20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of our Class A common stock being offered. Subject to certain conditions, each underwriter has severally agreed to purchase the number of shares of our Class A common stock indicated in the following table. Goldman Sachs &amp; Co. LLC is acting as representative of the underwriters.</w:t>
      </w:r>
    </w:p>
    <w:p>
      <w:pPr>
        <w:spacing w:after="0" w:line="167"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KeyBanc Capital Markets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Piper Sandler &amp; Co.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Raymond James &amp; Associates, Inc.</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6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DBDBDB"/>
          </w:tcPr>
          <w:p>
            <w:pPr>
              <w:jc w:val="right"/>
              <w:ind w:right="290"/>
              <w:spacing w:after="0"/>
              <w:rPr>
                <w:sz w:val="20"/>
                <w:szCs w:val="20"/>
                <w:color w:val="auto"/>
              </w:rPr>
            </w:pPr>
            <w:r>
              <w:rPr>
                <w:rFonts w:ascii="Arial" w:cs="Arial" w:eastAsia="Arial" w:hAnsi="Arial"/>
                <w:sz w:val="18"/>
                <w:szCs w:val="18"/>
                <w:color w:val="auto"/>
              </w:rPr>
              <w:t>5,106,113</w:t>
            </w:r>
          </w:p>
        </w:tc>
      </w:tr>
      <w:tr>
        <w:trPr>
          <w:trHeight w:val="20"/>
        </w:trPr>
        <w:tc>
          <w:tcPr>
            <w:tcW w:w="968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Class A common stock being offered, if any are taken, other than the shares covered by the option described below unless and until this option is exercised.</w:t>
      </w:r>
    </w:p>
    <w:p>
      <w:pPr>
        <w:spacing w:after="0" w:line="143"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underwriters have an option to buy up to an additional 765,916 shares of our Class A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the company and the selling stockholders. Such amounts are shown assuming both no exercise and full exercise of the underwriters’ option to purchase 765,916 additional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Paid by 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tcBorders>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r>
        <w:trPr>
          <w:trHeight w:val="432"/>
        </w:trPr>
        <w:tc>
          <w:tcPr>
            <w:tcW w:w="8020" w:type="dxa"/>
            <w:vAlign w:val="bottom"/>
            <w:gridSpan w:val="2"/>
          </w:tcPr>
          <w:p>
            <w:pPr>
              <w:spacing w:after="0"/>
              <w:rPr>
                <w:sz w:val="20"/>
                <w:szCs w:val="20"/>
                <w:color w:val="auto"/>
              </w:rPr>
            </w:pPr>
            <w:r>
              <w:rPr>
                <w:rFonts w:ascii="Arial" w:cs="Arial" w:eastAsia="Arial" w:hAnsi="Arial"/>
                <w:sz w:val="18"/>
                <w:szCs w:val="18"/>
                <w:color w:val="auto"/>
              </w:rPr>
              <w:t>Paid by the Selling Stockholders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9"/>
        </w:trPr>
        <w:tc>
          <w:tcPr>
            <w:tcW w:w="258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top w:val="single" w:sz="8" w:color="auto"/>
            </w:tcBorders>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auto"/>
            </w:tcBorders>
            <w:shd w:val="clear" w:color="auto" w:fill="DBDBDB"/>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shares sold by the underwriters to securities dealers may be sold at a discount of up to $ per share from the initial public offering price. After the initial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 w:right="339" w:bottom="1440" w:gutter="0" w:footer="0" w:header="0"/>
        </w:sectPr>
      </w:pPr>
    </w:p>
    <w:bookmarkStart w:id="202" w:name="page203"/>
    <w:bookmarkEnd w:id="20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currently anticipate that up to 1% of the shares of Class A common stock offered hereby will, at our request, be offered to retail investors through Robinhood Financial, LLC, as a selling group member, via its online brokerage platform. Robinhood Financial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and our officers and directors and the holders of substantially all of our shares of capital stock, including the selling stockholders, have agreed with the underwriters, subject to certain exceptions, not to dispose of or hedge any of their Class A common stock or securities convertible into or exchangeable for shares of Class A common stock during the period from the date of this prospectus continuing through the date 180 days after the date of this prospectus, except with the prior written consent of Goldman Sachs &amp; Co. LLC. See “Shares Eligible for Future Sale” for a discussion of certain early release and other exceptions and transfer restrictions.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Prior to the offering, there has been no public market for shares of our Class A common stock. The initial public offering price has been negotiated among the company and the representative.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has been approved for listing on the Nasdaq Global Select Market under the symbol “DUOL.”</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144" w:right="359" w:bottom="1440" w:gutter="0" w:footer="0" w:header="0"/>
        </w:sectPr>
      </w:pPr>
    </w:p>
    <w:bookmarkStart w:id="203" w:name="page204"/>
    <w:bookmarkEnd w:id="20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sold by or for the account of such underwriter in stabilizing or short covering transactions.</w:t>
      </w:r>
    </w:p>
    <w:p>
      <w:pPr>
        <w:spacing w:after="0" w:line="1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shares of our Class A common stock, and together with the imposition of the penalty bid, may stabilize, maintain or otherwise affect the market price of the shares. As a result, the price of the shares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$4.0 million. We will reimburse the underwriters for their expenses related to the review of this offering by the Financial Industry Regulatory Authority, Inc. (FINRA) in an amount up to $40,000. In accordance with FINRA Rule 5110, this reimbursed fee is deemed underwriting compensation for this offering. In addition, the underwriters are expected to reimburse us for up to approximately $1.2 million (or $1.4 million if the underwriters exercise their option to purchase additional shares of Class A common stock in full) of our expenses in connection with this offering.</w:t>
      </w:r>
    </w:p>
    <w:p>
      <w:pPr>
        <w:spacing w:after="0" w:line="1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of 1933.</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One of the underwriters and its employees will have an indirect economic interest in approximately 3,438 shares of our Class B common stock received upon the automatic conversion of shares of our preferred stock originally acquired in a private placement. The difference between the price paid for such shares in the private placement and the public offering price in this offering will be deemed to be underwriting compensation in connection with this offering.</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54"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relation to each EEA Member State (each a Relevant Member State), no shares of our Class A common stock have been offered or will be offered pursuant to the offering to the public in that Relevant Member State prior to the publication of a prospectus in relation to the shares which has been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 w:right="359" w:bottom="1440" w:gutter="0" w:footer="0" w:header="0"/>
        </w:sectPr>
      </w:pPr>
    </w:p>
    <w:bookmarkStart w:id="204" w:name="page205"/>
    <w:bookmarkEnd w:id="20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36"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340" w:right="480"/>
        <w:spacing w:after="0" w:line="256" w:lineRule="auto"/>
        <w:rPr>
          <w:sz w:val="20"/>
          <w:szCs w:val="20"/>
          <w:color w:val="auto"/>
        </w:rPr>
      </w:pPr>
      <w:r>
        <w:rPr>
          <w:rFonts w:ascii="Arial" w:cs="Arial" w:eastAsia="Arial" w:hAnsi="Arial"/>
          <w:sz w:val="18"/>
          <w:szCs w:val="18"/>
          <w:color w:val="auto"/>
        </w:rPr>
        <w:t>provided that no such offer of the shares shall require the company and/or selling stockholders or any underwriters to publish a prospectus pursuant to Article 3 of the Prospectus Regulation or supplement a prospectus pursuant to Article 23 of the Prospectus Regulation.</w:t>
      </w:r>
    </w:p>
    <w:p>
      <w:pPr>
        <w:spacing w:after="0" w:line="16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36"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171" w:lineRule="exact"/>
        <w:rPr>
          <w:rFonts w:ascii="Arial" w:cs="Arial" w:eastAsia="Arial" w:hAnsi="Arial"/>
          <w:sz w:val="18"/>
          <w:szCs w:val="18"/>
          <w:color w:val="auto"/>
        </w:rPr>
      </w:pPr>
    </w:p>
    <w:p>
      <w:pPr>
        <w:ind w:left="660" w:right="20" w:hanging="328"/>
        <w:spacing w:after="0" w:line="252" w:lineRule="auto"/>
        <w:tabs>
          <w:tab w:leader="none" w:pos="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66"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320" w:top="144" w:right="399" w:bottom="1440" w:gutter="0" w:footer="0" w:header="0"/>
        </w:sectPr>
      </w:pPr>
    </w:p>
    <w:bookmarkStart w:id="205" w:name="page206"/>
    <w:bookmarkEnd w:id="20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5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36"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1000" w:hanging="328"/>
        <w:spacing w:after="0" w:line="261" w:lineRule="auto"/>
        <w:tabs>
          <w:tab w:leader="none" w:pos="6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Each person in the UK who acquires any shares in the offering or to whom any offer is made will be deemed to have represented, acknowledged and agreed to and with the company, the underwriters and their affiliates that it meets the criteria outlined in this section.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document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320" w:top="144" w:right="359" w:bottom="1440" w:gutter="0" w:footer="0" w:header="0"/>
        </w:sectPr>
      </w:pPr>
    </w:p>
    <w:bookmarkStart w:id="206" w:name="page207"/>
    <w:bookmarkEnd w:id="20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0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6"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w:t>
      </w:r>
    </w:p>
    <w:p>
      <w:pPr>
        <w:spacing w:after="0" w:line="3" w:lineRule="exact"/>
        <w:rPr>
          <w:sz w:val="20"/>
          <w:szCs w:val="20"/>
          <w:color w:val="auto"/>
        </w:rPr>
      </w:pPr>
    </w:p>
    <w:p>
      <w:pPr>
        <w:ind w:right="20" w:firstLine="8"/>
        <w:spacing w:after="0" w:line="269" w:lineRule="auto"/>
        <w:tabs>
          <w:tab w:leader="none" w:pos="2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 w:right="339" w:bottom="1440" w:gutter="0" w:footer="0" w:header="0"/>
        </w:sectPr>
      </w:pPr>
    </w:p>
    <w:bookmarkStart w:id="207" w:name="page208"/>
    <w:bookmarkEnd w:id="20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320" w:top="144" w:right="399" w:bottom="1440" w:gutter="0" w:footer="0" w:header="0"/>
        </w:sectPr>
      </w:pPr>
    </w:p>
    <w:bookmarkStart w:id="208" w:name="page209"/>
    <w:bookmarkEnd w:id="20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validity of the shares of Class A common stock offered hereby will be passed upon for us by Latham &amp; Watkins LLP, Menlo Park, California. Skadden, Arps, Slate, Meagher &amp; Flom LLP, New York, New York, has acted as counsel for the underwriters in connection with certain legal matters related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07"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financial statements as of December 31, 2020 and 2019, and for each of the two years in the period ended December 31, 2020, included in this registration statement,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www.Duolingo.com,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320" w:top="144" w:right="359" w:bottom="1440" w:gutter="0" w:footer="0" w:header="0"/>
        </w:sectPr>
      </w:pPr>
    </w:p>
    <w:bookmarkStart w:id="209" w:name="page210"/>
    <w:bookmarkEnd w:id="20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Audited Consolidated Financial Statements as of December 31, 2020 and 2019 and for the two years then ended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840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8400" w:type="dxa"/>
            <w:vAlign w:val="bottom"/>
            <w:gridSpan w:val="7"/>
          </w:tcPr>
          <w:p>
            <w:pPr>
              <w:spacing w:after="0" w:line="180" w:lineRule="exact"/>
              <w:rPr>
                <w:rFonts w:ascii="Arial" w:cs="Arial" w:eastAsia="Arial" w:hAnsi="Arial"/>
                <w:sz w:val="18"/>
                <w:szCs w:val="18"/>
                <w:color w:val="0000FF"/>
              </w:rPr>
            </w:pPr>
            <w:hyperlink w:anchor="page210">
              <w:r>
                <w:rPr>
                  <w:rFonts w:ascii="Arial" w:cs="Arial" w:eastAsia="Arial" w:hAnsi="Arial"/>
                  <w:sz w:val="18"/>
                  <w:szCs w:val="18"/>
                  <w:color w:val="0000FF"/>
                </w:rPr>
                <w:t>Report of Independent Registered Public Accounting Firm</w:t>
              </w:r>
            </w:hyperlink>
          </w:p>
        </w:tc>
        <w:tc>
          <w:tcPr>
            <w:tcW w:w="2820" w:type="dxa"/>
            <w:vAlign w:val="bottom"/>
            <w:gridSpan w:val="3"/>
          </w:tcPr>
          <w:p>
            <w:pPr>
              <w:ind w:left="1880"/>
              <w:spacing w:after="0" w:line="180" w:lineRule="exact"/>
              <w:rPr>
                <w:rFonts w:ascii="Arial" w:cs="Arial" w:eastAsia="Arial" w:hAnsi="Arial"/>
                <w:sz w:val="18"/>
                <w:szCs w:val="18"/>
                <w:color w:val="0000FF"/>
              </w:rPr>
            </w:pPr>
            <w:hyperlink w:anchor="page210">
              <w:r>
                <w:rPr>
                  <w:rFonts w:ascii="Arial" w:cs="Arial" w:eastAsia="Arial" w:hAnsi="Arial"/>
                  <w:sz w:val="18"/>
                  <w:szCs w:val="18"/>
                  <w:color w:val="0000FF"/>
                </w:rPr>
                <w:t>F-2</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4"/>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Consolidated Balance Sheets</w:t>
              </w:r>
            </w:hyperlink>
          </w:p>
        </w:tc>
        <w:tc>
          <w:tcPr>
            <w:tcW w:w="3800" w:type="dxa"/>
            <w:vAlign w:val="bottom"/>
            <w:gridSpan w:val="3"/>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11">
              <w:r>
                <w:rPr>
                  <w:rFonts w:ascii="Arial" w:cs="Arial" w:eastAsia="Arial" w:hAnsi="Arial"/>
                  <w:sz w:val="18"/>
                  <w:szCs w:val="18"/>
                  <w:color w:val="0000FF"/>
                </w:rPr>
                <w:t>F-3</w:t>
              </w:r>
            </w:hyperlink>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5"/>
          </w:tcPr>
          <w:p>
            <w:pPr>
              <w:spacing w:after="0"/>
              <w:rPr>
                <w:rFonts w:ascii="Arial" w:cs="Arial" w:eastAsia="Arial" w:hAnsi="Arial"/>
                <w:sz w:val="18"/>
                <w:szCs w:val="18"/>
                <w:color w:val="0000FF"/>
                <w:w w:val="99"/>
              </w:rPr>
            </w:pPr>
            <w:hyperlink w:anchor="page212">
              <w:r>
                <w:rPr>
                  <w:rFonts w:ascii="Arial" w:cs="Arial" w:eastAsia="Arial" w:hAnsi="Arial"/>
                  <w:sz w:val="18"/>
                  <w:szCs w:val="18"/>
                  <w:color w:val="0000FF"/>
                  <w:w w:val="99"/>
                </w:rPr>
                <w:t>Consolidated Statements of Operations and Comprehensive Loss</w:t>
              </w:r>
            </w:hyperlink>
          </w:p>
        </w:tc>
        <w:tc>
          <w:tcPr>
            <w:tcW w:w="3160" w:type="dxa"/>
            <w:vAlign w:val="bottom"/>
            <w:gridSpan w:val="2"/>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12">
              <w:r>
                <w:rPr>
                  <w:rFonts w:ascii="Arial" w:cs="Arial" w:eastAsia="Arial" w:hAnsi="Arial"/>
                  <w:sz w:val="18"/>
                  <w:szCs w:val="18"/>
                  <w:color w:val="0000FF"/>
                </w:rPr>
                <w:t>F-4</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7"/>
          </w:tcPr>
          <w:p>
            <w:pPr>
              <w:spacing w:after="0"/>
              <w:rPr>
                <w:rFonts w:ascii="Arial" w:cs="Arial" w:eastAsia="Arial" w:hAnsi="Arial"/>
                <w:sz w:val="18"/>
                <w:szCs w:val="18"/>
                <w:color w:val="0000FF"/>
              </w:rPr>
            </w:pPr>
            <w:hyperlink w:anchor="page213">
              <w:r>
                <w:rPr>
                  <w:rFonts w:ascii="Arial" w:cs="Arial" w:eastAsia="Arial" w:hAnsi="Arial"/>
                  <w:sz w:val="18"/>
                  <w:szCs w:val="18"/>
                  <w:color w:val="0000FF"/>
                </w:rPr>
                <w:t>Consolidated Statements of Convertible Preferred Stock and Stockholders' Deficit</w:t>
              </w:r>
            </w:hyperlink>
          </w:p>
        </w:tc>
        <w:tc>
          <w:tcPr>
            <w:tcW w:w="2820" w:type="dxa"/>
            <w:vAlign w:val="bottom"/>
            <w:gridSpan w:val="3"/>
          </w:tcPr>
          <w:p>
            <w:pPr>
              <w:ind w:left="1880"/>
              <w:spacing w:after="0"/>
              <w:rPr>
                <w:rFonts w:ascii="Arial" w:cs="Arial" w:eastAsia="Arial" w:hAnsi="Arial"/>
                <w:sz w:val="18"/>
                <w:szCs w:val="18"/>
                <w:color w:val="0000FF"/>
              </w:rPr>
            </w:pPr>
            <w:hyperlink w:anchor="page213">
              <w:r>
                <w:rPr>
                  <w:rFonts w:ascii="Arial" w:cs="Arial" w:eastAsia="Arial" w:hAnsi="Arial"/>
                  <w:sz w:val="18"/>
                  <w:szCs w:val="18"/>
                  <w:color w:val="0000FF"/>
                </w:rPr>
                <w:t>F-5</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gridSpan w:val="6"/>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Consolidated Statements of Cash Flows</w:t>
              </w:r>
            </w:hyperlink>
          </w:p>
        </w:tc>
        <w:tc>
          <w:tcPr>
            <w:tcW w:w="1900" w:type="dxa"/>
            <w:vAlign w:val="bottom"/>
          </w:tcPr>
          <w:p>
            <w:pPr>
              <w:spacing w:after="0"/>
              <w:rPr>
                <w:sz w:val="18"/>
                <w:szCs w:val="18"/>
                <w:color w:val="auto"/>
              </w:rPr>
            </w:pPr>
          </w:p>
        </w:tc>
        <w:tc>
          <w:tcPr>
            <w:tcW w:w="2820" w:type="dxa"/>
            <w:vAlign w:val="bottom"/>
            <w:gridSpan w:val="3"/>
          </w:tcPr>
          <w:p>
            <w:pPr>
              <w:ind w:left="1880"/>
              <w:spacing w:after="0"/>
              <w:rPr>
                <w:rFonts w:ascii="Arial" w:cs="Arial" w:eastAsia="Arial" w:hAnsi="Arial"/>
                <w:sz w:val="18"/>
                <w:szCs w:val="18"/>
                <w:color w:val="0000FF"/>
              </w:rPr>
            </w:pPr>
            <w:hyperlink w:anchor="page214">
              <w:r>
                <w:rPr>
                  <w:rFonts w:ascii="Arial" w:cs="Arial" w:eastAsia="Arial" w:hAnsi="Arial"/>
                  <w:sz w:val="18"/>
                  <w:szCs w:val="18"/>
                  <w:color w:val="0000FF"/>
                </w:rPr>
                <w:t>F-6</w:t>
              </w:r>
            </w:hyperlink>
          </w:p>
        </w:tc>
      </w:tr>
      <w:tr>
        <w:trPr>
          <w:trHeight w:val="20"/>
        </w:trPr>
        <w:tc>
          <w:tcPr>
            <w:tcW w:w="2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7"/>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Notes to the Consolidated Financial Statements</w:t>
              </w:r>
            </w:hyperlink>
          </w:p>
        </w:tc>
        <w:tc>
          <w:tcPr>
            <w:tcW w:w="2820" w:type="dxa"/>
            <w:vAlign w:val="bottom"/>
            <w:gridSpan w:val="3"/>
          </w:tcPr>
          <w:p>
            <w:pPr>
              <w:ind w:left="1880"/>
              <w:spacing w:after="0"/>
              <w:rPr>
                <w:rFonts w:ascii="Arial" w:cs="Arial" w:eastAsia="Arial" w:hAnsi="Arial"/>
                <w:sz w:val="18"/>
                <w:szCs w:val="18"/>
                <w:color w:val="0000FF"/>
              </w:rPr>
            </w:pPr>
            <w:hyperlink w:anchor="page215">
              <w:r>
                <w:rPr>
                  <w:rFonts w:ascii="Arial" w:cs="Arial" w:eastAsia="Arial" w:hAnsi="Arial"/>
                  <w:sz w:val="18"/>
                  <w:szCs w:val="18"/>
                  <w:color w:val="0000FF"/>
                </w:rPr>
                <w:t>F-7</w:t>
              </w:r>
            </w:hyperlink>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Index to the Unaudited Interim Condensed Consolidated Financial Statements as of March 31, 2021 and for the three months ended March 31, 2020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320" w:type="dxa"/>
            <w:vAlign w:val="bottom"/>
            <w:gridSpan w:val="6"/>
          </w:tcPr>
          <w:p>
            <w:pPr>
              <w:spacing w:after="0"/>
              <w:rPr>
                <w:rFonts w:ascii="Arial" w:cs="Arial" w:eastAsia="Arial" w:hAnsi="Arial"/>
                <w:sz w:val="18"/>
                <w:szCs w:val="18"/>
                <w:color w:val="0000FF"/>
              </w:rPr>
            </w:pPr>
            <w:hyperlink w:anchor="page235">
              <w:r>
                <w:rPr>
                  <w:rFonts w:ascii="Arial" w:cs="Arial" w:eastAsia="Arial" w:hAnsi="Arial"/>
                  <w:sz w:val="18"/>
                  <w:szCs w:val="18"/>
                  <w:color w:val="0000FF"/>
                </w:rPr>
                <w:t>Unaudited Condensed Consolidated Balance Sheets</w:t>
              </w:r>
            </w:hyperlink>
          </w:p>
        </w:tc>
        <w:tc>
          <w:tcPr>
            <w:tcW w:w="1900" w:type="dxa"/>
            <w:vAlign w:val="bottom"/>
            <w:gridSpan w:val="3"/>
          </w:tcPr>
          <w:p>
            <w:pPr>
              <w:ind w:left="960"/>
              <w:spacing w:after="0"/>
              <w:rPr>
                <w:rFonts w:ascii="Arial" w:cs="Arial" w:eastAsia="Arial" w:hAnsi="Arial"/>
                <w:sz w:val="18"/>
                <w:szCs w:val="18"/>
                <w:color w:val="0000FF"/>
              </w:rPr>
            </w:pPr>
            <w:hyperlink w:anchor="page235">
              <w:r>
                <w:rPr>
                  <w:rFonts w:ascii="Arial" w:cs="Arial" w:eastAsia="Arial" w:hAnsi="Arial"/>
                  <w:sz w:val="18"/>
                  <w:szCs w:val="18"/>
                  <w:color w:val="0000FF"/>
                </w:rPr>
                <w:t>F-26</w:t>
              </w:r>
            </w:hyperlink>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4"/>
          </w:tcPr>
          <w:p>
            <w:pPr>
              <w:spacing w:after="0"/>
              <w:rPr>
                <w:rFonts w:ascii="Arial" w:cs="Arial" w:eastAsia="Arial" w:hAnsi="Arial"/>
                <w:sz w:val="18"/>
                <w:szCs w:val="18"/>
                <w:color w:val="0000FF"/>
                <w:w w:val="99"/>
              </w:rPr>
            </w:pPr>
            <w:hyperlink w:anchor="page235">
              <w:r>
                <w:rPr>
                  <w:rFonts w:ascii="Arial" w:cs="Arial" w:eastAsia="Arial" w:hAnsi="Arial"/>
                  <w:sz w:val="18"/>
                  <w:szCs w:val="18"/>
                  <w:color w:val="0000FF"/>
                  <w:w w:val="99"/>
                </w:rPr>
                <w:t>Unaudited Condensed Consolidated Statements of Operations and Comprehensive Loss</w:t>
              </w:r>
            </w:hyperlink>
          </w:p>
        </w:tc>
        <w:tc>
          <w:tcPr>
            <w:tcW w:w="2240" w:type="dxa"/>
            <w:vAlign w:val="bottom"/>
            <w:gridSpan w:val="2"/>
          </w:tcPr>
          <w:p>
            <w:pPr>
              <w:spacing w:after="0"/>
              <w:rPr>
                <w:sz w:val="18"/>
                <w:szCs w:val="18"/>
                <w:color w:val="auto"/>
              </w:rPr>
            </w:pPr>
          </w:p>
        </w:tc>
        <w:tc>
          <w:tcPr>
            <w:tcW w:w="1900" w:type="dxa"/>
            <w:vAlign w:val="bottom"/>
            <w:gridSpan w:val="3"/>
          </w:tcPr>
          <w:p>
            <w:pPr>
              <w:ind w:left="960"/>
              <w:spacing w:after="0"/>
              <w:rPr>
                <w:rFonts w:ascii="Arial" w:cs="Arial" w:eastAsia="Arial" w:hAnsi="Arial"/>
                <w:sz w:val="18"/>
                <w:szCs w:val="18"/>
                <w:color w:val="0000FF"/>
              </w:rPr>
            </w:pPr>
            <w:hyperlink w:anchor="page211">
              <w:r>
                <w:rPr>
                  <w:rFonts w:ascii="Arial" w:cs="Arial" w:eastAsia="Arial" w:hAnsi="Arial"/>
                  <w:sz w:val="18"/>
                  <w:szCs w:val="18"/>
                  <w:color w:val="0000FF"/>
                </w:rPr>
                <w:t>F-</w:t>
              </w:r>
            </w:hyperlink>
            <w:hyperlink w:anchor="page235">
              <w:r>
                <w:rPr>
                  <w:rFonts w:ascii="Arial" w:cs="Arial" w:eastAsia="Arial" w:hAnsi="Arial"/>
                  <w:sz w:val="18"/>
                  <w:szCs w:val="18"/>
                  <w:color w:val="0000FF"/>
                </w:rPr>
                <w:t>27</w:t>
              </w:r>
            </w:hyperlink>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6"/>
          </w:tcPr>
          <w:p>
            <w:pPr>
              <w:spacing w:after="0"/>
              <w:rPr>
                <w:rFonts w:ascii="Arial" w:cs="Arial" w:eastAsia="Arial" w:hAnsi="Arial"/>
                <w:sz w:val="18"/>
                <w:szCs w:val="18"/>
                <w:color w:val="0000FF"/>
              </w:rPr>
            </w:pPr>
            <w:hyperlink w:anchor="page236">
              <w:r>
                <w:rPr>
                  <w:rFonts w:ascii="Arial" w:cs="Arial" w:eastAsia="Arial" w:hAnsi="Arial"/>
                  <w:sz w:val="18"/>
                  <w:szCs w:val="18"/>
                  <w:color w:val="0000FF"/>
                </w:rPr>
                <w:t>Unaudited Condensed Consolidated Statements of Convertible Preferred Stock and Stockholders' Deficit</w:t>
              </w:r>
            </w:hyperlink>
          </w:p>
        </w:tc>
        <w:tc>
          <w:tcPr>
            <w:tcW w:w="1900" w:type="dxa"/>
            <w:vAlign w:val="bottom"/>
            <w:gridSpan w:val="3"/>
          </w:tcPr>
          <w:p>
            <w:pPr>
              <w:ind w:left="960"/>
              <w:spacing w:after="0"/>
              <w:rPr>
                <w:rFonts w:ascii="Arial" w:cs="Arial" w:eastAsia="Arial" w:hAnsi="Arial"/>
                <w:sz w:val="18"/>
                <w:szCs w:val="18"/>
                <w:color w:val="0000FF"/>
              </w:rPr>
            </w:pPr>
            <w:hyperlink w:anchor="page213">
              <w:r>
                <w:rPr>
                  <w:rFonts w:ascii="Arial" w:cs="Arial" w:eastAsia="Arial" w:hAnsi="Arial"/>
                  <w:sz w:val="18"/>
                  <w:szCs w:val="18"/>
                  <w:color w:val="0000FF"/>
                </w:rPr>
                <w:t>F-</w:t>
              </w:r>
            </w:hyperlink>
            <w:hyperlink w:anchor="page236">
              <w:r>
                <w:rPr>
                  <w:rFonts w:ascii="Arial" w:cs="Arial" w:eastAsia="Arial" w:hAnsi="Arial"/>
                  <w:sz w:val="18"/>
                  <w:szCs w:val="18"/>
                  <w:color w:val="0000FF"/>
                </w:rPr>
                <w:t>28</w:t>
              </w:r>
            </w:hyperlink>
          </w:p>
        </w:tc>
      </w:tr>
      <w:tr>
        <w:trPr>
          <w:trHeight w:val="20"/>
        </w:trPr>
        <w:tc>
          <w:tcPr>
            <w:tcW w:w="2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5"/>
          </w:tcPr>
          <w:p>
            <w:pPr>
              <w:spacing w:after="0"/>
              <w:rPr>
                <w:rFonts w:ascii="Arial" w:cs="Arial" w:eastAsia="Arial" w:hAnsi="Arial"/>
                <w:sz w:val="18"/>
                <w:szCs w:val="18"/>
                <w:color w:val="0000FF"/>
              </w:rPr>
            </w:pPr>
            <w:hyperlink w:anchor="page237">
              <w:r>
                <w:rPr>
                  <w:rFonts w:ascii="Arial" w:cs="Arial" w:eastAsia="Arial" w:hAnsi="Arial"/>
                  <w:sz w:val="18"/>
                  <w:szCs w:val="18"/>
                  <w:color w:val="0000FF"/>
                </w:rPr>
                <w:t>Unaudited Condensed Consolidated Statements of Cash Flows</w:t>
              </w:r>
            </w:hyperlink>
          </w:p>
        </w:tc>
        <w:tc>
          <w:tcPr>
            <w:tcW w:w="980" w:type="dxa"/>
            <w:vAlign w:val="bottom"/>
          </w:tcPr>
          <w:p>
            <w:pPr>
              <w:spacing w:after="0"/>
              <w:rPr>
                <w:sz w:val="18"/>
                <w:szCs w:val="18"/>
                <w:color w:val="auto"/>
              </w:rPr>
            </w:pPr>
          </w:p>
        </w:tc>
        <w:tc>
          <w:tcPr>
            <w:tcW w:w="1900" w:type="dxa"/>
            <w:vAlign w:val="bottom"/>
            <w:gridSpan w:val="3"/>
          </w:tcPr>
          <w:p>
            <w:pPr>
              <w:ind w:left="960"/>
              <w:spacing w:after="0"/>
              <w:rPr>
                <w:rFonts w:ascii="Arial" w:cs="Arial" w:eastAsia="Arial" w:hAnsi="Arial"/>
                <w:sz w:val="18"/>
                <w:szCs w:val="18"/>
                <w:color w:val="0000FF"/>
              </w:rPr>
            </w:pPr>
            <w:hyperlink w:anchor="page214">
              <w:r>
                <w:rPr>
                  <w:rFonts w:ascii="Arial" w:cs="Arial" w:eastAsia="Arial" w:hAnsi="Arial"/>
                  <w:sz w:val="18"/>
                  <w:szCs w:val="18"/>
                  <w:color w:val="0000FF"/>
                </w:rPr>
                <w:t>F-</w:t>
              </w:r>
            </w:hyperlink>
            <w:hyperlink w:anchor="page237">
              <w:r>
                <w:rPr>
                  <w:rFonts w:ascii="Arial" w:cs="Arial" w:eastAsia="Arial" w:hAnsi="Arial"/>
                  <w:sz w:val="18"/>
                  <w:szCs w:val="18"/>
                  <w:color w:val="0000FF"/>
                </w:rPr>
                <w:t>29</w:t>
              </w:r>
            </w:hyperlink>
          </w:p>
        </w:tc>
      </w:tr>
      <w:tr>
        <w:trPr>
          <w:trHeight w:val="20"/>
        </w:trPr>
        <w:tc>
          <w:tcPr>
            <w:tcW w:w="20" w:type="dxa"/>
            <w:vAlign w:val="bottom"/>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20" w:type="dxa"/>
            <w:vAlign w:val="bottom"/>
            <w:gridSpan w:val="6"/>
          </w:tcPr>
          <w:p>
            <w:pPr>
              <w:spacing w:after="0"/>
              <w:rPr>
                <w:rFonts w:ascii="Arial" w:cs="Arial" w:eastAsia="Arial" w:hAnsi="Arial"/>
                <w:sz w:val="18"/>
                <w:szCs w:val="18"/>
                <w:color w:val="0000FF"/>
              </w:rPr>
            </w:pPr>
            <w:hyperlink w:anchor="page238">
              <w:r>
                <w:rPr>
                  <w:rFonts w:ascii="Arial" w:cs="Arial" w:eastAsia="Arial" w:hAnsi="Arial"/>
                  <w:sz w:val="18"/>
                  <w:szCs w:val="18"/>
                  <w:color w:val="0000FF"/>
                </w:rPr>
                <w:t>Notes to the Unaudited Condensed Consolidated Financial Statements</w:t>
              </w:r>
            </w:hyperlink>
          </w:p>
        </w:tc>
        <w:tc>
          <w:tcPr>
            <w:tcW w:w="1900" w:type="dxa"/>
            <w:vAlign w:val="bottom"/>
            <w:gridSpan w:val="3"/>
          </w:tcPr>
          <w:p>
            <w:pPr>
              <w:ind w:left="960"/>
              <w:spacing w:after="0"/>
              <w:rPr>
                <w:rFonts w:ascii="Arial" w:cs="Arial" w:eastAsia="Arial" w:hAnsi="Arial"/>
                <w:sz w:val="18"/>
                <w:szCs w:val="18"/>
                <w:color w:val="0000FF"/>
              </w:rPr>
            </w:pPr>
            <w:hyperlink w:anchor="page215">
              <w:r>
                <w:rPr>
                  <w:rFonts w:ascii="Arial" w:cs="Arial" w:eastAsia="Arial" w:hAnsi="Arial"/>
                  <w:sz w:val="18"/>
                  <w:szCs w:val="18"/>
                  <w:color w:val="0000FF"/>
                </w:rPr>
                <w:t>F-</w:t>
              </w:r>
            </w:hyperlink>
            <w:hyperlink w:anchor="page238">
              <w:r>
                <w:rPr>
                  <w:rFonts w:ascii="Arial" w:cs="Arial" w:eastAsia="Arial" w:hAnsi="Arial"/>
                  <w:sz w:val="18"/>
                  <w:szCs w:val="18"/>
                  <w:color w:val="0000FF"/>
                </w:rPr>
                <w:t>30</w:t>
              </w:r>
            </w:hyperlink>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0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 w:right="339" w:bottom="1440" w:gutter="0" w:footer="0" w:header="0"/>
        </w:sectPr>
      </w:pPr>
    </w:p>
    <w:bookmarkStart w:id="210" w:name="page211"/>
    <w:bookmarkEnd w:id="21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080"/>
        <w:spacing w:after="0" w:line="45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Duolingo,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have audited the accompanying consolidated balance sheets of Duolingo, Inc. and subsidiaries (the “Company”) as of December 31, 2020 and 2019, the related consolidated statements of operations and comprehensive loss, convertible preferred stock and stockholders’ deficit, and cash flows, for the years ended December 31, 2020 and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ended December 31, 2020 and 2019,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0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As discussed in Notes 2 and 6 to the financial statements, the Company has changed its method of accounting for leases due to the adoption of Financial Accounting Standards Board Accounting Standards Update No. 2016-02, Leases (Topic 842), using the modified retrospective approach. Our opinion is not modified with respect to this matter.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144" w:right="399" w:bottom="1440" w:gutter="0" w:footer="0" w:header="0"/>
        </w:sectPr>
      </w:pPr>
    </w:p>
    <w:bookmarkStart w:id="211" w:name="page212"/>
    <w:bookmarkEnd w:id="21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78,923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r>
      <w:tr>
        <w:trPr>
          <w:trHeight w:val="223"/>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32,107</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73,821</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 (Note 10)</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Convertible preferred stock, $.0001 par value</w:t>
            </w:r>
            <w:r>
              <w:rPr>
                <w:rFonts w:ascii="Arial" w:cs="Arial" w:eastAsia="Arial" w:hAnsi="Arial"/>
                <w:sz w:val="18"/>
                <w:szCs w:val="18"/>
                <w:color w:val="auto"/>
              </w:rPr>
              <w:t>; 18,247 shares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137,686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19,074 shares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$.0001 par value; 42,800 authorized shares; 12,406 issued and outstanding at</w:t>
            </w:r>
          </w:p>
        </w:tc>
        <w:tc>
          <w:tcPr>
            <w:tcW w:w="3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2019 and 12,794 issued and outstanding at December 31, 2020.</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deficit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 w:right="339" w:bottom="1440" w:gutter="0" w:footer="0" w:header="0"/>
        </w:sectPr>
      </w:pPr>
    </w:p>
    <w:bookmarkStart w:id="212" w:name="page213"/>
    <w:bookmarkEnd w:id="21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8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45,987</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115,709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53,024</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34,983</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43,713</w:t>
            </w:r>
          </w:p>
        </w:tc>
      </w:tr>
      <w:tr>
        <w:trPr>
          <w:trHeight w:val="229"/>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Impairment of capitalized software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64,148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131,720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(16,011)</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(15,776)</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Basic and diluted net loss per share attributable to common stockholders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 w:right="339" w:bottom="1440" w:gutter="0" w:footer="0" w:header="0"/>
        </w:sectPr>
      </w:pPr>
    </w:p>
    <w:bookmarkStart w:id="213" w:name="page214"/>
    <w:bookmarkEnd w:id="21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6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Convertible Preferred Stock</w:t>
            </w:r>
          </w:p>
        </w:tc>
        <w:tc>
          <w:tcPr>
            <w:tcW w:w="206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160" w:type="dxa"/>
            <w:vAlign w:val="bottom"/>
            <w:gridSpan w:val="6"/>
            <w:vMerge w:val="continue"/>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continue"/>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BALANCE—January 1, 2019</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17,489</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107,838</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12,110</w:t>
            </w:r>
          </w:p>
        </w:tc>
        <w:tc>
          <w:tcPr>
            <w:tcW w:w="8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6,011</w:t>
            </w:r>
          </w:p>
        </w:tc>
        <w:tc>
          <w:tcPr>
            <w:tcW w:w="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(80,918)</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(74,906)</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Cumulative effect of adoption of ASC 842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88"/>
        </w:trPr>
        <w:tc>
          <w:tcPr>
            <w:tcW w:w="4000" w:type="dxa"/>
            <w:vAlign w:val="bottom"/>
            <w:shd w:val="clear" w:color="auto" w:fill="DBDBDB"/>
          </w:tcPr>
          <w:p>
            <w:pPr>
              <w:ind w:left="180"/>
              <w:spacing w:after="0" w:line="189" w:lineRule="exact"/>
              <w:rPr>
                <w:sz w:val="20"/>
                <w:szCs w:val="20"/>
                <w:color w:val="auto"/>
              </w:rPr>
            </w:pPr>
            <w:r>
              <w:rPr>
                <w:rFonts w:ascii="Arial" w:cs="Arial" w:eastAsia="Arial" w:hAnsi="Arial"/>
                <w:sz w:val="18"/>
                <w:szCs w:val="18"/>
                <w:color w:val="auto"/>
              </w:rPr>
              <w:t>Issuance of Series F convertible preferred</w:t>
            </w: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stock, net $153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Borders>
              <w:right w:val="single" w:sz="8" w:color="auto"/>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29"/>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Common stock repurchased and retired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BALANCE—December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137,686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right w:val="single" w:sz="8" w:color="auto"/>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shd w:val="clear" w:color="auto" w:fill="DBDBDB"/>
          </w:tcPr>
          <w:p>
            <w:pPr>
              <w:ind w:left="180"/>
              <w:spacing w:after="0" w:line="155" w:lineRule="exact"/>
              <w:rPr>
                <w:sz w:val="20"/>
                <w:szCs w:val="20"/>
                <w:color w:val="auto"/>
              </w:rPr>
            </w:pPr>
            <w:r>
              <w:rPr>
                <w:rFonts w:ascii="Arial" w:cs="Arial" w:eastAsia="Arial" w:hAnsi="Arial"/>
                <w:sz w:val="17"/>
                <w:szCs w:val="17"/>
                <w:color w:val="auto"/>
              </w:rPr>
              <w:t>Issuance of Series G and H convertible</w:t>
            </w: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tcBorders>
              <w:right w:val="single" w:sz="8" w:color="auto"/>
            </w:tcBorders>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preferred stock, net $76 of fees</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44,923</w:t>
            </w:r>
          </w:p>
        </w:tc>
        <w:tc>
          <w:tcPr>
            <w:tcW w:w="100" w:type="dxa"/>
            <w:vAlign w:val="bottom"/>
            <w:tcBorders>
              <w:right w:val="single" w:sz="8" w:color="auto"/>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8"/>
                <w:szCs w:val="18"/>
                <w:color w:val="auto"/>
              </w:rPr>
            </w:pPr>
          </w:p>
        </w:tc>
        <w:tc>
          <w:tcPr>
            <w:tcW w:w="94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30"/>
        </w:trPr>
        <w:tc>
          <w:tcPr>
            <w:tcW w:w="40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options exercised</w:t>
            </w: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Net loss and comprehensive loss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(15,776)</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48"/>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BALANCE—December 31, 2020</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12,794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(110,779)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(80,691)</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 w:right="339" w:bottom="1440" w:gutter="0" w:footer="0" w:header="0"/>
        </w:sectPr>
      </w:pPr>
    </w:p>
    <w:bookmarkStart w:id="214" w:name="page215"/>
    <w:bookmarkEnd w:id="21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Impairment of capitalized software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17,031</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Changes in: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28,485</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(10,445)</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Deferred cost of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(1,615)</w:t>
            </w: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6,213</w:t>
            </w:r>
          </w:p>
        </w:tc>
      </w:tr>
      <w:tr>
        <w:trPr>
          <w:trHeight w:val="230"/>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17,708</w:t>
            </w:r>
          </w:p>
        </w:tc>
      </w:tr>
      <w:tr>
        <w:trPr>
          <w:trHeight w:val="203"/>
        </w:trPr>
        <w:tc>
          <w:tcPr>
            <w:tcW w:w="798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(3,376)</w:t>
            </w: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w:t>
            </w: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Net proceeds from issuance of convertible preferred stock</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44,923</w:t>
            </w: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2,030</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30,970</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46,953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60,647</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 - Beginning of year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24,290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59,843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paid for interest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9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 w:right="339" w:bottom="1440" w:gutter="0" w:footer="0" w:header="0"/>
        </w:sectPr>
      </w:pPr>
    </w:p>
    <w:bookmarkStart w:id="215" w:name="page216"/>
    <w:bookmarkEnd w:id="21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Duolingo, Inc. (the “Company”) was formed on August 18, 2011 and the Duolingo app was launched to the general public on 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Pittsburgh, Pennsylvania.</w:t>
      </w:r>
    </w:p>
    <w:p>
      <w:pPr>
        <w:spacing w:after="0" w:line="18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subsidiaries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control. All intercompany transactions and balances have been eliminated.</w:t>
      </w:r>
    </w:p>
    <w:p>
      <w:pPr>
        <w:spacing w:after="0" w:line="9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(“GAAP”) from the Company’s accounting records and reflect the consolidated financial position and results of operations for the fiscal years ended December 31, 2019 and 2020. Unless otherwise specified, all dollar amounts in this section are presented in thousands.</w:t>
      </w:r>
    </w:p>
    <w:p>
      <w:pPr>
        <w:spacing w:after="0" w:line="107"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44" w:right="359" w:bottom="1440" w:gutter="0" w:footer="0" w:header="0"/>
        </w:sectPr>
      </w:pPr>
    </w:p>
    <w:bookmarkStart w:id="216" w:name="page217"/>
    <w:bookmarkEnd w:id="21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The novel coronavirus, or COVID-19, pandemic has created, and may continue to create, significant uncertainty in macroeconomic conditions. The full extent to which the COVID-19 pandemic will directly or indirectly impact the global economy, the lasting social effects, and impact on the Company’s business, results of operations, and financial condition will depend on future developments that are highly uncertain and cannot be accurately predicted. As of the date of issuance of the financial statements, the Company is not aware of any specific event of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 As events continue to evolve and additional information becomes available, the Company’s estimates and assumptions may change materially in future periods.</w:t>
      </w:r>
    </w:p>
    <w:p>
      <w:pPr>
        <w:spacing w:after="0" w:line="134"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has three predominant sources of revenue; time-based subscriptions, in-app advertising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third parties, and the Duolingo English Test. See Footnote 3 for further discussion.</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b w:val="1"/>
          <w:bCs w:val="1"/>
          <w:color w:val="auto"/>
        </w:rPr>
        <w:t>Deferred Revenue—</w:t>
      </w:r>
      <w:r>
        <w:rPr>
          <w:rFonts w:ascii="Arial" w:cs="Arial" w:eastAsia="Arial" w:hAnsi="Arial"/>
          <w:sz w:val="18"/>
          <w:szCs w:val="18"/>
          <w:color w:val="auto"/>
        </w:rPr>
        <w:t>Revenue is recognized over the life of the subscription, or in the case of Duolingo English Test, revenue is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test is proctored. The Company classifies deferred revenue as a short-term liability on the consolidated balance sheets as the longest subscription plan is for twelve months, and Duolingo English Test purchases must be taken within 90 days.</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Cost of Revenue—</w:t>
      </w:r>
      <w:r>
        <w:rPr>
          <w:rFonts w:ascii="Arial" w:cs="Arial" w:eastAsia="Arial" w:hAnsi="Arial"/>
          <w:sz w:val="18"/>
          <w:szCs w:val="18"/>
          <w:color w:val="auto"/>
        </w:rPr>
        <w:t>Cost of revenue predominantly consists of third-party payment processing fees charged by various distribution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hosting fees. To a much lesser extent, includes wages and share-based compensation for certain employees in the capacity of customer support, amortization of revenue generating capitalized software, and depreciation of certain property and equipment.</w:t>
      </w:r>
    </w:p>
    <w:p>
      <w:pPr>
        <w:spacing w:after="0" w:line="11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Deferred Cost of Revenue—</w:t>
      </w:r>
      <w:r>
        <w:rPr>
          <w:rFonts w:ascii="Arial" w:cs="Arial" w:eastAsia="Arial" w:hAnsi="Arial"/>
          <w:sz w:val="18"/>
          <w:szCs w:val="18"/>
          <w:color w:val="auto"/>
        </w:rPr>
        <w:t>Deferred cost of revenue includes third-party payment processing fees amortized over the subscription terms in</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 to 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2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20,428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54,833</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59,843</w:t>
            </w:r>
          </w:p>
        </w:tc>
        <w:tc>
          <w:tcPr>
            <w:tcW w:w="100" w:type="dxa"/>
            <w:vAlign w:val="bottom"/>
            <w:tcBorders>
              <w:bottom w:val="single" w:sz="8" w:color="DBDBDB"/>
            </w:tcBorders>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—The Company adopted ASC 326, Credit Losses, on January 1, 2020. Accounts receivables are reported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sheets at the outstanding principal amount adjusted for any allowance for credit losses and any charge offs. The Company provides an allowance for credit losses to reduce trade receivables to their estimated net realizable value equal to the amount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 w:right="339" w:bottom="1440" w:gutter="0" w:footer="0" w:header="0"/>
        </w:sectPr>
      </w:pPr>
    </w:p>
    <w:bookmarkStart w:id="217" w:name="page218"/>
    <w:bookmarkEnd w:id="21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expected to be collected. This allowance is estimated based on historical collection experience, the aging of receivables, specific current and expected future macro-economic and market conditions, and assessments of the current creditworthiness and economic status of customers. Under previous guidance, judgments were made as to the Company’s ability to collect outstanding receivables and provided allowances for a portion of receivables when collection became doubtful.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2019 and 2020, the Company has not recorded a reserve given the Company’s lack of historical write offs.</w:t>
      </w:r>
    </w:p>
    <w:p>
      <w:pPr>
        <w:spacing w:after="0" w:line="12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—The Company classified its debt securities as available-for-sale and reported them at fair value. Interest income was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as earned and included accretion of discounts and amortization of premiums using the effective yield method and was recorded in other income within the statements of operations. During 2019, the Company sold all their investments.</w:t>
      </w:r>
    </w:p>
    <w:p>
      <w:pPr>
        <w:spacing w:after="0" w:line="116"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stated at cost, less accumulated depreciation. Depreciation is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5380" w:type="dxa"/>
            <w:vAlign w:val="bottom"/>
            <w:tcBorders>
              <w:bottom w:val="single" w:sz="8" w:color="auto"/>
            </w:tcBorders>
          </w:tcPr>
          <w:p>
            <w:pPr>
              <w:jc w:val="center"/>
              <w:ind w:left="2396"/>
              <w:spacing w:after="0"/>
              <w:rPr>
                <w:sz w:val="20"/>
                <w:szCs w:val="20"/>
                <w:color w:val="auto"/>
              </w:rPr>
            </w:pPr>
            <w:r>
              <w:rPr>
                <w:rFonts w:ascii="Arial" w:cs="Arial" w:eastAsia="Arial" w:hAnsi="Arial"/>
                <w:sz w:val="14"/>
                <w:szCs w:val="14"/>
                <w:b w:val="1"/>
                <w:bCs w:val="1"/>
                <w:color w:val="auto"/>
              </w:rPr>
              <w:t>Estimated Useful Life</w:t>
            </w:r>
          </w:p>
        </w:tc>
      </w:tr>
      <w:tr>
        <w:trPr>
          <w:trHeight w:val="223"/>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Furniture, fixtures and equipment</w:t>
            </w:r>
          </w:p>
        </w:tc>
        <w:tc>
          <w:tcPr>
            <w:tcW w:w="5380" w:type="dxa"/>
            <w:vAlign w:val="bottom"/>
            <w:shd w:val="clear" w:color="auto" w:fill="DBDBDB"/>
          </w:tcPr>
          <w:p>
            <w:pPr>
              <w:jc w:val="center"/>
              <w:ind w:left="2396"/>
              <w:spacing w:after="0"/>
              <w:rPr>
                <w:sz w:val="20"/>
                <w:szCs w:val="20"/>
                <w:color w:val="auto"/>
              </w:rPr>
            </w:pPr>
            <w:r>
              <w:rPr>
                <w:rFonts w:ascii="Arial" w:cs="Arial" w:eastAsia="Arial" w:hAnsi="Arial"/>
                <w:sz w:val="18"/>
                <w:szCs w:val="18"/>
                <w:color w:val="auto"/>
                <w:w w:val="99"/>
              </w:rPr>
              <w:t>5 to 7 years</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380" w:type="dxa"/>
            <w:vAlign w:val="bottom"/>
          </w:tcPr>
          <w:p>
            <w:pPr>
              <w:jc w:val="center"/>
              <w:ind w:left="2396"/>
              <w:spacing w:after="0"/>
              <w:rPr>
                <w:sz w:val="20"/>
                <w:szCs w:val="20"/>
                <w:color w:val="auto"/>
              </w:rPr>
            </w:pPr>
            <w:r>
              <w:rPr>
                <w:rFonts w:ascii="Arial" w:cs="Arial" w:eastAsia="Arial" w:hAnsi="Arial"/>
                <w:sz w:val="18"/>
                <w:szCs w:val="18"/>
                <w:color w:val="auto"/>
                <w:w w:val="99"/>
              </w:rPr>
              <w:t>4 to 6 years</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life of the lease or the estimated useful life of the leasehold improvements.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maintenance and repairs that do not extend the assets’ useful life are expensed as incurred.</w:t>
      </w:r>
    </w:p>
    <w:p>
      <w:pPr>
        <w:spacing w:after="0" w:line="16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Capitalized software</w:t>
      </w:r>
      <w:r>
        <w:rPr>
          <w:rFonts w:ascii="Arial" w:cs="Arial" w:eastAsia="Arial" w:hAnsi="Arial"/>
          <w:sz w:val="18"/>
          <w:szCs w:val="18"/>
          <w:color w:val="auto"/>
        </w:rPr>
        <w:t>—The Company develops software for internal use and capitalizes the software development costs incurred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 $1,228 charge, which represents an impairment to write-off the capitalization of an internal-use software project prior to being launched to the user base during the year ended December 31, 2019. No assets were impaired during the year ended December 31, 2020.</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provides for income taxes in accordance with the asset and liability method. Under this method,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 w:right="339" w:bottom="1440" w:gutter="0" w:footer="0" w:header="0"/>
        </w:sectPr>
      </w:pPr>
    </w:p>
    <w:bookmarkStart w:id="218" w:name="page219"/>
    <w:bookmarkEnd w:id="21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second step is to measure the tax benefit as the largest amount that is 50% likely of being realized upon settlement with a taxing authority. There were no amounts recorded at December 31, 2019 and 2020 related to uncertain tax positions.</w:t>
      </w:r>
    </w:p>
    <w:p>
      <w:pPr>
        <w:spacing w:after="0" w:line="121"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b w:val="1"/>
          <w:bCs w:val="1"/>
          <w:color w:val="auto"/>
        </w:rPr>
        <w:t>Foreign Currency</w:t>
      </w:r>
      <w:r>
        <w:rPr>
          <w:rFonts w:ascii="Arial" w:cs="Arial" w:eastAsia="Arial" w:hAnsi="Arial"/>
          <w:sz w:val="17"/>
          <w:szCs w:val="17"/>
          <w:color w:val="auto"/>
        </w:rPr>
        <w:t>—The functional currency of the Company and its subsidiaries is the United States dollar. Transactions denominated in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other 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Other Comprehensive Loss</w:t>
      </w:r>
      <w:r>
        <w:rPr>
          <w:rFonts w:ascii="Arial" w:cs="Arial" w:eastAsia="Arial" w:hAnsi="Arial"/>
          <w:sz w:val="18"/>
          <w:szCs w:val="18"/>
          <w:color w:val="auto"/>
        </w:rPr>
        <w:t>—Comprehensive loss is defined as net income and all other non-owner changes in stockholders’ deficit.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comprehensive loss results from items deferred from recognition into the statements of operations. The Company follows the provisions of ASC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for the reporting and display of comprehensive loss and its components. The Company’s accumulated other comprehensive loss consists of the unrealized loss on investments. Accumulated other comprehensive loss is separately presented on the Company’s balance sheet as part of stockholders’ deficit.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718, Compensation—Stock Compensation, which requires the measurement and recognition of compensation expense for all share-based payment awards based on estimated fair values. This method requires companies to estimate the fair value of stock-based compensation on the date of grant using an option pricing model. The Company estimates the fair value of each equity-based payment award on the date of grant using the Black-Scholes pricing model.</w:t>
      </w:r>
    </w:p>
    <w:p>
      <w:pPr>
        <w:spacing w:after="0" w:line="14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estimates the expected volatility of its stock options by taking the average historical volatility of a group of comparable publicly traded companies over a period equal to the expected life of the options; it is not practical for the Company to estimate its own volatility due to the lack of a liquid market and historical prices. The expected term of the options is determined in accordance with existing equity agreements as the underlying options are assumed to be exercised upon the passage of time. The risk-free interest rate is the estimated average interest rate based on US Treasury zero-coupon notes with terms consistent with the expected life of the awards. The expected dividend yield is zero as the Company does not anticipate paying any recurring cash dividends in the foreseeable future. The Company accounts for forfeitures as they occur.</w:t>
      </w:r>
    </w:p>
    <w:p>
      <w:pPr>
        <w:spacing w:after="0" w:line="133"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 accounts for certain assets and liabilities at fair value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guidance applicable to fair value measurements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44" w:right="379" w:bottom="1440" w:gutter="0" w:footer="0" w:header="0"/>
        </w:sectPr>
      </w:pPr>
    </w:p>
    <w:bookmarkStart w:id="219" w:name="page220"/>
    <w:bookmarkEnd w:id="21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carrying values of cash, cash equivalents, accounts receivable, accounts payable, and accrued expenses are deemed to be reasonable estimates of their fair values because of their short-term nature.</w:t>
      </w:r>
    </w:p>
    <w:p>
      <w:pPr>
        <w:spacing w:after="0" w:line="12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expenses are incurred as the Company maintains and enhances its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evaluates and develops other potential applications. Such expenses include compensation of engineering, product design and testing personnel, including share-based compensation, materials, travel and direct costs associated with the design and required testing of our platform and depreciation of certain property and equipment.</w:t>
      </w:r>
    </w:p>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and social media spend, field marketing, travel, trade show sponsorships and events, conferences and other employee related compensation, including share-based compensation for personnel engaged in sales and marketing functions, and amortization of non-revenue generating capitalized software used to promote Duolingo, and depreciation of certain property and equipment. Advertising costs were approximately $9,642 and $27,352 for the years ended December 31, 2019 and 2020, respectively.</w:t>
      </w:r>
    </w:p>
    <w:p>
      <w:pPr>
        <w:spacing w:after="0" w:line="12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 primarily consists of employee related compensation (including share-based 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21"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The majority of our revenue comes through our subscriptions and advertising revenue streams and payments are made to Duolingo through service providers. The top two service providers, Apple and Google, accounted for 52.8% and 29.6% of total Accounts receivable as of December 31, 2019, respectively and the top three, Apple, Google and Stripe, accounted for 47.8%, 28.9% and 13.8% as of December 31, 2020, respectively.</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Three service providers, Apple, Google and Facebook, processed 55.2%, 23.5% and 10.0% of total revenue for the year ended December 31, 2019 and two service providers, Apple and Google, processed 51.3% and 26.9% of total revenue for the year ended December 31, 2020.</w:t>
      </w:r>
    </w:p>
    <w:p>
      <w:pPr>
        <w:spacing w:after="0" w:line="121"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color w:val="auto"/>
        </w:rPr>
        <w:t>Contingencie</w:t>
      </w:r>
      <w:r>
        <w:rPr>
          <w:rFonts w:ascii="Arial" w:cs="Arial" w:eastAsia="Arial" w:hAnsi="Arial"/>
          <w:sz w:val="18"/>
          <w:szCs w:val="18"/>
          <w:color w:val="auto"/>
        </w:rPr>
        <w:t>s—The Company records accruals for contingencies and legal proceedings expected to be incurred in connection with a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when it is probable that a liability has been incurred and the amount can be reasonably estimated.</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—The Company operates as a single operating segment. The chief operating decision maker of the Company is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who makes resource allocation decisions and assesses performance based on financial information presented on a consolidated basis, accompanied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 w:right="359" w:bottom="1440" w:gutter="0" w:footer="0" w:header="0"/>
        </w:sectPr>
      </w:pPr>
    </w:p>
    <w:bookmarkStart w:id="220" w:name="page221"/>
    <w:bookmarkEnd w:id="22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disaggregated information of our revenue. Accordingly, the Company has determined that it has a single reportable segment and operating segment structure, and operates as one reporting unit.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(ASU 2016-02)</w:t>
      </w:r>
      <w:r>
        <w:rPr>
          <w:rFonts w:ascii="Arial" w:cs="Arial" w:eastAsia="Arial" w:hAnsi="Arial"/>
          <w:sz w:val="18"/>
          <w:szCs w:val="18"/>
          <w:color w:val="auto"/>
        </w:rPr>
        <w:t>. ASU 2016-02 requires virtually all leases, other than leases that meet the definition of a short-term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balance sheet with a right-of-use (ROU) asset and corresponding lease liability. Leases will be classified as either operating or finance leases based on certain criteria. This classification will determine the timing and presentation of expenses on the income statement, as well as the presentation of related cash flows. The Company adopted this on January 1, 2019 using the modified retrospective approach. As an accounting policy election, the Company elected to exclude short term leases (initial term of 12 months or less) from the balance sheet and to account for non-lease and lease components separately for all asset classes. The Company recognized $5,798 of ROU assets related to operating leases in Operating lease right-of-use assets and $6,380 of corresponding lease liabilities, of which $187 is included in Accrued expenses and other liabilities and $6,193 is included in Long term obligation under operating leases on the consolidated balance sheets. The Company also recorded a Cumulative effect of adoption of new accounting standard to accumulated deficit of $363 .</w:t>
      </w:r>
    </w:p>
    <w:p>
      <w:pPr>
        <w:spacing w:after="0" w:line="137"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(ASU 2016-13)</w:t>
      </w:r>
      <w:r>
        <w:rPr>
          <w:rFonts w:ascii="Arial" w:cs="Arial" w:eastAsia="Arial" w:hAnsi="Arial"/>
          <w:sz w:val="18"/>
          <w:szCs w:val="18"/>
          <w:color w:val="auto"/>
        </w:rPr>
        <w:t>, which modifies the measurement of expected credit losses of certain financial instruments. This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 effective for private companies for fiscal years beginning after December 15, 2021, but early adoption is permitted. The Company adopted this guidance on January 1, 2020 and it did not have an impact on its consolidated financial statements and related disclosures upon adoption.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 Not Yet Adopted</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 (ASU 2018-15)</w:t>
      </w:r>
      <w:r>
        <w:rPr>
          <w:rFonts w:ascii="Arial" w:cs="Arial" w:eastAsia="Arial" w:hAnsi="Arial"/>
          <w:sz w:val="18"/>
          <w:szCs w:val="18"/>
          <w:color w:val="auto"/>
        </w:rPr>
        <w:t>.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hosting arrangement that is a service contract with the requirements for capitalizing implementation costs incurred to develop or obtain internal-use software. This new guidance will be effective for fiscal years beginning after December 15, 2020. The adoption of this ASU will not have a significant impact on the Company’s consolidated financial statements and related disclosures upon adoption.</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110"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 w:right="339" w:bottom="1440" w:gutter="0" w:footer="0" w:header="0"/>
        </w:sectPr>
      </w:pPr>
    </w:p>
    <w:bookmarkStart w:id="221" w:name="page222"/>
    <w:bookmarkEnd w:id="22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recorded net of taxes assessed by a government authority that are both imposed on and concurrent with specific revenue transactions between us and our users.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 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54"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not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89"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 w:right="339" w:bottom="1440" w:gutter="0" w:footer="0" w:header="0"/>
        </w:sectPr>
      </w:pPr>
    </w:p>
    <w:bookmarkStart w:id="222" w:name="page223"/>
    <w:bookmarkEnd w:id="22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15,912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Information regarding revenue by stream:</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Borders>
              <w:bottom w:val="single" w:sz="8" w:color="DBDBDB"/>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54,848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117,501</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Advertising</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14,118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Duolingo English Test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Other(1)</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161,696</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Other revenue is mainly comprised of in app purchases of virtual goods.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regarding geography of revenue is based upon the location where the users are located or, in the case of the Duolingo English Test, where the tests are taken: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33,307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70,978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 of World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37,453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90,718</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70,760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161,696</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Customers located in the United States accounted for 47% and 44% of total revenue for the year ended December 31, 2019 and 2020, respectively. No other country accounted for 10% or more of revenue for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9,034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Amount from beginning balance recognized into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(26,307)</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(45,814)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(91,193)</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Deferral of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54,792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 w:right="339" w:bottom="1440" w:gutter="0" w:footer="0" w:header="0"/>
        </w:sectPr>
      </w:pPr>
    </w:p>
    <w:bookmarkStart w:id="223" w:name="page224"/>
    <w:bookmarkEnd w:id="22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00" w:type="dxa"/>
            <w:vAlign w:val="bottom"/>
            <w:tcBorders>
              <w:bottom w:val="single" w:sz="8" w:color="DBDBDB"/>
            </w:tcBorders>
          </w:tcPr>
          <w:p>
            <w:pPr>
              <w:spacing w:after="0"/>
              <w:rPr>
                <w:sz w:val="24"/>
                <w:szCs w:val="24"/>
                <w:color w:val="auto"/>
              </w:rPr>
            </w:pPr>
          </w:p>
        </w:tc>
        <w:tc>
          <w:tcPr>
            <w:tcW w:w="758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3"/>
              <w:spacing w:after="0"/>
              <w:rPr>
                <w:sz w:val="20"/>
                <w:szCs w:val="20"/>
                <w:color w:val="auto"/>
              </w:rPr>
            </w:pPr>
            <w:r>
              <w:rPr>
                <w:rFonts w:ascii="Arial" w:cs="Arial" w:eastAsia="Arial" w:hAnsi="Arial"/>
                <w:sz w:val="18"/>
                <w:szCs w:val="18"/>
                <w:color w:val="auto"/>
                <w:w w:val="97"/>
              </w:rPr>
              <w:t>7,536</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7"/>
              </w:rPr>
              <w:t>1,959</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w:t>
            </w:r>
          </w:p>
        </w:tc>
        <w:tc>
          <w:tcPr>
            <w:tcW w:w="98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center"/>
              <w:ind w:left="513"/>
              <w:spacing w:after="0"/>
              <w:rPr>
                <w:sz w:val="20"/>
                <w:szCs w:val="20"/>
                <w:color w:val="auto"/>
              </w:rPr>
            </w:pPr>
            <w:r>
              <w:rPr>
                <w:rFonts w:ascii="Arial" w:cs="Arial" w:eastAsia="Arial" w:hAnsi="Arial"/>
                <w:sz w:val="18"/>
                <w:szCs w:val="18"/>
                <w:color w:val="auto"/>
                <w:w w:val="97"/>
              </w:rPr>
              <w:t>9,495</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3"/>
              <w:spacing w:after="0"/>
              <w:rPr>
                <w:sz w:val="20"/>
                <w:szCs w:val="20"/>
                <w:color w:val="auto"/>
              </w:rPr>
            </w:pPr>
            <w:r>
              <w:rPr>
                <w:rFonts w:ascii="Arial" w:cs="Arial" w:eastAsia="Arial" w:hAnsi="Arial"/>
                <w:sz w:val="18"/>
                <w:szCs w:val="18"/>
                <w:color w:val="auto"/>
              </w:rPr>
              <w:t>(3,067)</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property and equipment, net</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3"/>
              <w:spacing w:after="0"/>
              <w:rPr>
                <w:sz w:val="20"/>
                <w:szCs w:val="20"/>
                <w:color w:val="auto"/>
              </w:rPr>
            </w:pPr>
            <w:r>
              <w:rPr>
                <w:rFonts w:ascii="Arial" w:cs="Arial" w:eastAsia="Arial" w:hAnsi="Arial"/>
                <w:sz w:val="18"/>
                <w:szCs w:val="18"/>
                <w:color w:val="auto"/>
                <w:w w:val="97"/>
              </w:rPr>
              <w:t>6,428</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Depreciation expense was $527 and $1,624 in 2019 and 2020, respectively, and is predominately included within general and administrative, with nominal amounts in Cost of revenues, Research and development and Sales and marketing in the Company’s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CAPITALIZED SOFTWARE,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Capitalized software consists of the following as of December 31, 2019 and 2020:</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400" w:type="dxa"/>
            <w:vAlign w:val="bottom"/>
            <w:tcBorders>
              <w:bottom w:val="single" w:sz="8" w:color="DBDBDB"/>
            </w:tcBorders>
          </w:tcPr>
          <w:p>
            <w:pPr>
              <w:spacing w:after="0"/>
              <w:rPr>
                <w:sz w:val="24"/>
                <w:szCs w:val="24"/>
                <w:color w:val="auto"/>
              </w:rPr>
            </w:pPr>
          </w:p>
        </w:tc>
        <w:tc>
          <w:tcPr>
            <w:tcW w:w="7580" w:type="dxa"/>
            <w:vAlign w:val="bottom"/>
            <w:tcBorders>
              <w:bottom w:val="single" w:sz="8" w:color="DBDBDB"/>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98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7,444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center"/>
              <w:ind w:left="515"/>
              <w:spacing w:after="0"/>
              <w:rPr>
                <w:sz w:val="20"/>
                <w:szCs w:val="20"/>
                <w:color w:val="auto"/>
              </w:rPr>
            </w:pPr>
            <w:r>
              <w:rPr>
                <w:rFonts w:ascii="Arial" w:cs="Arial" w:eastAsia="Arial" w:hAnsi="Arial"/>
                <w:sz w:val="18"/>
                <w:szCs w:val="18"/>
                <w:color w:val="auto"/>
                <w:w w:val="97"/>
              </w:rPr>
              <w:t>8,181</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(5,885)</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98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7"/>
              </w:rPr>
              <w:t>1,791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center"/>
              <w:ind w:left="515"/>
              <w:spacing w:after="0"/>
              <w:rPr>
                <w:sz w:val="20"/>
                <w:szCs w:val="20"/>
                <w:color w:val="auto"/>
              </w:rPr>
            </w:pPr>
            <w:r>
              <w:rPr>
                <w:rFonts w:ascii="Arial" w:cs="Arial" w:eastAsia="Arial" w:hAnsi="Arial"/>
                <w:sz w:val="18"/>
                <w:szCs w:val="18"/>
                <w:color w:val="auto"/>
                <w:w w:val="97"/>
              </w:rPr>
              <w:t>2,296</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Amortization expense of $724 and $632 is recorded in the statements of operations in 2019 and 2020, respectively. For the year ended December 31, 2019, the Company recorded an impairment to write-off the capitalization of an internal-use software project prior to being launched to the user base. The associated amounts have been removed from the gross capitalized software balance and accumulated amortization in the table above.</w:t>
      </w:r>
    </w:p>
    <w:p>
      <w:pPr>
        <w:spacing w:after="0" w:line="1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Amortization expense is included within the following financial statement line items within the Company’s consolidated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80" w:type="dxa"/>
            <w:vAlign w:val="bottom"/>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DBDBDB"/>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As discussed in Note 2, “Accounting Policies”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on January 1, 2019. ASC 842 requires a lessee to recognize assets and liabilities on the balance sheet for all leases, with the result being the recognition of a right-of-use (ROU) asset and a corresponding lease liability. The lease liability is equal to the present value of the minimum lease payments for the term of the lease using the discount rate determined at lease commencement and including any optional renewal periods that were determined to be reasonably certain to be exercised. The ROU asset is equal to the initial measurement of the lease liability plus any lease payments made to the lessor at or before the commencement date and any unamortized initial indirect costs incurred by the lessee, less any unamortized lease incentives received. ROU assets are periodically reviewed for impairment whenever events or changes in circumstances arise. During the years ended December 31, 2019 and 2020, the Company incurred no impairment charges on ROU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 w:right="339" w:bottom="1440" w:gutter="0" w:footer="0" w:header="0"/>
        </w:sectPr>
      </w:pPr>
    </w:p>
    <w:bookmarkStart w:id="224" w:name="page225"/>
    <w:bookmarkEnd w:id="22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occupies certain facilities with lease agreements which may contain lease escalation clauses and purchase and renewal options. At the inception of a contract, the Company determines whether the arrangement is or contains a lease. A lease is determined to exist if there is an identified asset, the Company has the right to obtain substantially all of the economic benefits from the use of the identified asset, and also the right to direct the use of the asset. Once a lease is determined to exist, the Company determines the lease classification at lease commencement. Leases are classified as operating or finance leases based on specific criteria. The Company determined that it only has operating leases. Operating lease expense is recognized on a straight-line basis on the consolidated statements of operations in general and administrative expenses. On the consolidated statements of changes in cash flows, payments for operating leases, including the interest component, are included in operating activities.</w:t>
      </w:r>
    </w:p>
    <w:p>
      <w:pPr>
        <w:spacing w:after="0" w:line="15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2021 and 2035.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49"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During 2016, the Company moved into new office space under an operating lease that expires on May 31, 2030. The lease for the Company's office space provides the ability for the Company to cancel the lease with at least twelve months prior written notice; this ability starts on October 31, 2025. Additionally there is a five year extension option in the lease which the company has not included in the lease term. The remaining payments related to this lease agreement as of December 31, 2020 are approximately $9,568.</w:t>
      </w:r>
    </w:p>
    <w:p>
      <w:pPr>
        <w:spacing w:after="0" w:line="1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November 2019, the Company signed a new lease for contiguous space. The term of the newly executed lease is 127 months beginning on November 1, 2019 and expiring on May 31, 2030. The lease for the company's office space provides the ability for the Company to cancel the lease with at least twelve months prior written notice starting October 31, 2025. Additionally there is a five year extension option in the lease which the company has not included in the lease term. The remaining payments related to this lease agreement as of December 31, 2020 are approximately $2,380.</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Company applied ASC 842 to all existing leases at January 1, 2019 using the modified retrospective approach. As a result, prior period amounts have not been adjusted and continue to be reported in accordance with the Company’s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has elected to separate lease and non-lease components for all asset classes, did not elect to use hindsight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lease term, and made an accounting policy election for short-term leases which does not require the capitalization of leases with terms of 12 months or less at lease commencement.</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adoption of ASC 842 on January 1, 2019, the Company recognized $5,798 of ROU assets related to operating leases in Operating lease right-of-use assets and $6,380 of corresponding lease liabilities, of which $187 is included in Accrued expenses and other liabilities and $6,193 is included in Obligation under operating leases on the consolidated balance sheets. The difference is attributable to the deferred rent and tenant improvement allowance balance as of December 31, 2018 that reduced the ROU asset balance on January 1, 2019, of which $581 was removed from Long-term liabilities on the consolidated balance sheets. The Company also recorded a Cumulative effect of adoption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 w:right="339" w:bottom="1440" w:gutter="0" w:footer="0" w:header="0"/>
        </w:sectPr>
      </w:pPr>
    </w:p>
    <w:bookmarkStart w:id="225" w:name="page226"/>
    <w:bookmarkEnd w:id="22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accounting standard to accumulated deficit of $363. See Note 2, “Summary of Significant Accounting Policies” for further information on the impact of adoption.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components of lease cost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353"/>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580" w:type="dxa"/>
            <w:vAlign w:val="bottom"/>
            <w:tcBorders>
              <w:bottom w:val="single" w:sz="8" w:color="DBDBDB"/>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2020</w:t>
            </w:r>
          </w:p>
        </w:tc>
      </w:tr>
      <w:tr>
        <w:trPr>
          <w:trHeight w:val="223"/>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1,721</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5"/>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3"/>
              <w:spacing w:after="0"/>
              <w:rPr>
                <w:sz w:val="20"/>
                <w:szCs w:val="20"/>
                <w:color w:val="auto"/>
              </w:rPr>
            </w:pPr>
            <w:r>
              <w:rPr>
                <w:rFonts w:ascii="Arial" w:cs="Arial" w:eastAsia="Arial" w:hAnsi="Arial"/>
                <w:sz w:val="18"/>
                <w:szCs w:val="18"/>
                <w:color w:val="auto"/>
              </w:rPr>
              <w:t>1,624</w:t>
            </w:r>
          </w:p>
        </w:tc>
      </w:tr>
      <w:tr>
        <w:trPr>
          <w:trHeight w:val="229"/>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ind w:right="153"/>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Weighted-average remaining lease term</w:t>
            </w:r>
          </w:p>
        </w:tc>
        <w:tc>
          <w:tcPr>
            <w:tcW w:w="480" w:type="dxa"/>
            <w:vAlign w:val="bottom"/>
          </w:tcPr>
          <w:p>
            <w:pPr>
              <w:spacing w:after="0"/>
              <w:rPr>
                <w:sz w:val="19"/>
                <w:szCs w:val="19"/>
                <w:color w:val="auto"/>
              </w:rPr>
            </w:pPr>
          </w:p>
        </w:tc>
        <w:tc>
          <w:tcPr>
            <w:tcW w:w="1900" w:type="dxa"/>
            <w:vAlign w:val="bottom"/>
            <w:gridSpan w:val="2"/>
          </w:tcPr>
          <w:p>
            <w:pPr>
              <w:ind w:left="360"/>
              <w:spacing w:after="0"/>
              <w:rPr>
                <w:sz w:val="20"/>
                <w:szCs w:val="20"/>
                <w:color w:val="auto"/>
              </w:rPr>
            </w:pPr>
            <w:r>
              <w:rPr>
                <w:rFonts w:ascii="Arial" w:cs="Arial" w:eastAsia="Arial" w:hAnsi="Arial"/>
                <w:sz w:val="18"/>
                <w:szCs w:val="18"/>
                <w:color w:val="auto"/>
              </w:rPr>
              <w:t>9 years, 7 months</w:t>
            </w: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 years, 11 months</w:t>
            </w:r>
          </w:p>
        </w:tc>
      </w:tr>
      <w:tr>
        <w:trPr>
          <w:trHeight w:val="229"/>
        </w:trPr>
        <w:tc>
          <w:tcPr>
            <w:tcW w:w="6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480" w:type="dxa"/>
            <w:vAlign w:val="bottom"/>
            <w:shd w:val="clear" w:color="auto" w:fill="DBDBDB"/>
          </w:tcPr>
          <w:p>
            <w:pPr>
              <w:spacing w:after="0"/>
              <w:rPr>
                <w:sz w:val="19"/>
                <w:szCs w:val="19"/>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7 %</w:t>
            </w:r>
          </w:p>
        </w:tc>
      </w:tr>
    </w:tbl>
    <w:p>
      <w:pPr>
        <w:spacing w:after="0" w:line="2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Short-term lease cost of $235 and $317 and is recorded in the statements of operations in 2019 and 2020, respectively. The following table reconciles future minimum undiscounted rental commitments for operating leases to operating lease liabilities record on the consolidated balance sheet as of December 31, 2020:</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0"/>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r>
      <w:tr>
        <w:trPr>
          <w:trHeight w:val="223"/>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12,471</w:t>
            </w:r>
          </w:p>
        </w:tc>
      </w:tr>
      <w:tr>
        <w:trPr>
          <w:trHeight w:val="230"/>
        </w:trPr>
        <w:tc>
          <w:tcPr>
            <w:tcW w:w="9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r>
      <w:tr>
        <w:trPr>
          <w:trHeight w:val="248"/>
        </w:trPr>
        <w:tc>
          <w:tcPr>
            <w:tcW w:w="9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9,242</w:t>
            </w:r>
          </w:p>
        </w:tc>
      </w:tr>
      <w:tr>
        <w:trPr>
          <w:trHeight w:val="20"/>
        </w:trPr>
        <w:tc>
          <w:tcPr>
            <w:tcW w:w="966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Current lease liabilities of $974 and $1,111 are presented within Accrued expenses and other liabilities while non-current lease liabilities of $9,242 and $8,131 are presented within the obligation under operating leases, net on the consolidated balance sheets for the years ended December 31, 2019 and 2020 respectively.</w:t>
      </w:r>
    </w:p>
    <w:p>
      <w:pPr>
        <w:spacing w:after="0" w:line="114"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had no income tax provision during the year ended 2019. The Company has incurred $68 provision for income taxes for the year ended December 31, 2020, of which $26 was related to foreign income taxes and $42 for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 w:right="339" w:bottom="1440" w:gutter="0" w:footer="0" w:header="0"/>
        </w:sectPr>
      </w:pPr>
    </w:p>
    <w:bookmarkStart w:id="226" w:name="page227"/>
    <w:bookmarkEnd w:id="22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(liabilities) as of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20,479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4,936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DTA</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tax / VAT reserve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(26,236)</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7"/>
        </w:trPr>
        <w:tc>
          <w:tcPr>
            <w:tcW w:w="798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ROU asset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DTL</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r>
      <w:tr>
        <w:trPr>
          <w:trHeight w:val="237"/>
        </w:trPr>
        <w:tc>
          <w:tcPr>
            <w:tcW w:w="798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00" w:type="dxa"/>
            <w:vAlign w:val="bottom"/>
            <w:tcBorders>
              <w:bottom w:val="single" w:sz="8" w:color="auto"/>
            </w:tcBorders>
            <w:shd w:val="clear" w:color="auto" w:fill="DBDBDB"/>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has provided a valuation allowance for the net deferred tax asset as it is not more likely than not that the asset will be realized. The movement in valuation allowance of $2,385 is primarily related to the generation of additional net operating losses and research and development credits.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activity in our valuation allowance for the years ended December 31, 2019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94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3"/>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(23,851)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Valuation allowances established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(2,928)</w:t>
            </w:r>
          </w:p>
        </w:tc>
      </w:tr>
      <w:tr>
        <w:trPr>
          <w:trHeight w:val="230"/>
        </w:trPr>
        <w:tc>
          <w:tcPr>
            <w:tcW w:w="7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Release of valuation allowances</w:t>
            </w:r>
          </w:p>
        </w:tc>
        <w:tc>
          <w:tcPr>
            <w:tcW w:w="38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ind w:left="94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Ending balance—December 31</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(26,236)</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 w:right="339" w:bottom="1440" w:gutter="0" w:footer="0" w:header="0"/>
        </w:sectPr>
      </w:pPr>
    </w:p>
    <w:bookmarkStart w:id="227" w:name="page228"/>
    <w:bookmarkEnd w:id="22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amounts computed by applying the federal statutory rate as follows for the periods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60" w:type="dxa"/>
            <w:vAlign w:val="bottom"/>
            <w:gridSpan w:val="2"/>
          </w:tcPr>
          <w:p>
            <w:pPr>
              <w:ind w:left="8440"/>
              <w:spacing w:after="0"/>
              <w:rPr>
                <w:sz w:val="20"/>
                <w:szCs w:val="20"/>
                <w:color w:val="auto"/>
              </w:rPr>
            </w:pPr>
            <w:r>
              <w:rPr>
                <w:rFonts w:ascii="Arial" w:cs="Arial" w:eastAsia="Arial" w:hAnsi="Arial"/>
                <w:sz w:val="14"/>
                <w:szCs w:val="14"/>
                <w:b w:val="1"/>
                <w:bCs w:val="1"/>
                <w:color w:val="auto"/>
                <w:w w:val="96"/>
              </w:rPr>
              <w:t>2019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9"/>
        </w:trPr>
        <w:tc>
          <w:tcPr>
            <w:tcW w:w="7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Federal statutory rate</w:t>
            </w:r>
          </w:p>
        </w:tc>
        <w:tc>
          <w:tcPr>
            <w:tcW w:w="1020" w:type="dxa"/>
            <w:vAlign w:val="bottom"/>
            <w:tcBorders>
              <w:top w:val="single" w:sz="8" w:color="auto"/>
            </w:tcBorders>
            <w:shd w:val="clear" w:color="auto" w:fill="DBDBDB"/>
          </w:tcPr>
          <w:p>
            <w:pPr>
              <w:spacing w:after="0"/>
              <w:rPr>
                <w:sz w:val="19"/>
                <w:szCs w:val="19"/>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1.8</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Meals and entertainment</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(0.9)</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Commuter benefits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(18.4)</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GILTI</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3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permanent adjustments</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(0.3)</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10.2</w:t>
            </w:r>
          </w:p>
        </w:tc>
      </w:tr>
      <w:tr>
        <w:trPr>
          <w:trHeight w:val="229"/>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68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ind w:right="92"/>
              <w:spacing w:after="0"/>
              <w:rPr>
                <w:sz w:val="20"/>
                <w:szCs w:val="20"/>
                <w:color w:val="auto"/>
              </w:rPr>
            </w:pPr>
            <w:r>
              <w:rPr>
                <w:rFonts w:ascii="Arial" w:cs="Arial" w:eastAsia="Arial" w:hAnsi="Arial"/>
                <w:sz w:val="18"/>
                <w:szCs w:val="18"/>
                <w:color w:val="auto"/>
              </w:rPr>
              <w:t>(13.2)</w:t>
            </w:r>
          </w:p>
        </w:tc>
      </w:tr>
      <w:tr>
        <w:trPr>
          <w:trHeight w:val="250"/>
        </w:trPr>
        <w:tc>
          <w:tcPr>
            <w:tcW w:w="77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r>
      <w:tr>
        <w:trPr>
          <w:trHeight w:val="250"/>
        </w:trPr>
        <w:tc>
          <w:tcPr>
            <w:tcW w:w="8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Effective income tax rate</w:t>
            </w:r>
          </w:p>
        </w:tc>
        <w:tc>
          <w:tcPr>
            <w:tcW w:w="780" w:type="dxa"/>
            <w:vAlign w:val="bottom"/>
            <w:gridSpan w:val="2"/>
            <w:shd w:val="clear" w:color="auto" w:fill="DBDBDB"/>
          </w:tcPr>
          <w:p>
            <w:pPr>
              <w:ind w:left="26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2019 and 2020 effective tax rate is less than the statutory rate primarily as a result of the valuation allowance for net deferred tax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uncertain tax benefits have been recorded in 2019 or 2020, respectfully.</w:t>
      </w:r>
    </w:p>
    <w:p>
      <w:pPr>
        <w:spacing w:after="0" w:line="18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On December 22, 2017, the US government enacted comprehensive tax legislation under the Tax Cuts and Jobs Act (the “Tax Act”), which, among other things, included a provision designed to tax Global Intangible Low Tax Income (“GILTI”) earned by non-US corporate subsidiaries of US shareholders starting in 2018. Due to operations of a foreign subsidiary beginning in 2020, the Company has elected to account for any future GILTI tax liabilities as period costs and will expense those liabilities in the period incurred.</w:t>
      </w:r>
    </w:p>
    <w:p>
      <w:pPr>
        <w:spacing w:after="0" w:line="1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March 27, 2020, the “Coronavirus Aid, Relief and Economic Security (CARES) Act” (the “Act”) was signed into law. The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 Company analyzed the provisions of the Act and determined there was no significant impact to its income taxes for the year ended December 31, 2020.</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has approximately $82,231 in federal net operating loss carryforwards and approximately $41,096 in state net operating loss carryforwards. Certain of these loss carryforwards have an indefinite life and other amounts are available to offset future taxable income through 2040. The Company has approximately $4,936 in federal general business credits that are available to offset future taxable income through 2040. The Company is in the process of completing an IRC Section 382 and 383 analysis for 2020 and will update the deferred tax assets for any changes in the NOLs and R&amp;D tax credit once the analysis is complete. Any future ownership changes could also impact the utilization of the NOLs and R&amp;D tax credits.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through the 2020 tax year remain subject to examination by federal and state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 w:right="339" w:bottom="1440" w:gutter="0" w:footer="0" w:header="0"/>
        </w:sectPr>
      </w:pPr>
    </w:p>
    <w:bookmarkStart w:id="228" w:name="page229"/>
    <w:bookmarkEnd w:id="22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December 31, 2019 and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December 31, 2019</w:t>
            </w:r>
          </w:p>
        </w:tc>
        <w:tc>
          <w:tcPr>
            <w:tcW w:w="150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Shares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9"/>
                <w:szCs w:val="9"/>
                <w:color w:val="auto"/>
              </w:rPr>
            </w:pPr>
          </w:p>
        </w:tc>
        <w:tc>
          <w:tcPr>
            <w:tcW w:w="1120" w:type="dxa"/>
            <w:vAlign w:val="bottom"/>
            <w:gridSpan w:val="2"/>
          </w:tcPr>
          <w:p>
            <w:pPr>
              <w:ind w:left="100"/>
              <w:spacing w:after="0" w:line="108" w:lineRule="exact"/>
              <w:rPr>
                <w:sz w:val="20"/>
                <w:szCs w:val="20"/>
                <w:color w:val="auto"/>
              </w:rPr>
            </w:pPr>
            <w:r>
              <w:rPr>
                <w:rFonts w:ascii="Arial" w:cs="Arial" w:eastAsia="Arial" w:hAnsi="Arial"/>
                <w:sz w:val="12"/>
                <w:szCs w:val="12"/>
                <w:b w:val="1"/>
                <w:bCs w:val="1"/>
                <w:color w:val="auto"/>
              </w:rPr>
              <w:t>Aggregate</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jc w:val="center"/>
              <w:ind w:right="58"/>
              <w:spacing w:after="0" w:line="108" w:lineRule="exact"/>
              <w:rPr>
                <w:sz w:val="20"/>
                <w:szCs w:val="20"/>
                <w:color w:val="auto"/>
              </w:rPr>
            </w:pPr>
            <w:r>
              <w:rPr>
                <w:rFonts w:ascii="Arial" w:cs="Arial" w:eastAsia="Arial" w:hAnsi="Arial"/>
                <w:sz w:val="12"/>
                <w:szCs w:val="12"/>
                <w:b w:val="1"/>
                <w:bCs w:val="1"/>
                <w:color w:val="auto"/>
              </w:rPr>
              <w:t>Carrying value of</w:t>
            </w:r>
          </w:p>
        </w:tc>
        <w:tc>
          <w:tcPr>
            <w:tcW w:w="0" w:type="dxa"/>
            <w:vAlign w:val="bottom"/>
          </w:tcPr>
          <w:p>
            <w:pPr>
              <w:spacing w:after="0"/>
              <w:rPr>
                <w:sz w:val="1"/>
                <w:szCs w:val="1"/>
                <w:color w:val="auto"/>
              </w:rPr>
            </w:pPr>
          </w:p>
        </w:tc>
      </w:tr>
      <w:tr>
        <w:trPr>
          <w:trHeight w:val="122"/>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0"/>
                <w:szCs w:val="10"/>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38"/>
              <w:spacing w:after="0" w:line="122" w:lineRule="exact"/>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75"/>
        </w:trPr>
        <w:tc>
          <w:tcPr>
            <w:tcW w:w="1820" w:type="dxa"/>
            <w:vAlign w:val="bottom"/>
            <w:tcBorders>
              <w:bottom w:val="single" w:sz="8" w:color="DBDBDB"/>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137,686</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3"/>
                <w:szCs w:val="13"/>
                <w:b w:val="1"/>
                <w:bCs w:val="1"/>
                <w:color w:val="auto"/>
              </w:rPr>
              <w:t>December 31, 2020</w:t>
            </w: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820" w:type="dxa"/>
            <w:vAlign w:val="bottom"/>
            <w:vMerge w:val="continue"/>
          </w:tcPr>
          <w:p>
            <w:pPr>
              <w:spacing w:after="0"/>
              <w:rPr>
                <w:sz w:val="24"/>
                <w:szCs w:val="24"/>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color w:val="auto"/>
              </w:rPr>
              <w:t>Shares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Aggregate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8"/>
              <w:spacing w:after="0" w:line="140" w:lineRule="exact"/>
              <w:rPr>
                <w:sz w:val="20"/>
                <w:szCs w:val="20"/>
                <w:color w:val="auto"/>
              </w:rPr>
            </w:pPr>
            <w:r>
              <w:rPr>
                <w:rFonts w:ascii="Arial" w:cs="Arial" w:eastAsia="Arial" w:hAnsi="Arial"/>
                <w:sz w:val="13"/>
                <w:szCs w:val="13"/>
                <w:b w:val="1"/>
                <w:bCs w:val="1"/>
                <w:color w:val="auto"/>
                <w:w w:val="97"/>
              </w:rPr>
              <w:t>Carrying value of</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Series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Per share price</w:t>
            </w:r>
          </w:p>
        </w:tc>
        <w:tc>
          <w:tcPr>
            <w:tcW w:w="20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liquidation</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38"/>
              <w:spacing w:after="0"/>
              <w:rPr>
                <w:sz w:val="20"/>
                <w:szCs w:val="20"/>
                <w:color w:val="auto"/>
              </w:rPr>
            </w:pPr>
            <w:r>
              <w:rPr>
                <w:rFonts w:ascii="Arial" w:cs="Arial" w:eastAsia="Arial" w:hAnsi="Arial"/>
                <w:sz w:val="13"/>
                <w:szCs w:val="13"/>
                <w:b w:val="1"/>
                <w:bCs w:val="1"/>
                <w:color w:val="auto"/>
                <w:w w:val="96"/>
              </w:rPr>
              <w:t>convertible preferred</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DBDBDB"/>
            </w:tcBorders>
            <w:vMerge w:val="continue"/>
          </w:tcPr>
          <w:p>
            <w:pPr>
              <w:spacing w:after="0"/>
              <w:rPr>
                <w:sz w:val="17"/>
                <w:szCs w:val="17"/>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Authorized</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8"/>
              </w:rPr>
              <w:t>at issuance</w:t>
            </w: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preference</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6"/>
              </w:rPr>
              <w:t>Funds received</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8"/>
              </w:rPr>
              <w:t>Fees incurred</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4"/>
              </w:rPr>
              <w:t>stock</w:t>
            </w:r>
          </w:p>
        </w:tc>
        <w:tc>
          <w:tcPr>
            <w:tcW w:w="0" w:type="dxa"/>
            <w:vAlign w:val="bottom"/>
          </w:tcPr>
          <w:p>
            <w:pPr>
              <w:spacing w:after="0"/>
              <w:rPr>
                <w:sz w:val="1"/>
                <w:szCs w:val="1"/>
                <w:color w:val="auto"/>
              </w:rPr>
            </w:pPr>
          </w:p>
        </w:tc>
      </w:tr>
      <w:tr>
        <w:trPr>
          <w:trHeight w:val="223"/>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B</w:t>
            </w:r>
          </w:p>
        </w:tc>
        <w:tc>
          <w:tcPr>
            <w:tcW w:w="12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29"/>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D</w:t>
            </w:r>
          </w:p>
        </w:tc>
        <w:tc>
          <w:tcPr>
            <w:tcW w:w="12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F</w:t>
            </w: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30"/>
        </w:trPr>
        <w:tc>
          <w:tcPr>
            <w:tcW w:w="1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0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0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November 2019, the Company completed the Series F Convertible Preferred Stock (Series F) financing and issued 758 shares of Series F preferred stock to accredited investors for $39.57 per share, generating gross proceeds of $30,000 and incurring issuance costs of $153, which were recorded as a reduction to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 w:right="339" w:bottom="1440" w:gutter="0" w:footer="0" w:header="0"/>
        </w:sectPr>
      </w:pPr>
    </w:p>
    <w:bookmarkStart w:id="229" w:name="page230"/>
    <w:bookmarkEnd w:id="22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In April 2020, the Company completed the Series G Convertible Preferred Stock (Series G) financing and issued 241 shares of Series G preferred stock to accredited investors for $41.38 per share, generating gross proceeds of $10,000 and incurring issuance costs of $24, which were recorded as a reduction to the carrying value of the convertible preferred stock.</w:t>
      </w:r>
    </w:p>
    <w:p>
      <w:pPr>
        <w:spacing w:after="0" w:line="14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November 2020, the Company completed the Series H Convertible Preferred Stock (Series H) financing and issued 586 shares of Series H preferred stock to accredited investors for $59.77 per share, generating gross proceeds of $35,000 and incurring issuance costs of $52, which were recorded as a reduction to the carrying value of the convertible preferred stock.</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117"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(RSUs)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RSUs. Each RSU award vests based upon the satisfaction, during the term of the RSUs, of two requirements: length of service and a liquidity event defined as a change in control or a qualified IPO.</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compensation expense has been included for RSUs as the vesting conditions are not probable. As of December 31, 2020, the Company had granted 34 RSUs, with a weighted-average grant date fair value of $38.08.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320" w:top="144" w:right="399" w:bottom="1440" w:gutter="0" w:footer="0" w:header="0"/>
        </w:sectPr>
      </w:pPr>
    </w:p>
    <w:bookmarkStart w:id="230" w:name="page231"/>
    <w:bookmarkEnd w:id="23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2020 and 2019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2019</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4,899</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2019</w:t>
            </w:r>
          </w:p>
        </w:tc>
        <w:tc>
          <w:tcPr>
            <w:tcW w:w="1540" w:type="dxa"/>
            <w:vAlign w:val="bottom"/>
          </w:tcPr>
          <w:p>
            <w:pPr>
              <w:jc w:val="right"/>
              <w:spacing w:after="0"/>
              <w:rPr>
                <w:sz w:val="20"/>
                <w:szCs w:val="20"/>
                <w:color w:val="auto"/>
              </w:rPr>
            </w:pPr>
            <w:r>
              <w:rPr>
                <w:rFonts w:ascii="Arial" w:cs="Arial" w:eastAsia="Arial" w:hAnsi="Arial"/>
                <w:sz w:val="18"/>
                <w:szCs w:val="18"/>
                <w:color w:val="auto"/>
              </w:rPr>
              <w:t>6,507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51,488</w:t>
            </w:r>
          </w:p>
        </w:tc>
        <w:tc>
          <w:tcPr>
            <w:tcW w:w="0" w:type="dxa"/>
            <w:vAlign w:val="bottom"/>
          </w:tcPr>
          <w:p>
            <w:pPr>
              <w:spacing w:after="0"/>
              <w:rPr>
                <w:sz w:val="1"/>
                <w:szCs w:val="1"/>
                <w:color w:val="auto"/>
              </w:rPr>
            </w:pP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21.49</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Repurchased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at December 31, 2020</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4,190</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5.65</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6.04</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137,142</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total weighted-average grant date fair value of options granted was $4.27 and $9.77 and for the years ended December 31, 2019 and 2020, respectively. The total intrinsic value of options exercised was approximately $6,058 during the year ended December 31, 2020. There were 1,491 and 475 options available for grant at December 31, 2019 and 2020, respectively.</w:t>
      </w:r>
    </w:p>
    <w:p>
      <w:pPr>
        <w:spacing w:after="0" w:line="149"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of December 31, 2020, there was approximately $27,966 of unrecognized compensation cost related to stock options granted under the plan. That cost is expected to be recognized over a weighted-average period of approximately three years. The amount of unrecognized compensation expense for RSUs as of December 31, 2020 was $1,311 with a weighted-average remaining contractual life of 3.67 years, for a total unrecognized compensation expense of $29,276.</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November 18, 2020, a secondary sale transaction was completed between certain founders and employees of the Company and a new investor. The investor purchased 468 shares of common stock at a purchase price of $59.77 per share, which was deemed in excess of the fair market value of the common stock of $38.08 per share on the date of purchase. The Company did not arrange these transactions but did waive its right of first refusal in order to permit such transactions. Further, the Company did not receive any proceeds from these transactions. Stock-based compensation expenses of $10,158 were recognized in the consolidated statements of operations and comprehensive loss within general and administrative expense for the year ended December 31, 2020, to reflect the difference in the Company’s fair market value of its common stock and the purchase price.</w:t>
      </w:r>
    </w:p>
    <w:p>
      <w:pPr>
        <w:spacing w:after="0" w:line="1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$3,725 and $17,031 in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 w:right="339" w:bottom="1440" w:gutter="0" w:footer="0" w:header="0"/>
        </w:sectPr>
      </w:pPr>
    </w:p>
    <w:bookmarkStart w:id="231" w:name="page232"/>
    <w:bookmarkEnd w:id="23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expense is included in the consolidated statements of operations as shown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13,904</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17,031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Nominal amounts of stock based compensation expense was capitalized into capitalized software for the years ended December 31, 2019 and 2020.</w:t>
      </w:r>
    </w:p>
    <w:p>
      <w:pPr>
        <w:spacing w:after="0" w:line="14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Borders>
              <w:bottom w:val="single" w:sz="8" w:color="DBDBDB"/>
            </w:tcBorders>
          </w:tcPr>
          <w:p>
            <w:pPr>
              <w:spacing w:after="0"/>
              <w:rPr>
                <w:sz w:val="16"/>
                <w:szCs w:val="16"/>
                <w:color w:val="auto"/>
              </w:rPr>
            </w:pPr>
          </w:p>
        </w:tc>
        <w:tc>
          <w:tcPr>
            <w:tcW w:w="244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6"/>
                <w:szCs w:val="16"/>
                <w:color w:val="auto"/>
              </w:rPr>
            </w:pPr>
          </w:p>
        </w:tc>
        <w:tc>
          <w:tcPr>
            <w:tcW w:w="21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23"/>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1.60–2.52%</w:t>
            </w: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0.32–0.68%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2540" w:type="dxa"/>
            <w:vAlign w:val="bottom"/>
            <w:gridSpan w:val="2"/>
          </w:tcPr>
          <w:p>
            <w:pPr>
              <w:ind w:left="1580"/>
              <w:spacing w:after="0"/>
              <w:rPr>
                <w:sz w:val="20"/>
                <w:szCs w:val="20"/>
                <w:color w:val="auto"/>
              </w:rPr>
            </w:pPr>
            <w:r>
              <w:rPr>
                <w:rFonts w:ascii="Arial" w:cs="Arial" w:eastAsia="Arial" w:hAnsi="Arial"/>
                <w:sz w:val="18"/>
                <w:szCs w:val="18"/>
                <w:color w:val="auto"/>
              </w:rPr>
              <w:t>5.97 years</w:t>
            </w:r>
          </w:p>
        </w:tc>
        <w:tc>
          <w:tcPr>
            <w:tcW w:w="2180" w:type="dxa"/>
            <w:vAlign w:val="bottom"/>
          </w:tcPr>
          <w:p>
            <w:pPr>
              <w:jc w:val="right"/>
              <w:spacing w:after="0"/>
              <w:rPr>
                <w:sz w:val="20"/>
                <w:szCs w:val="20"/>
                <w:color w:val="auto"/>
              </w:rPr>
            </w:pPr>
            <w:r>
              <w:rPr>
                <w:rFonts w:ascii="Arial" w:cs="Arial" w:eastAsia="Arial" w:hAnsi="Arial"/>
                <w:sz w:val="18"/>
                <w:szCs w:val="18"/>
                <w:color w:val="auto"/>
              </w:rPr>
              <w:t>6.01 years</w:t>
            </w:r>
          </w:p>
        </w:tc>
      </w:tr>
      <w:tr>
        <w:trPr>
          <w:trHeight w:val="230"/>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volatility</w:t>
            </w:r>
          </w:p>
        </w:tc>
        <w:tc>
          <w:tcPr>
            <w:tcW w:w="2540" w:type="dxa"/>
            <w:vAlign w:val="bottom"/>
            <w:gridSpan w:val="2"/>
            <w:shd w:val="clear" w:color="auto" w:fill="DBDBDB"/>
          </w:tcPr>
          <w:p>
            <w:pPr>
              <w:jc w:val="right"/>
              <w:ind w:right="120"/>
              <w:spacing w:after="0"/>
              <w:rPr>
                <w:sz w:val="20"/>
                <w:szCs w:val="20"/>
                <w:color w:val="auto"/>
              </w:rPr>
            </w:pPr>
            <w:r>
              <w:rPr>
                <w:rFonts w:ascii="Arial" w:cs="Arial" w:eastAsia="Arial" w:hAnsi="Arial"/>
                <w:sz w:val="18"/>
                <w:szCs w:val="18"/>
                <w:color w:val="auto"/>
              </w:rPr>
              <w:t>43.57 –46.65%</w:t>
            </w: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45.50 –49.38%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1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6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common stock</w:t>
            </w:r>
          </w:p>
        </w:tc>
        <w:tc>
          <w:tcPr>
            <w:tcW w:w="2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$7.48 - $14.42</w:t>
            </w:r>
          </w:p>
        </w:tc>
        <w:tc>
          <w:tcPr>
            <w:tcW w:w="100" w:type="dxa"/>
            <w:vAlign w:val="bottom"/>
            <w:shd w:val="clear" w:color="auto" w:fill="DBDBDB"/>
          </w:tcPr>
          <w:p>
            <w:pPr>
              <w:spacing w:after="0"/>
              <w:rPr>
                <w:sz w:val="19"/>
                <w:szCs w:val="19"/>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$14.42 - $38.08</w:t>
            </w:r>
          </w:p>
        </w:tc>
      </w:tr>
    </w:tbl>
    <w:p>
      <w:pPr>
        <w:spacing w:after="0" w:line="256"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risk-free interest rate is based on the US treasury yield curve in effect as of the grant date. When establishing the expected life assumptions, the Company annually reviews historical employee exercise behavior of option grants and other economic data impacting the period the stock options are expected to remain outstanding. Expected volatility is determined using a benchmark index of similar public companies. The Company based the assumed dividend yield on its expectation of not paying dividends in the foreseeable future. Because the Company’s common stock is not yet publicly traded, the Company must estimate the fair value of common stock. The Board estimates the fair value of the common stock at the time awards are granted based on factors such as valuations of comparable companies, the status of the Company’s development and sales efforts, revenue growth, and additional objective and subjective factors relating to the Company’s business.</w:t>
      </w:r>
    </w:p>
    <w:p>
      <w:pPr>
        <w:spacing w:after="0" w:line="120" w:lineRule="exact"/>
        <w:rPr>
          <w:sz w:val="20"/>
          <w:szCs w:val="20"/>
          <w:color w:val="auto"/>
        </w:rPr>
      </w:pPr>
    </w:p>
    <w:p>
      <w:pPr>
        <w:ind w:left="640" w:hanging="632"/>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color w:val="auto"/>
        </w:rPr>
        <w:t xml:space="preserve">Sales and use and value-added tax (VAT) </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 w:right="339" w:bottom="1440" w:gutter="0" w:footer="0" w:header="0"/>
        </w:sectPr>
      </w:pPr>
    </w:p>
    <w:bookmarkStart w:id="232" w:name="page233"/>
    <w:bookmarkEnd w:id="23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420" w:type="dxa"/>
            <w:vAlign w:val="bottom"/>
          </w:tcPr>
          <w:p>
            <w:pPr>
              <w:ind w:left="80"/>
              <w:spacing w:after="0"/>
              <w:rPr>
                <w:sz w:val="20"/>
                <w:szCs w:val="20"/>
                <w:color w:val="auto"/>
              </w:rPr>
            </w:pPr>
            <w:r>
              <w:rPr>
                <w:rFonts w:ascii="Arial" w:cs="Arial" w:eastAsia="Arial" w:hAnsi="Arial"/>
                <w:sz w:val="18"/>
                <w:szCs w:val="18"/>
                <w:b w:val="1"/>
                <w:bCs w:val="1"/>
                <w:color w:val="auto"/>
              </w:rPr>
              <w:t>ACCRUED EXPENSES AND OTHER LIABILITIES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1"/>
        </w:trPr>
        <w:tc>
          <w:tcPr>
            <w:tcW w:w="79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560" w:type="dxa"/>
            <w:vAlign w:val="bottom"/>
            <w:tcBorders>
              <w:bottom w:val="single" w:sz="8" w:color="DBDBDB"/>
            </w:tcBorders>
          </w:tcPr>
          <w:p>
            <w:pPr>
              <w:spacing w:after="0"/>
              <w:rPr>
                <w:sz w:val="15"/>
                <w:szCs w:val="15"/>
                <w:color w:val="auto"/>
              </w:rPr>
            </w:pPr>
          </w:p>
        </w:tc>
        <w:tc>
          <w:tcPr>
            <w:tcW w:w="742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Sales and VAT tax accrual</w:t>
            </w:r>
          </w:p>
        </w:tc>
        <w:tc>
          <w:tcPr>
            <w:tcW w:w="1000" w:type="dxa"/>
            <w:vAlign w:val="bottom"/>
            <w:shd w:val="clear" w:color="auto" w:fill="DBDBDB"/>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2,301</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Marketing related accruals</w:t>
            </w:r>
          </w:p>
        </w:tc>
        <w:tc>
          <w:tcPr>
            <w:tcW w:w="10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29"/>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Obligations under current leases</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1,111</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Employee related benefits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7420" w:type="dxa"/>
            <w:vAlign w:val="bottom"/>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2,820</w:t>
            </w:r>
          </w:p>
        </w:tc>
      </w:tr>
      <w:tr>
        <w:trPr>
          <w:trHeight w:val="223"/>
        </w:trPr>
        <w:tc>
          <w:tcPr>
            <w:tcW w:w="560" w:type="dxa"/>
            <w:vAlign w:val="bottom"/>
          </w:tcPr>
          <w:p>
            <w:pPr>
              <w:ind w:left="20"/>
              <w:spacing w:after="0"/>
              <w:rPr>
                <w:sz w:val="20"/>
                <w:szCs w:val="20"/>
                <w:color w:val="auto"/>
              </w:rPr>
            </w:pPr>
            <w:r>
              <w:rPr>
                <w:rFonts w:ascii="Arial" w:cs="Arial" w:eastAsia="Arial" w:hAnsi="Arial"/>
                <w:sz w:val="18"/>
                <w:szCs w:val="18"/>
                <w:color w:val="auto"/>
              </w:rPr>
              <w:t>Total</w:t>
            </w:r>
          </w:p>
        </w:tc>
        <w:tc>
          <w:tcPr>
            <w:tcW w:w="742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r>
      <w:tr>
        <w:trPr>
          <w:trHeight w:val="21"/>
        </w:trPr>
        <w:tc>
          <w:tcPr>
            <w:tcW w:w="5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Plan provides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$1,014 and $1,796 and during 2019 and 2020, respectively. The Company did not make any discretionary matching or profit sharing contributions during 2019 or 2020.</w:t>
      </w:r>
    </w:p>
    <w:p>
      <w:pPr>
        <w:spacing w:after="0" w:line="118"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(15,776)</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18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the Company was in a net loss position for the year ended December 31, 2019 and 2020, there is no difference between the number of shares used to calculate basic and diluted loss per share. The potential shares of common stock that were excluded from the computation of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 w:right="339" w:bottom="1440" w:gutter="0" w:footer="0" w:header="0"/>
        </w:sectPr>
      </w:pPr>
    </w:p>
    <w:bookmarkStart w:id="233" w:name="page234"/>
    <w:bookmarkEnd w:id="23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 for the period presented because including them would have been antidilutive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Number of Shares</w:t>
            </w:r>
          </w:p>
        </w:tc>
      </w:tr>
      <w:tr>
        <w:trPr>
          <w:trHeight w:val="183"/>
        </w:trPr>
        <w:tc>
          <w:tcPr>
            <w:tcW w:w="802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12/31/2020</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r>
      <w:tr>
        <w:trPr>
          <w:trHeight w:val="248"/>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21,436</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23,265</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were evaluated through April 30, 2021, the date that these consolidated financial statements were available to be issued.</w:t>
      </w:r>
    </w:p>
    <w:p>
      <w:pPr>
        <w:spacing w:after="0" w:line="1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shares underlying options were put back into the option pool and 23 shares were retired with an $868 increase to Additional paid-in capital.</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March 10, 2021, the Company announced that it is ending its non-employee volunteer program, which began in 2013 to build and improve the courses using an internal tool. As part of this change, those contributors who helped pave the way to Duolingo’s success will be eligible to receive a one-time award, up to an aggregate amount of approximately $5,098, including fees paid to process payments of approximately $526. The payments are expected to be paid out during the second quarter of 2021, but the expense will be recognized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 w:right="339" w:bottom="1440" w:gutter="0" w:footer="0" w:header="0"/>
        </w:sectPr>
      </w:pPr>
    </w:p>
    <w:bookmarkStart w:id="234" w:name="page235"/>
    <w:bookmarkEnd w:id="23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38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2021</w:t>
            </w:r>
          </w:p>
        </w:tc>
      </w:tr>
      <w:tr>
        <w:trPr>
          <w:trHeight w:val="210"/>
        </w:trPr>
        <w:tc>
          <w:tcPr>
            <w:tcW w:w="7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DBDBDB"/>
          </w:tcPr>
          <w:p>
            <w:pPr>
              <w:spacing w:after="0"/>
              <w:rPr>
                <w:sz w:val="18"/>
                <w:szCs w:val="18"/>
                <w:color w:val="auto"/>
              </w:rPr>
            </w:pPr>
          </w:p>
        </w:tc>
        <w:tc>
          <w:tcPr>
            <w:tcW w:w="14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380" w:type="dxa"/>
            <w:vAlign w:val="bottom"/>
            <w:tcBorders>
              <w:top w:val="single" w:sz="8" w:color="auto"/>
            </w:tcBorders>
            <w:shd w:val="clear" w:color="auto" w:fill="DBDBDB"/>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23,347</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cost of revenues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16,059</w:t>
            </w:r>
          </w:p>
        </w:tc>
      </w:tr>
      <w:tr>
        <w:trPr>
          <w:trHeight w:val="230"/>
        </w:trPr>
        <w:tc>
          <w:tcPr>
            <w:tcW w:w="79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23"/>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158,380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158,994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6,815</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7,260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176,874</w:t>
            </w:r>
          </w:p>
        </w:tc>
      </w:tr>
      <w:tr>
        <w:trPr>
          <w:trHeight w:val="20"/>
        </w:trPr>
        <w:tc>
          <w:tcPr>
            <w:tcW w:w="79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3,780</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65,262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14,956</w:t>
            </w:r>
          </w:p>
        </w:tc>
      </w:tr>
      <w:tr>
        <w:trPr>
          <w:trHeight w:val="223"/>
        </w:trPr>
        <w:tc>
          <w:tcPr>
            <w:tcW w:w="79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65,690</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84,078</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 term obligation under operating leases</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7,972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92,050</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Convertible preferred stock, $.0001 par value; 19,074 shares issued and outstanding at December</w:t>
            </w:r>
          </w:p>
        </w:tc>
        <w:tc>
          <w:tcPr>
            <w:tcW w:w="1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182,609</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31, 2020 and March 31, 2021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$.0001 par value; 42,800 authorized shares; 12,794 issued and outstanding at</w:t>
            </w:r>
          </w:p>
        </w:tc>
        <w:tc>
          <w:tcPr>
            <w:tcW w:w="1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17"/>
        </w:trPr>
        <w:tc>
          <w:tcPr>
            <w:tcW w:w="7980" w:type="dxa"/>
            <w:vAlign w:val="bottom"/>
          </w:tcPr>
          <w:p>
            <w:pPr>
              <w:ind w:left="180"/>
              <w:spacing w:after="0"/>
              <w:rPr>
                <w:sz w:val="20"/>
                <w:szCs w:val="20"/>
                <w:color w:val="auto"/>
              </w:rPr>
            </w:pPr>
            <w:r>
              <w:rPr>
                <w:rFonts w:ascii="Arial" w:cs="Arial" w:eastAsia="Arial" w:hAnsi="Arial"/>
                <w:sz w:val="18"/>
                <w:szCs w:val="18"/>
                <w:color w:val="auto"/>
              </w:rPr>
              <w:t>December 31, 2020 and 13,118 issued and outstanding at March 31, 2021.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30,087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26,465</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(110,779)</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(80,691)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(97,785)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176,874</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 w:right="339" w:bottom="1440" w:gutter="0" w:footer="0" w:header="0"/>
        </w:sectPr>
      </w:pPr>
    </w:p>
    <w:bookmarkStart w:id="235" w:name="page236"/>
    <w:bookmarkEnd w:id="23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DBDBDB"/>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28,112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55,360</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15,019</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19,898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22,529</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19,773</w:t>
            </w: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11,453</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22,353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53,755</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(13,414)</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 before provision for income taxes</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(13,455)</w:t>
            </w:r>
          </w:p>
        </w:tc>
      </w:tr>
      <w:tr>
        <w:trPr>
          <w:trHeight w:val="22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960" w:type="dxa"/>
            <w:vAlign w:val="bottom"/>
            <w:tcBorders>
              <w:bottom w:val="single" w:sz="8" w:color="auto"/>
            </w:tcBorders>
            <w:shd w:val="clear" w:color="auto" w:fill="DBDBDB"/>
          </w:tcPr>
          <w:p>
            <w:pPr>
              <w:jc w:val="right"/>
              <w:ind w:right="7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(13,472)</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7980" w:type="dxa"/>
            <w:vAlign w:val="bottom"/>
          </w:tcPr>
          <w:p>
            <w:pPr>
              <w:ind w:left="20"/>
              <w:spacing w:after="0"/>
              <w:rPr>
                <w:sz w:val="20"/>
                <w:szCs w:val="20"/>
                <w:color w:val="auto"/>
              </w:rPr>
            </w:pPr>
            <w:r>
              <w:rPr>
                <w:rFonts w:ascii="Arial" w:cs="Arial" w:eastAsia="Arial" w:hAnsi="Arial"/>
                <w:sz w:val="14"/>
                <w:szCs w:val="14"/>
                <w:color w:val="auto"/>
              </w:rPr>
              <w:t>Basic and diluted net loss per share attributable to common stockholders</w:t>
            </w:r>
          </w:p>
        </w:tc>
        <w:tc>
          <w:tcPr>
            <w:tcW w:w="960" w:type="dxa"/>
            <w:vAlign w:val="bottom"/>
            <w:tcBorders>
              <w:bottom w:val="single" w:sz="8" w:color="auto"/>
            </w:tcBorders>
          </w:tcPr>
          <w:p>
            <w:pPr>
              <w:jc w:val="right"/>
              <w:ind w:right="757"/>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 w:right="339" w:bottom="1440" w:gutter="0" w:footer="0" w:header="0"/>
        </w:sectPr>
      </w:pPr>
    </w:p>
    <w:bookmarkStart w:id="236" w:name="page237"/>
    <w:bookmarkEnd w:id="23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000" w:type="dxa"/>
            <w:vAlign w:val="bottom"/>
            <w:gridSpan w:val="5"/>
          </w:tcPr>
          <w:p>
            <w:pPr>
              <w:ind w:left="380"/>
              <w:spacing w:after="0"/>
              <w:rPr>
                <w:sz w:val="20"/>
                <w:szCs w:val="20"/>
                <w:color w:val="auto"/>
              </w:rPr>
            </w:pPr>
            <w:r>
              <w:rPr>
                <w:rFonts w:ascii="Arial" w:cs="Arial" w:eastAsia="Arial" w:hAnsi="Arial"/>
                <w:sz w:val="14"/>
                <w:szCs w:val="14"/>
                <w:b w:val="1"/>
                <w:bCs w:val="1"/>
                <w:color w:val="auto"/>
              </w:rPr>
              <w:t>Preferred Stock</w:t>
            </w:r>
          </w:p>
        </w:tc>
        <w:tc>
          <w:tcPr>
            <w:tcW w:w="190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BALANCE—Balance—January 1, 2020</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$ 137,686</w:t>
            </w:r>
          </w:p>
        </w:tc>
        <w:tc>
          <w:tcPr>
            <w:tcW w:w="100" w:type="dxa"/>
            <w:vAlign w:val="bottom"/>
            <w:tcBorders>
              <w:top w:val="single" w:sz="8" w:color="DBDBDB"/>
              <w:right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12,406</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11,026</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(95,003)</w:t>
            </w:r>
          </w:p>
        </w:tc>
        <w:tc>
          <w:tcPr>
            <w:tcW w:w="8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(83,976)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48"/>
        </w:trPr>
        <w:tc>
          <w:tcPr>
            <w:tcW w:w="44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BALANCE—March 31, 2020</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$ 137,686</w:t>
            </w:r>
          </w:p>
        </w:tc>
        <w:tc>
          <w:tcPr>
            <w:tcW w:w="10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12,456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12,462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(97,236)</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(84,773)</w:t>
            </w:r>
          </w:p>
        </w:tc>
        <w:tc>
          <w:tcPr>
            <w:tcW w:w="0" w:type="dxa"/>
            <w:vAlign w:val="bottom"/>
          </w:tcPr>
          <w:p>
            <w:pPr>
              <w:spacing w:after="0"/>
              <w:rPr>
                <w:sz w:val="1"/>
                <w:szCs w:val="1"/>
                <w:color w:val="auto"/>
              </w:rPr>
            </w:pP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right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Arial" w:cs="Arial" w:eastAsia="Arial" w:hAnsi="Arial"/>
                <w:sz w:val="18"/>
                <w:szCs w:val="18"/>
                <w:color w:val="auto"/>
              </w:rPr>
              <w:t>Balance—January 1, 2021</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19,074</w:t>
            </w: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9"/>
              </w:rPr>
              <w:t>$ 182,609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12,794</w:t>
            </w: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30,087</w:t>
            </w:r>
          </w:p>
        </w:tc>
        <w:tc>
          <w:tcPr>
            <w:tcW w:w="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(110,779)</w:t>
            </w: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 (80,691)</w:t>
            </w:r>
          </w:p>
        </w:tc>
        <w:tc>
          <w:tcPr>
            <w:tcW w:w="0" w:type="dxa"/>
            <w:vAlign w:val="bottom"/>
          </w:tcPr>
          <w:p>
            <w:pPr>
              <w:spacing w:after="0"/>
              <w:rPr>
                <w:sz w:val="1"/>
                <w:szCs w:val="1"/>
                <w:color w:val="auto"/>
              </w:rPr>
            </w:pPr>
          </w:p>
        </w:tc>
      </w:tr>
      <w:tr>
        <w:trPr>
          <w:trHeight w:val="229"/>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20" w:type="dxa"/>
            <w:vAlign w:val="bottom"/>
            <w:gridSpan w:val="2"/>
            <w:shd w:val="clear" w:color="auto" w:fill="DBDBDB"/>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Options repurchased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loss and comprehensive loss</w:t>
            </w: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63"/>
        </w:trPr>
        <w:tc>
          <w:tcPr>
            <w:tcW w:w="4400" w:type="dxa"/>
            <w:vAlign w:val="bottom"/>
          </w:tcPr>
          <w:p>
            <w:pPr>
              <w:ind w:left="20"/>
              <w:spacing w:after="0"/>
              <w:rPr>
                <w:sz w:val="20"/>
                <w:szCs w:val="20"/>
                <w:color w:val="auto"/>
              </w:rPr>
            </w:pPr>
            <w:r>
              <w:rPr>
                <w:rFonts w:ascii="Arial" w:cs="Arial" w:eastAsia="Arial" w:hAnsi="Arial"/>
                <w:sz w:val="18"/>
                <w:szCs w:val="18"/>
                <w:color w:val="auto"/>
              </w:rPr>
              <w:t>BALANCE—March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19,074</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$ 182,609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(124,251)</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(97,785)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 w:right="339" w:bottom="1440" w:gutter="0" w:footer="0" w:header="0"/>
        </w:sectPr>
      </w:pPr>
    </w:p>
    <w:bookmarkStart w:id="237" w:name="page238"/>
    <w:bookmarkEnd w:id="23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Changes in:</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8,769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cost of revenue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Noncurrent assets and liabilities</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4,719</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5,123</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Capitalized software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used for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w:t>
            </w:r>
          </w:p>
        </w:tc>
        <w:tc>
          <w:tcPr>
            <w:tcW w:w="0" w:type="dxa"/>
            <w:vAlign w:val="bottom"/>
          </w:tcPr>
          <w:p>
            <w:pPr>
              <w:spacing w:after="0"/>
              <w:rPr>
                <w:sz w:val="1"/>
                <w:szCs w:val="1"/>
                <w:color w:val="auto"/>
              </w:rPr>
            </w:pPr>
          </w:p>
        </w:tc>
      </w:tr>
      <w:tr>
        <w:trPr>
          <w:trHeight w:val="216"/>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Repurchases of stock options</w:t>
            </w:r>
          </w:p>
        </w:tc>
        <w:tc>
          <w:tcPr>
            <w:tcW w:w="96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Payment of deferred offering costs</w:t>
            </w:r>
          </w:p>
        </w:tc>
        <w:tc>
          <w:tcPr>
            <w:tcW w:w="96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(used for) provided by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DBDBDB"/>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(6,376)</w:t>
            </w: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96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59,843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120,490</w:t>
            </w:r>
          </w:p>
        </w:tc>
        <w:tc>
          <w:tcPr>
            <w:tcW w:w="0" w:type="dxa"/>
            <w:vAlign w:val="bottom"/>
          </w:tcPr>
          <w:p>
            <w:pPr>
              <w:spacing w:after="0"/>
              <w:rPr>
                <w:sz w:val="1"/>
                <w:szCs w:val="1"/>
                <w:color w:val="auto"/>
              </w:rPr>
            </w:pPr>
          </w:p>
        </w:tc>
      </w:tr>
      <w:tr>
        <w:trPr>
          <w:trHeight w:val="255"/>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 - End of period</w:t>
            </w:r>
          </w:p>
        </w:tc>
        <w:tc>
          <w:tcPr>
            <w:tcW w:w="960" w:type="dxa"/>
            <w:vAlign w:val="bottom"/>
            <w:tcBorders>
              <w:bottom w:val="single" w:sz="8" w:color="auto"/>
            </w:tcBorders>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63,121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117,459</w:t>
            </w:r>
          </w:p>
        </w:tc>
        <w:tc>
          <w:tcPr>
            <w:tcW w:w="0" w:type="dxa"/>
            <w:vAlign w:val="bottom"/>
          </w:tcPr>
          <w:p>
            <w:pPr>
              <w:spacing w:after="0"/>
              <w:rPr>
                <w:sz w:val="1"/>
                <w:szCs w:val="1"/>
                <w:color w:val="auto"/>
              </w:rPr>
            </w:pPr>
          </w:p>
        </w:tc>
      </w:tr>
      <w:tr>
        <w:trPr>
          <w:trHeight w:val="20"/>
        </w:trPr>
        <w:tc>
          <w:tcPr>
            <w:tcW w:w="79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79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6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 included in accrued expenses</w:t>
            </w:r>
          </w:p>
        </w:tc>
        <w:tc>
          <w:tcPr>
            <w:tcW w:w="960" w:type="dxa"/>
            <w:vAlign w:val="bottom"/>
            <w:shd w:val="clear" w:color="auto" w:fill="DBDBDB"/>
          </w:tcPr>
          <w:p>
            <w:pPr>
              <w:jc w:val="right"/>
              <w:ind w:right="755"/>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 w:right="339" w:bottom="1440" w:gutter="0" w:footer="0" w:header="0"/>
        </w:sectPr>
      </w:pPr>
    </w:p>
    <w:bookmarkStart w:id="238" w:name="page239"/>
    <w:bookmarkEnd w:id="23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5"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Duolingo, Inc. (the “Company”) was formed on August 18, 2011 and the Duolingo app was launched to the general public on June 19,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Pittsburgh, Pennsylvania.</w:t>
      </w:r>
    </w:p>
    <w:p>
      <w:pPr>
        <w:spacing w:after="0" w:line="18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Duolingo is a US-based language-learning website and mobile app, as well as a digital language proficiency assessment exam. The Company has a freemium business model: the app and the website are accessible free of charge, although Duolingo also offers a premium service, Duolingo Plus, for a subscription fee. As of the date of this filing, Duolingo offers courses in 40 different languages, including Spanish, English, French, German, Italian, Portuguese, Japanese and Chinese. We have locations in the United States and China.</w:t>
      </w:r>
    </w:p>
    <w:p>
      <w:pPr>
        <w:spacing w:after="0" w:line="113"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98"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United States (“GAAP”) from the Company’s accounting records and reflect the consolidated financial position and results of operations for the three months ended March 31, 2020 and 2021. Unless otherwise specified, all dollar amounts are referred to in thousands.</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consolidated financial statements elsewhere in this prospectus, in preparing these Unaudited Condensed Consolidated Financial Statements, with the exception of accounting standard updates described in Note 2, “Recently Added Accounting Pronouncements.” These Unaudited Condensed Consolidated Financial Statements should be read in conjunction with the audited financial statements and the notes included in elsewhere in this prospectus.</w:t>
      </w:r>
    </w:p>
    <w:p>
      <w:pPr>
        <w:spacing w:after="0" w:line="133"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Under the JOBS Act, emerging growth companies also can delay adopting new or revised accounting standards until such time as those standards would otherwise apply to private companies. While we have not historically delayed the adoption of new or revised accounting standards until such time as those standards would apply to private companies, we have elected to take advantage of this extended transition period and, as a result, our operating results and financial statements in the future may not be comparable to the operating results and financial statements of companies who have adopted the new or revised accounting standards.</w:t>
      </w:r>
    </w:p>
    <w:p>
      <w:pPr>
        <w:spacing w:after="0" w:line="132" w:lineRule="exact"/>
        <w:rPr>
          <w:sz w:val="20"/>
          <w:szCs w:val="20"/>
          <w:color w:val="auto"/>
        </w:rPr>
      </w:pPr>
    </w:p>
    <w:p>
      <w:pPr>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financial statements and accompanying notes are prepared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80"/>
          </w:cols>
          <w:pgMar w:left="320" w:top="144" w:right="399" w:bottom="1440" w:gutter="0" w:footer="0" w:header="0"/>
        </w:sectPr>
      </w:pPr>
    </w:p>
    <w:bookmarkStart w:id="239" w:name="page240"/>
    <w:bookmarkEnd w:id="23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2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which consist of direct incremental legal, accounting, and consulting fees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IPO, are capitalized. The deferred offering costs will be offset against IPO proceeds upon the consummation of the IPO. In the event the planned IPO is terminated, the deferred offering costs will be expensed. There were no deferred offering costs recorded as of December 31, 2020. As of March 31, 2021, there was $203 of deferred offering costs recorded within Prepaid expenses and other current assets on the unaudited condensed consolidated balance sheets.</w:t>
      </w:r>
    </w:p>
    <w:p>
      <w:pPr>
        <w:spacing w:after="0" w:line="12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380" w:type="dxa"/>
            <w:vAlign w:val="bottom"/>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20,428</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13,396</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100,062</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104,063</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120,490</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117,459</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unadjusted, quoted prices in active markets for identical assets or liabilities at the measurement date.</w:t>
      </w:r>
    </w:p>
    <w:p>
      <w:pPr>
        <w:spacing w:after="0" w:line="121" w:lineRule="exact"/>
        <w:rPr>
          <w:sz w:val="20"/>
          <w:szCs w:val="20"/>
          <w:color w:val="auto"/>
        </w:rPr>
      </w:pPr>
    </w:p>
    <w:p>
      <w:pPr>
        <w:ind w:right="540"/>
        <w:spacing w:after="0" w:line="303"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Advertising costs were approximately $12,066 and $4,035 for the three months ended March 31, 2021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and are included within Sales and marketing in the unaudited condensed consolidated statements of operations.</w:t>
      </w:r>
    </w:p>
    <w:p>
      <w:pPr>
        <w:spacing w:after="0" w:line="98" w:lineRule="exact"/>
        <w:rPr>
          <w:sz w:val="20"/>
          <w:szCs w:val="20"/>
          <w:color w:val="auto"/>
        </w:rPr>
      </w:pPr>
    </w:p>
    <w:p>
      <w:pPr>
        <w:jc w:val="both"/>
        <w:ind w:right="120"/>
        <w:spacing w:after="0" w:line="284"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interim period provision for income taxes is computed by using an estimate of the annual effective tax rate,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for discrete items taken into account in the relevant period, if any. Each quarter, the annual effective income tax rate is recomputed and if there are material changes in the estimate, a cumulative adjustment is made.</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Contributors—</w:t>
      </w:r>
      <w:r>
        <w:rPr>
          <w:rFonts w:ascii="Arial" w:cs="Arial" w:eastAsia="Arial" w:hAnsi="Arial"/>
          <w:sz w:val="18"/>
          <w:szCs w:val="18"/>
          <w:color w:val="auto"/>
        </w:rPr>
        <w:t>On March 10, 2021, the Company announced that it was ending its non-employee volunteer program, which began in 2013</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build and improve language courses. As part of this change, those contributors who participated in the program became eligible to receive a one-time award, up to an aggregate amount of approximately $5,098, including fees paid to process payments of approximately $526. The Company accounted for this under ASC 958-720, </w:t>
      </w:r>
      <w:r>
        <w:rPr>
          <w:rFonts w:ascii="Arial" w:cs="Arial" w:eastAsia="Arial" w:hAnsi="Arial"/>
          <w:sz w:val="18"/>
          <w:szCs w:val="18"/>
          <w:i w:val="1"/>
          <w:iCs w:val="1"/>
          <w:color w:val="auto"/>
        </w:rPr>
        <w:t>Not-For-Profit Entities - Other Expenses</w:t>
      </w:r>
      <w:r>
        <w:rPr>
          <w:rFonts w:ascii="Arial" w:cs="Arial" w:eastAsia="Arial" w:hAnsi="Arial"/>
          <w:sz w:val="18"/>
          <w:szCs w:val="18"/>
          <w:color w:val="auto"/>
        </w:rPr>
        <w:t xml:space="preserve"> and ASC 720-25, </w:t>
      </w:r>
      <w:r>
        <w:rPr>
          <w:rFonts w:ascii="Arial" w:cs="Arial" w:eastAsia="Arial" w:hAnsi="Arial"/>
          <w:sz w:val="18"/>
          <w:szCs w:val="18"/>
          <w:i w:val="1"/>
          <w:iCs w:val="1"/>
          <w:color w:val="auto"/>
        </w:rPr>
        <w:t>Contributions Made</w:t>
      </w:r>
      <w:r>
        <w:rPr>
          <w:rFonts w:ascii="Arial" w:cs="Arial" w:eastAsia="Arial" w:hAnsi="Arial"/>
          <w:sz w:val="18"/>
          <w:szCs w:val="18"/>
          <w:color w:val="auto"/>
        </w:rPr>
        <w:t>, based on the nature of this contribution, which is an unconditional promise. This amount was included in the unaudited condensed consolidated statement of operations within Sales and marketing in the three months ended March 31, 2021, which is when the Company made the unconditional promise to pay, and is included in the unaudited condensed consolidated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 w:right="339" w:bottom="1440" w:gutter="0" w:footer="0" w:header="0"/>
        </w:sectPr>
      </w:pPr>
    </w:p>
    <w:bookmarkStart w:id="240" w:name="page241"/>
    <w:bookmarkEnd w:id="24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sheets within Accrued expenses and other liabilities as of March 31, 2021. The payments are expected to be paid out during the second quarter of 2021.</w:t>
      </w:r>
    </w:p>
    <w:p>
      <w:pPr>
        <w:spacing w:after="0" w:line="12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The top three service providers, Apple, Google and Stripe, accounted for 47.8%, 28.9% and 13.8% of total Accounts receivable as of December 31, 2020, respectively. The top two, Apple and Google, accounted for 62.7% and 20.6% as of March 31, 2021, respectively.</w:t>
      </w:r>
    </w:p>
    <w:p>
      <w:pPr>
        <w:spacing w:after="0" w:line="14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Two service providers, Apple and Google, processed 55.1% and 29.3% of total revenue for the three months ended March 31, 2020 and three service providers, Apple, Google and Stripe, processed 50.1%, 28.3% and 10.3% of total revenue for the three months ended March 31, 2021,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 xml:space="preserve">In August 2018, the FASB issued Accounting Standard Update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 (ASU 2018-15)</w:t>
      </w:r>
      <w:r>
        <w:rPr>
          <w:rFonts w:ascii="Arial" w:cs="Arial" w:eastAsia="Arial" w:hAnsi="Arial"/>
          <w:sz w:val="18"/>
          <w:szCs w:val="18"/>
          <w:color w:val="auto"/>
        </w:rPr>
        <w:t>. ASU 2018-15 aligns the requirements for capitalizing implementation costs incurred in a hosting arrangement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with the requirements for capitalizing implementation costs incurred to develop or obtain internal-use software. The Company adopted this guidance on January 1, 2021 and it did not have a material impact on its consolidated financial statements and related disclosures upon adoption.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and by clarifying and amending existing guidance in order to improve consistent application of and simplify GAAP for other areas of Topic 740. The guidance will be effective for the Company beginning after December 15, 2021. Early adoption is permitted. The Company is currently evaluating the effect that ASU 2019-12 will have on its consolidated financial statements and related disclosures.</w:t>
      </w:r>
    </w:p>
    <w:p>
      <w:pPr>
        <w:spacing w:after="0" w:line="110"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has three predominant sources of revenue; time-based subscriptions, in-app advertising placement by third parties and the Duolingo English Test.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six-month or year-long subscription and pay for the subscription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144" w:right="379" w:bottom="1440" w:gutter="0" w:footer="0" w:header="0"/>
        </w:sectPr>
      </w:pPr>
    </w:p>
    <w:bookmarkStart w:id="241" w:name="page242"/>
    <w:bookmarkEnd w:id="24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purchase. Therefore,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4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90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haven’t been proctored nor expired.</w:t>
      </w:r>
    </w:p>
    <w:p>
      <w:pPr>
        <w:spacing w:after="0" w:line="15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42"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which is 12 months or less. Additionally, Duolingo English Test has deferred revenue related to tests that have been purchased, but will not be recognized until the tests have been proctored.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9" w:lineRule="exact"/>
        <w:rPr>
          <w:sz w:val="20"/>
          <w:szCs w:val="20"/>
          <w:color w:val="auto"/>
        </w:rPr>
      </w:pPr>
    </w:p>
    <w:p>
      <w:pPr>
        <w:jc w:val="both"/>
        <w:ind w:right="200"/>
        <w:spacing w:after="0" w:line="282" w:lineRule="auto"/>
        <w:rPr>
          <w:sz w:val="20"/>
          <w:szCs w:val="20"/>
          <w:color w:val="auto"/>
        </w:rPr>
      </w:pPr>
      <w:r>
        <w:rPr>
          <w:rFonts w:ascii="Arial" w:cs="Arial" w:eastAsia="Arial" w:hAnsi="Arial"/>
          <w:sz w:val="18"/>
          <w:szCs w:val="18"/>
          <w:color w:val="auto"/>
        </w:rPr>
        <w:t xml:space="preserve">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source of revenue and geographical regions, which most closely depicts how the nature, amount, timing and uncertainty of revenue and cash flows are affected by economic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source of revenues: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260" w:type="dxa"/>
            <w:vAlign w:val="bottom"/>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7980" w:type="dxa"/>
            <w:vAlign w:val="bottom"/>
            <w:tcBorders>
              <w:bottom w:val="single" w:sz="8" w:color="DBDBDB"/>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Over time</w:t>
            </w:r>
          </w:p>
        </w:tc>
        <w:tc>
          <w:tcPr>
            <w:tcW w:w="960" w:type="dxa"/>
            <w:vAlign w:val="bottom"/>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4"/>
              </w:rPr>
              <w:t>22,171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40,055</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Point in time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15,305</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DBDBDB"/>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4"/>
              </w:rPr>
              <w:t>28,112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55,360</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 w:right="339" w:bottom="1440" w:gutter="0" w:footer="0" w:header="0"/>
        </w:sectPr>
      </w:pPr>
    </w:p>
    <w:bookmarkStart w:id="242" w:name="page243"/>
    <w:bookmarkEnd w:id="24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stream:</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180" w:type="dxa"/>
            <w:vAlign w:val="bottom"/>
            <w:tcBorders>
              <w:bottom w:val="single" w:sz="8" w:color="DBDBDB"/>
            </w:tcBorders>
          </w:tcPr>
          <w:p>
            <w:pPr>
              <w:spacing w:after="0"/>
              <w:rPr>
                <w:sz w:val="15"/>
                <w:szCs w:val="15"/>
                <w:color w:val="auto"/>
              </w:rPr>
            </w:pPr>
          </w:p>
        </w:tc>
        <w:tc>
          <w:tcPr>
            <w:tcW w:w="78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800" w:type="dxa"/>
            <w:vAlign w:val="bottom"/>
          </w:tcPr>
          <w:p>
            <w:pPr>
              <w:ind w:left="60"/>
              <w:spacing w:after="0"/>
              <w:rPr>
                <w:sz w:val="20"/>
                <w:szCs w:val="20"/>
                <w:color w:val="auto"/>
              </w:rPr>
            </w:pPr>
            <w:r>
              <w:rPr>
                <w:rFonts w:ascii="Arial" w:cs="Arial" w:eastAsia="Arial" w:hAnsi="Arial"/>
                <w:sz w:val="18"/>
                <w:szCs w:val="18"/>
                <w:color w:val="auto"/>
              </w:rPr>
              <w:t>Subscription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22,171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70"/>
        </w:trPr>
        <w:tc>
          <w:tcPr>
            <w:tcW w:w="180" w:type="dxa"/>
            <w:vAlign w:val="bottom"/>
            <w:shd w:val="clear" w:color="auto" w:fill="DBDBDB"/>
          </w:tcPr>
          <w:p>
            <w:pPr>
              <w:spacing w:after="0"/>
              <w:rPr>
                <w:sz w:val="23"/>
                <w:szCs w:val="23"/>
                <w:color w:val="auto"/>
              </w:rPr>
            </w:pPr>
          </w:p>
        </w:tc>
        <w:tc>
          <w:tcPr>
            <w:tcW w:w="7800" w:type="dxa"/>
            <w:vAlign w:val="bottom"/>
            <w:shd w:val="clear" w:color="auto" w:fill="DBDBDB"/>
          </w:tcPr>
          <w:p>
            <w:pPr>
              <w:ind w:left="60"/>
              <w:spacing w:after="0"/>
              <w:rPr>
                <w:sz w:val="20"/>
                <w:szCs w:val="20"/>
                <w:color w:val="auto"/>
              </w:rPr>
            </w:pPr>
            <w:r>
              <w:rPr>
                <w:rFonts w:ascii="Arial" w:cs="Arial" w:eastAsia="Arial" w:hAnsi="Arial"/>
                <w:sz w:val="18"/>
                <w:szCs w:val="18"/>
                <w:color w:val="auto"/>
              </w:rPr>
              <w:t>Advertising</w:t>
            </w:r>
          </w:p>
        </w:tc>
        <w:tc>
          <w:tcPr>
            <w:tcW w:w="140" w:type="dxa"/>
            <w:vAlign w:val="bottom"/>
            <w:shd w:val="clear" w:color="auto" w:fill="DBDBDB"/>
          </w:tcPr>
          <w:p>
            <w:pPr>
              <w:spacing w:after="0"/>
              <w:rPr>
                <w:sz w:val="23"/>
                <w:szCs w:val="23"/>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5,008</w:t>
            </w:r>
          </w:p>
        </w:tc>
        <w:tc>
          <w:tcPr>
            <w:tcW w:w="10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7800" w:type="dxa"/>
            <w:vAlign w:val="bottom"/>
          </w:tcPr>
          <w:p>
            <w:pPr>
              <w:ind w:left="60"/>
              <w:spacing w:after="0"/>
              <w:rPr>
                <w:sz w:val="20"/>
                <w:szCs w:val="20"/>
                <w:color w:val="auto"/>
              </w:rPr>
            </w:pPr>
            <w:r>
              <w:rPr>
                <w:rFonts w:ascii="Arial" w:cs="Arial" w:eastAsia="Arial" w:hAnsi="Arial"/>
                <w:sz w:val="18"/>
                <w:szCs w:val="18"/>
                <w:color w:val="auto"/>
              </w:rPr>
              <w:t>Duolingo English Test</w:t>
            </w: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0"/>
        </w:trPr>
        <w:tc>
          <w:tcPr>
            <w:tcW w:w="180" w:type="dxa"/>
            <w:vAlign w:val="bottom"/>
            <w:shd w:val="clear" w:color="auto" w:fill="DBDBDB"/>
          </w:tcPr>
          <w:p>
            <w:pPr>
              <w:spacing w:after="0"/>
              <w:rPr>
                <w:sz w:val="23"/>
                <w:szCs w:val="23"/>
                <w:color w:val="auto"/>
              </w:rPr>
            </w:pPr>
          </w:p>
        </w:tc>
        <w:tc>
          <w:tcPr>
            <w:tcW w:w="7800" w:type="dxa"/>
            <w:vAlign w:val="bottom"/>
            <w:shd w:val="clear" w:color="auto" w:fill="DBDBDB"/>
          </w:tcPr>
          <w:p>
            <w:pPr>
              <w:ind w:left="60"/>
              <w:spacing w:after="0"/>
              <w:rPr>
                <w:sz w:val="20"/>
                <w:szCs w:val="20"/>
                <w:color w:val="auto"/>
              </w:rPr>
            </w:pPr>
            <w:r>
              <w:rPr>
                <w:rFonts w:ascii="Arial" w:cs="Arial" w:eastAsia="Arial" w:hAnsi="Arial"/>
                <w:sz w:val="18"/>
                <w:szCs w:val="18"/>
                <w:color w:val="auto"/>
              </w:rPr>
              <w:t>Other (1)</w:t>
            </w:r>
          </w:p>
        </w:tc>
        <w:tc>
          <w:tcPr>
            <w:tcW w:w="140" w:type="dxa"/>
            <w:vAlign w:val="bottom"/>
            <w:tcBorders>
              <w:bottom w:val="single" w:sz="8" w:color="auto"/>
            </w:tcBorders>
            <w:shd w:val="clear" w:color="auto" w:fill="DBDBDB"/>
          </w:tcPr>
          <w:p>
            <w:pPr>
              <w:spacing w:after="0"/>
              <w:rPr>
                <w:sz w:val="23"/>
                <w:szCs w:val="23"/>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DBDBDB"/>
          </w:tcPr>
          <w:p>
            <w:pPr>
              <w:spacing w:after="0"/>
              <w:rPr>
                <w:sz w:val="23"/>
                <w:szCs w:val="23"/>
                <w:color w:val="auto"/>
              </w:rPr>
            </w:pPr>
          </w:p>
        </w:tc>
        <w:tc>
          <w:tcPr>
            <w:tcW w:w="200" w:type="dxa"/>
            <w:vAlign w:val="bottom"/>
            <w:tcBorders>
              <w:bottom w:val="single" w:sz="8" w:color="auto"/>
            </w:tcBorders>
            <w:shd w:val="clear" w:color="auto" w:fill="DBDBDB"/>
          </w:tcPr>
          <w:p>
            <w:pPr>
              <w:spacing w:after="0"/>
              <w:rPr>
                <w:sz w:val="23"/>
                <w:szCs w:val="23"/>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80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9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980" w:type="dxa"/>
            <w:vAlign w:val="bottom"/>
            <w:gridSpan w:val="2"/>
          </w:tcPr>
          <w:p>
            <w:pPr>
              <w:spacing w:after="0"/>
              <w:rPr>
                <w:sz w:val="20"/>
                <w:szCs w:val="20"/>
                <w:color w:val="auto"/>
              </w:rPr>
            </w:pPr>
            <w:r>
              <w:rPr>
                <w:rFonts w:ascii="Arial" w:cs="Arial" w:eastAsia="Arial" w:hAnsi="Arial"/>
                <w:sz w:val="14"/>
                <w:szCs w:val="14"/>
                <w:color w:val="auto"/>
              </w:rPr>
              <w:t>(1)  Other revenue is mainly comprised of in app purchases of virtual goods.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7980" w:type="dxa"/>
            <w:vAlign w:val="bottom"/>
            <w:gridSpan w:val="2"/>
          </w:tcPr>
          <w:p>
            <w:pPr>
              <w:spacing w:after="0"/>
              <w:rPr>
                <w:sz w:val="20"/>
                <w:szCs w:val="20"/>
                <w:color w:val="auto"/>
              </w:rPr>
            </w:pPr>
            <w:r>
              <w:rPr>
                <w:rFonts w:ascii="Arial" w:cs="Arial" w:eastAsia="Arial" w:hAnsi="Arial"/>
                <w:sz w:val="18"/>
                <w:szCs w:val="18"/>
                <w:color w:val="auto"/>
              </w:rPr>
              <w:t>Changes in deferred revenues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180" w:type="dxa"/>
            <w:vAlign w:val="bottom"/>
            <w:tcBorders>
              <w:bottom w:val="single" w:sz="8" w:color="DBDBDB"/>
            </w:tcBorders>
          </w:tcPr>
          <w:p>
            <w:pPr>
              <w:spacing w:after="0"/>
              <w:rPr>
                <w:sz w:val="15"/>
                <w:szCs w:val="15"/>
                <w:color w:val="auto"/>
              </w:rPr>
            </w:pPr>
          </w:p>
        </w:tc>
        <w:tc>
          <w:tcPr>
            <w:tcW w:w="78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54,792</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(10,126)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(15,741)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Deferral of revenue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30,940</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Ending balance—March 31</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35,076</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65,262</w:t>
            </w:r>
          </w:p>
        </w:tc>
        <w:tc>
          <w:tcPr>
            <w:tcW w:w="0" w:type="dxa"/>
            <w:vAlign w:val="bottom"/>
          </w:tcPr>
          <w:p>
            <w:pPr>
              <w:spacing w:after="0"/>
              <w:rPr>
                <w:sz w:val="1"/>
                <w:szCs w:val="1"/>
                <w:color w:val="auto"/>
              </w:rPr>
            </w:pPr>
          </w:p>
        </w:tc>
      </w:tr>
      <w:tr>
        <w:trPr>
          <w:trHeight w:val="20"/>
        </w:trPr>
        <w:tc>
          <w:tcPr>
            <w:tcW w:w="18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w:t>
            </w:r>
          </w:p>
        </w:tc>
        <w:tc>
          <w:tcPr>
            <w:tcW w:w="7800" w:type="dxa"/>
            <w:vAlign w:val="bottom"/>
            <w:tcBorders>
              <w:top w:val="single" w:sz="8" w:color="DBDBDB"/>
              <w:bottom w:val="single" w:sz="8" w:color="DBDBDB"/>
            </w:tcBorders>
            <w:vMerge w:val="restart"/>
          </w:tcPr>
          <w:p>
            <w:pPr>
              <w:ind w:left="46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80" w:type="dxa"/>
            <w:vAlign w:val="bottom"/>
            <w:vMerge w:val="continue"/>
          </w:tcPr>
          <w:p>
            <w:pPr>
              <w:spacing w:after="0"/>
              <w:rPr>
                <w:sz w:val="24"/>
                <w:szCs w:val="24"/>
                <w:color w:val="auto"/>
              </w:rPr>
            </w:pPr>
          </w:p>
        </w:tc>
        <w:tc>
          <w:tcPr>
            <w:tcW w:w="7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8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as of December 31, 2020 and March 31, 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24"/>
                <w:szCs w:val="24"/>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9,495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DBDBDB"/>
            </w:tcBorders>
          </w:tcPr>
          <w:p>
            <w:pPr>
              <w:spacing w:after="0"/>
              <w:rPr>
                <w:sz w:val="19"/>
                <w:szCs w:val="19"/>
                <w:color w:val="auto"/>
              </w:rPr>
            </w:pPr>
          </w:p>
        </w:tc>
        <w:tc>
          <w:tcPr>
            <w:tcW w:w="78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180" w:type="dxa"/>
            <w:vAlign w:val="bottom"/>
            <w:tcBorders>
              <w:top w:val="single" w:sz="8" w:color="DBDBDB"/>
            </w:tcBorders>
          </w:tcPr>
          <w:p>
            <w:pPr>
              <w:spacing w:after="0" w:line="20" w:lineRule="exact"/>
              <w:rPr>
                <w:sz w:val="1"/>
                <w:szCs w:val="1"/>
                <w:color w:val="auto"/>
              </w:rPr>
            </w:pPr>
          </w:p>
        </w:tc>
        <w:tc>
          <w:tcPr>
            <w:tcW w:w="78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Depreciation expense for the three months ended March 31, 2020 and 2021 was $340 and $452, respectively, and is predominately included within General and administrative, with nominal amounts in Cost of revenues, Research and development and Sales and marketing in the unaudited condensed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CAPITALIZED SOFTWARE, net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7980" w:type="dxa"/>
            <w:vAlign w:val="bottom"/>
            <w:gridSpan w:val="2"/>
          </w:tcPr>
          <w:p>
            <w:pPr>
              <w:spacing w:after="0"/>
              <w:rPr>
                <w:sz w:val="20"/>
                <w:szCs w:val="20"/>
                <w:color w:val="auto"/>
              </w:rPr>
            </w:pPr>
            <w:r>
              <w:rPr>
                <w:rFonts w:ascii="Arial" w:cs="Arial" w:eastAsia="Arial" w:hAnsi="Arial"/>
                <w:sz w:val="18"/>
                <w:szCs w:val="18"/>
                <w:color w:val="auto"/>
              </w:rPr>
              <w:t>Capitalized software consists of the following as of December 31, 2020 and March 31, 2021:</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DBDBDB"/>
          </w:tcPr>
          <w:p>
            <w:pPr>
              <w:jc w:val="center"/>
              <w:ind w:left="755"/>
              <w:spacing w:after="0"/>
              <w:rPr>
                <w:sz w:val="20"/>
                <w:szCs w:val="20"/>
                <w:color w:val="auto"/>
              </w:rPr>
            </w:pPr>
            <w:r>
              <w:rPr>
                <w:rFonts w:ascii="Arial" w:cs="Arial" w:eastAsia="Arial" w:hAnsi="Arial"/>
                <w:sz w:val="18"/>
                <w:szCs w:val="18"/>
                <w:color w:val="auto"/>
                <w:w w:val="97"/>
              </w:rPr>
              <w:t>8,181</w:t>
            </w: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center"/>
              <w:ind w:left="695"/>
              <w:spacing w:after="0"/>
              <w:rPr>
                <w:sz w:val="20"/>
                <w:szCs w:val="20"/>
                <w:color w:val="auto"/>
              </w:rPr>
            </w:pPr>
            <w:r>
              <w:rPr>
                <w:rFonts w:ascii="Arial" w:cs="Arial" w:eastAsia="Arial" w:hAnsi="Arial"/>
                <w:sz w:val="18"/>
                <w:szCs w:val="18"/>
                <w:color w:val="auto"/>
                <w:w w:val="97"/>
              </w:rPr>
              <w:t>9,187</w:t>
            </w:r>
          </w:p>
        </w:tc>
      </w:tr>
      <w:tr>
        <w:trPr>
          <w:trHeight w:val="229"/>
        </w:trPr>
        <w:tc>
          <w:tcPr>
            <w:tcW w:w="79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75"/>
              <w:spacing w:after="0"/>
              <w:rPr>
                <w:sz w:val="20"/>
                <w:szCs w:val="20"/>
                <w:color w:val="auto"/>
              </w:rPr>
            </w:pPr>
            <w:r>
              <w:rPr>
                <w:rFonts w:ascii="Arial" w:cs="Arial" w:eastAsia="Arial" w:hAnsi="Arial"/>
                <w:sz w:val="18"/>
                <w:szCs w:val="18"/>
                <w:color w:val="auto"/>
              </w:rPr>
              <w:t>(6,033)</w:t>
            </w:r>
          </w:p>
        </w:tc>
      </w:tr>
      <w:tr>
        <w:trPr>
          <w:trHeight w:val="248"/>
        </w:trPr>
        <w:tc>
          <w:tcPr>
            <w:tcW w:w="79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net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center"/>
              <w:ind w:left="755"/>
              <w:spacing w:after="0"/>
              <w:rPr>
                <w:sz w:val="20"/>
                <w:szCs w:val="20"/>
                <w:color w:val="auto"/>
              </w:rPr>
            </w:pPr>
            <w:r>
              <w:rPr>
                <w:rFonts w:ascii="Arial" w:cs="Arial" w:eastAsia="Arial" w:hAnsi="Arial"/>
                <w:sz w:val="18"/>
                <w:szCs w:val="18"/>
                <w:color w:val="auto"/>
                <w:w w:val="97"/>
              </w:rPr>
              <w:t>2,296</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center"/>
              <w:ind w:left="695"/>
              <w:spacing w:after="0"/>
              <w:rPr>
                <w:sz w:val="20"/>
                <w:szCs w:val="20"/>
                <w:color w:val="auto"/>
              </w:rPr>
            </w:pPr>
            <w:r>
              <w:rPr>
                <w:rFonts w:ascii="Arial" w:cs="Arial" w:eastAsia="Arial" w:hAnsi="Arial"/>
                <w:sz w:val="18"/>
                <w:szCs w:val="18"/>
                <w:color w:val="auto"/>
                <w:w w:val="97"/>
              </w:rPr>
              <w:t>3,154</w:t>
            </w:r>
          </w:p>
        </w:tc>
      </w:tr>
      <w:tr>
        <w:trPr>
          <w:trHeight w:val="20"/>
        </w:trPr>
        <w:tc>
          <w:tcPr>
            <w:tcW w:w="400" w:type="dxa"/>
            <w:vAlign w:val="bottom"/>
            <w:tcBorders>
              <w:top w:val="single" w:sz="8" w:color="DBDBDB"/>
            </w:tcBorders>
          </w:tcPr>
          <w:p>
            <w:pPr>
              <w:spacing w:after="0" w:line="20" w:lineRule="exact"/>
              <w:rPr>
                <w:sz w:val="1"/>
                <w:szCs w:val="1"/>
                <w:color w:val="auto"/>
              </w:rPr>
            </w:pPr>
          </w:p>
        </w:tc>
        <w:tc>
          <w:tcPr>
            <w:tcW w:w="75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 w:right="339" w:bottom="1440" w:gutter="0" w:footer="0" w:header="0"/>
        </w:sectPr>
      </w:pPr>
    </w:p>
    <w:bookmarkStart w:id="243" w:name="page244"/>
    <w:bookmarkEnd w:id="24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2020 and 2021 was $59 and $148, respectively, and is recorded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unaudited condensed consolidated statement of operations within the following financial statement line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114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DBDBDB"/>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year ended December 31, 2020 or the three months ended March 31, 2021.</w:t>
      </w:r>
    </w:p>
    <w:p>
      <w:pPr>
        <w:spacing w:after="0" w:line="118"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income tax provision for interim periods is comprised of tax on ordinary income (loss) provided at the most recent projected annual effective tax rate (PAETR), adjusted for the tax effect of discrete items. Management estimates the PAETR each quarter based on the forecasted annual pretax income or (loss). The Company is required to reduce deferred tax assets by a valuation allowance if, based on all available evidence, it is considered more likely than not that some portion or all of the benefit of the deferred tax assets will not be realized in future periods. The Company also records the income tax impact of certain discrete, unusual or infrequently occurring items including changes in judgment about valuation allowances and effects of changes in tax laws or rates, in the interim period in which they occur.</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actual year-to-date income tax expense (benefit) is the product of the most current PAETR and the actual year-to-date pretax income (loss) adjusted for any discrete tax items. The income tax expense (benefit) for a particular quarter, except for the first quarter, is the difference between the year-to-date calculation of income tax expense (benefit) and the year-to-date calculation for the prior quarter. Items unrelated to current period ordinary income or (loss) are recognized entirely in the period identified as a discrete item of tax. The inclusion of discrete items in a particular quarter can cause the actual effective rate for that quarter to vary significantly from the PAETR.</w:t>
      </w:r>
    </w:p>
    <w:p>
      <w:pPr>
        <w:spacing w:after="0" w:line="15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Therefore, the actual effective income tax rate for a particular quarter can vary significantly based upon the jurisdictional mix and timing of actual earnings compared to projected annual earnings, permanent items, earnings for those jurisdictions that maintain a valuation allowance, tax associated with jurisdictions excluded from the PAETR calculation and discrete items.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Effective Tax Rate</w:t>
      </w:r>
    </w:p>
    <w:p>
      <w:pPr>
        <w:spacing w:after="0" w:line="20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PAETR, which excludes the impact of discrete items, was (0.5)% and (0.1)% as of the three months ended March 31, 2020 and 2021, respectively. The PAETR was lower than the US federal statutory rate of 21.0% primarily due to the impact of maintaining a US valuation allowance provided on US deferred tax assets.</w:t>
      </w:r>
    </w:p>
    <w:p>
      <w:pPr>
        <w:spacing w:after="0" w:line="149"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The Company continues to maintain a full valuation allowance on US federal and state net deferred tax assets (excluding the tax effects of deferred tax liabilities associated with indefinite lived intangibles) for the period ending March 31, 2021 as a result of pretax losses incurred since the Company’s inception in early 2012. The Company is projecting pre-tax loss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 w:right="339" w:bottom="1440" w:gutter="0" w:footer="0" w:header="0"/>
        </w:sectPr>
      </w:pPr>
    </w:p>
    <w:bookmarkStart w:id="244" w:name="page245"/>
    <w:bookmarkEnd w:id="24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Prior Period Tax Expense</w:t>
      </w:r>
    </w:p>
    <w:p>
      <w:pPr>
        <w:spacing w:after="0" w:line="2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March 31, 2020 and 2021, the Company recognized income tax expense of $11 and $17 on pretax losses of $2,222 and $13,455, respectively.</w:t>
      </w:r>
    </w:p>
    <w:p>
      <w:pPr>
        <w:spacing w:after="0" w:line="108"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is comprised of the following as of December 31, 2020 and March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16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w w:val="98"/>
              </w:rPr>
              <w:t>Shares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Carrying value of</w:t>
            </w:r>
          </w:p>
        </w:tc>
        <w:tc>
          <w:tcPr>
            <w:tcW w:w="0" w:type="dxa"/>
            <w:vAlign w:val="bottom"/>
          </w:tcPr>
          <w:p>
            <w:pPr>
              <w:spacing w:after="0"/>
              <w:rPr>
                <w:sz w:val="1"/>
                <w:szCs w:val="1"/>
                <w:color w:val="auto"/>
              </w:rPr>
            </w:pPr>
          </w:p>
        </w:tc>
      </w:tr>
      <w:tr>
        <w:trPr>
          <w:trHeight w:val="128"/>
        </w:trPr>
        <w:tc>
          <w:tcPr>
            <w:tcW w:w="15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 price</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w:t>
            </w: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1"/>
                <w:szCs w:val="11"/>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Funds received</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Fees incurred</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DBDBDB"/>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at issuance</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preference</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BDBDB"/>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BDBDB"/>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23"/>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3,865</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B</w:t>
            </w:r>
          </w:p>
        </w:tc>
        <w:tc>
          <w:tcPr>
            <w:tcW w:w="13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30"/>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D</w:t>
            </w:r>
          </w:p>
        </w:tc>
        <w:tc>
          <w:tcPr>
            <w:tcW w:w="13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44,853</w:t>
            </w:r>
          </w:p>
        </w:tc>
        <w:tc>
          <w:tcPr>
            <w:tcW w:w="0" w:type="dxa"/>
            <w:vAlign w:val="bottom"/>
          </w:tcPr>
          <w:p>
            <w:pPr>
              <w:spacing w:after="0"/>
              <w:rPr>
                <w:sz w:val="1"/>
                <w:szCs w:val="1"/>
                <w:color w:val="auto"/>
              </w:rPr>
            </w:pPr>
          </w:p>
        </w:tc>
      </w:tr>
      <w:tr>
        <w:trPr>
          <w:trHeight w:val="230"/>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24,909</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rPr>
                <w:sz w:val="20"/>
                <w:szCs w:val="20"/>
                <w:color w:val="auto"/>
              </w:rPr>
            </w:pPr>
            <w:r>
              <w:rPr>
                <w:rFonts w:ascii="Arial" w:cs="Arial" w:eastAsia="Arial" w:hAnsi="Arial"/>
                <w:sz w:val="18"/>
                <w:szCs w:val="18"/>
                <w:color w:val="auto"/>
              </w:rPr>
              <w:t>F</w:t>
            </w:r>
          </w:p>
        </w:tc>
        <w:tc>
          <w:tcPr>
            <w:tcW w:w="13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29"/>
        </w:trPr>
        <w:tc>
          <w:tcPr>
            <w:tcW w:w="1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30"/>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H</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1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48"/>
        </w:trPr>
        <w:tc>
          <w:tcPr>
            <w:tcW w:w="152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18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183,300</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182,609</w:t>
            </w:r>
          </w:p>
        </w:tc>
        <w:tc>
          <w:tcPr>
            <w:tcW w:w="0" w:type="dxa"/>
            <w:vAlign w:val="bottom"/>
          </w:tcPr>
          <w:p>
            <w:pPr>
              <w:spacing w:after="0"/>
              <w:rPr>
                <w:sz w:val="1"/>
                <w:szCs w:val="1"/>
                <w:color w:val="auto"/>
              </w:rPr>
            </w:pPr>
          </w:p>
        </w:tc>
      </w:tr>
      <w:tr>
        <w:trPr>
          <w:trHeight w:val="20"/>
        </w:trPr>
        <w:tc>
          <w:tcPr>
            <w:tcW w:w="15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Each share of convertible preferred stock has a liquidation preference over common stock equal to the original issue price of the preferred stock plus any declared but unpaid dividends. No single class of preferred stock has liquidation preference that is senior in payment to other classes of preferred stock. The preferred stock does not accumulate undeclared and unpaid dividends.</w:t>
      </w:r>
    </w:p>
    <w:p>
      <w:pPr>
        <w:spacing w:after="0" w:line="14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Each share of convertible preferred stock is convertible into shares of common stock at the option of the stockholder based upon a conversion rate that is 1:1 and may be adjusted under certain circumstances as defined in the Company’s Amended and Restated Certificate of Incorporation. If the Company consummates a public offering from which the Company receives gross proceeds of at least $50,000, the conversion becomes mandatory for the convertible preferred stockholders. Also, the conversion becomes mandatory for a preferred stock class, if the holders of at least 65% of the then outstanding shares of preferred stock elect to convert. The Company has reserved an equal number of shares of common stock for the potential conversion of each series of convertible preferred stock. The convertible preferred stockholders have voting rights equal to common stockholders. The preferred stockholders are entitled to the number of votes equal to the number of shares of common stock into which the preferred shares could be converted.</w:t>
      </w:r>
    </w:p>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classes of convertible preferred stock are being classified as outside of stockholders’ deficit as the preferred stock has redemption features that are outside of the Company’s control upon certain triggering events, such as a “Deemed Liquidation Event.” In the case of a Deemed Liquidation Event, the holders of Preferred Stock are entitled to be paid out of the assets of the Company, prior and in preference to any distribution to the holders of the common stock. Because the Company’s common stockholders do not control the Company’s Board of Directors, a potential Deemed Liquidation Event is considered to be outside of the control of the Company, resulting in classification outside of stockholders’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 w:right="339" w:bottom="1440" w:gutter="0" w:footer="0" w:header="0"/>
        </w:sectPr>
      </w:pPr>
    </w:p>
    <w:bookmarkStart w:id="245" w:name="page246"/>
    <w:bookmarkEnd w:id="24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7"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The Company has a stock incentive plan whereby the Board of Directors may grant stock options or restricted stock units to employees, directors and consultants to purchase shares of the Company’s common stock under the 2011 Equity Incentive Plan (Plan). The Company has authorized 10,113 common shares to be issued under the Plan. The Plan permits the granting of incentive stock options and nonqualified stock options. The Company’s stock options vest based on terms in the stock option agreements and generally vest over four years and have a term of ten years subject to the continuous service to the Company by the optionee. Incentive stock options may be granted at an exercise price of not less than 100% of the estimated fair value of the stock at the date of the grant as determined by the Company’s Board of Directors. If incentive stock options are granted to a stockholder who owns more than 10% of the voting power of all classes of stock of the Company, the exercise price of the incentive stock options must be at least 110% of the estimated fair value of the common stock at the date of the grant.</w:t>
      </w:r>
    </w:p>
    <w:p>
      <w:pPr>
        <w:spacing w:after="0" w:line="155"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In November of 2020, the Board approved the amended and restated Plan, which provides for, among other things, the ability of the Company to grant restricted stock units (RSUs). Each RSU award vests based upon the satisfaction, during the term of the RSUs, of two requirements: length of service and a liquidity event defined as a change in control or a qualified IPO. No compensation expense has been included for RSUs as the vesting conditions are not probable.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three months ended March 31,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exercise</w:t>
            </w: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DBDBDB"/>
            </w:tcBorders>
          </w:tcPr>
          <w:p>
            <w:pPr>
              <w:spacing w:after="0"/>
              <w:rPr>
                <w:sz w:val="15"/>
                <w:szCs w:val="15"/>
                <w:color w:val="auto"/>
              </w:rPr>
            </w:pPr>
          </w:p>
        </w:tc>
        <w:tc>
          <w:tcPr>
            <w:tcW w:w="15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8,365</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230,596</w:t>
            </w:r>
          </w:p>
        </w:tc>
        <w:tc>
          <w:tcPr>
            <w:tcW w:w="0" w:type="dxa"/>
            <w:vAlign w:val="bottom"/>
          </w:tcPr>
          <w:p>
            <w:pPr>
              <w:spacing w:after="0"/>
              <w:rPr>
                <w:sz w:val="1"/>
                <w:szCs w:val="1"/>
                <w:color w:val="auto"/>
              </w:rPr>
            </w:pPr>
          </w:p>
        </w:tc>
      </w:tr>
      <w:tr>
        <w:trPr>
          <w:trHeight w:val="229"/>
        </w:trPr>
        <w:tc>
          <w:tcPr>
            <w:tcW w:w="47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00"/>
              <w:spacing w:after="0"/>
              <w:rPr>
                <w:sz w:val="20"/>
                <w:szCs w:val="20"/>
                <w:color w:val="auto"/>
              </w:rPr>
            </w:pPr>
            <w:r>
              <w:rPr>
                <w:rFonts w:ascii="Arial" w:cs="Arial" w:eastAsia="Arial" w:hAnsi="Arial"/>
                <w:sz w:val="18"/>
                <w:szCs w:val="18"/>
                <w:color w:val="auto"/>
              </w:rPr>
              <w:t>Repurchased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Forfeited and expired</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Options outstanding at March 31,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324,453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BDBDB"/>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exercisable at March 31, 2021</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191,298</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options granted during the three months ended March 31, 2021. The total intrinsic value of options exercised was approximately $13,714 during the three months ended March 31, 2021. There were 715 options available for grant at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three months ended March 31, 2021 is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1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00" w:type="dxa"/>
            <w:vAlign w:val="bottom"/>
          </w:tcPr>
          <w:p>
            <w:pPr>
              <w:spacing w:after="0"/>
              <w:rPr>
                <w:sz w:val="11"/>
                <w:szCs w:val="11"/>
                <w:color w:val="auto"/>
              </w:rPr>
            </w:pPr>
          </w:p>
        </w:tc>
        <w:tc>
          <w:tcPr>
            <w:tcW w:w="12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75"/>
        </w:trPr>
        <w:tc>
          <w:tcPr>
            <w:tcW w:w="8000" w:type="dxa"/>
            <w:vAlign w:val="bottom"/>
            <w:tcBorders>
              <w:bottom w:val="single" w:sz="8" w:color="DBDBDB"/>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at January 1, 2021</w:t>
            </w:r>
          </w:p>
        </w:tc>
        <w:tc>
          <w:tcPr>
            <w:tcW w:w="124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DBDBDB"/>
          </w:tcPr>
          <w:p>
            <w:pPr>
              <w:jc w:val="right"/>
              <w:ind w:right="88"/>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924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30"/>
        </w:trPr>
        <w:tc>
          <w:tcPr>
            <w:tcW w:w="924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March 31, 2021</w:t>
            </w:r>
          </w:p>
        </w:tc>
        <w:tc>
          <w:tcPr>
            <w:tcW w:w="1240" w:type="dxa"/>
            <w:vAlign w:val="bottom"/>
            <w:tcBorders>
              <w:top w:val="single" w:sz="8" w:color="auto"/>
              <w:bottom w:val="single" w:sz="8" w:color="auto"/>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380" w:type="dxa"/>
            <w:vAlign w:val="bottom"/>
            <w:tcBorders>
              <w:top w:val="single" w:sz="8" w:color="DBDBDB"/>
              <w:bottom w:val="single" w:sz="8" w:color="DBDBDB"/>
            </w:tcBorders>
            <w:gridSpan w:val="2"/>
            <w:shd w:val="clear" w:color="auto" w:fill="DBDBDB"/>
          </w:tcPr>
          <w:p>
            <w:pPr>
              <w:jc w:val="right"/>
              <w:ind w:right="88"/>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 w:right="339" w:bottom="1440" w:gutter="0" w:footer="0" w:header="0"/>
        </w:sectPr>
      </w:pPr>
    </w:p>
    <w:bookmarkStart w:id="246" w:name="page247"/>
    <w:bookmarkEnd w:id="246"/>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As of March 31, 2021, there was approximately $25,240 of unrecognized compensation cost related to stock options granted under the plan. That cost is expected to be recognized over a weighted-average period of approximately two years. The amount of unrecognized compensation expense for RSUs as of March 31, 2021 was $1,596 with a weighted-average remaining contractual life of approximately three years, for a total unrecognized compensation expense of $26,836.</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February of 2021, the Company initiated a tender offer which allowed employees to sell up to 10% of their vested options or shares back to the Company at selling price of $59.77, which was above fair market value of $38.08. The Company paid $13,479 and incurred $5,275 of additional compensation expense related to this tender representing the difference between the aggregate selling price and fair market value of the options and shares sold, and a $7,335 increase to Additional paid-in capital. As a result of this tender, 220 options were put back into the option pool and 23 shares were retired with an $868 increase to Additional paid-in capital.</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Compensation expense is recognized over the service period, which approximates the vesting period. Total compensation expense was $1,154 and $2,551 for the three months ended March 31, 2020 and 2021, respectively.</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 based compensation expense is included in the unaudited condensed consolidated statement of operations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22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1,111</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DBDBDB"/>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1,370</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DBDBDB"/>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2,551</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Nominal amounts of stock based compensation expense is capitalized into capitalized software.</w:t>
      </w:r>
    </w:p>
    <w:p>
      <w:pPr>
        <w:spacing w:after="0" w:line="149"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w:t>
      </w:r>
    </w:p>
    <w:p>
      <w:pPr>
        <w:spacing w:after="0" w:line="98"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b w:val="1"/>
          <w:bCs w:val="1"/>
          <w:color w:val="auto"/>
        </w:rPr>
        <w:t xml:space="preserve">Sales and use and value-added tax (VAT) </w:t>
      </w:r>
      <w:r>
        <w:rPr>
          <w:rFonts w:ascii="Arial" w:cs="Arial" w:eastAsia="Arial" w:hAnsi="Arial"/>
          <w:sz w:val="18"/>
          <w:szCs w:val="18"/>
          <w:color w:val="auto"/>
        </w:rPr>
        <w:t>- The Company determined that it was required to pay sales and use and VAT taxes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The Company is in the process of filing voluntary disclosure agreements with certain jurisdictions and remitting the estimated taxes. If these jurisdictions determine that additional amounts are necessary, the Company will be required to pay accordingly.</w:t>
      </w:r>
    </w:p>
    <w:p>
      <w:pPr>
        <w:spacing w:after="0" w:line="116"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b w:val="1"/>
          <w:bCs w:val="1"/>
          <w:color w:val="auto"/>
        </w:rPr>
        <w:t xml:space="preserve">Related Parties </w:t>
      </w:r>
      <w:r>
        <w:rPr>
          <w:rFonts w:ascii="Arial" w:cs="Arial" w:eastAsia="Arial" w:hAnsi="Arial"/>
          <w:sz w:val="18"/>
          <w:szCs w:val="18"/>
          <w:color w:val="auto"/>
        </w:rPr>
        <w:t>- The Company has determined that there were no transactions with related parties as of or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 w:right="339" w:bottom="1440" w:gutter="0" w:footer="0" w:header="0"/>
        </w:sectPr>
      </w:pPr>
    </w:p>
    <w:bookmarkStart w:id="247" w:name="page248"/>
    <w:bookmarkEnd w:id="247"/>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340" w:type="dxa"/>
            <w:vAlign w:val="bottom"/>
          </w:tcPr>
          <w:p>
            <w:pPr>
              <w:ind w:left="80"/>
              <w:spacing w:after="0"/>
              <w:rPr>
                <w:sz w:val="20"/>
                <w:szCs w:val="20"/>
                <w:color w:val="auto"/>
              </w:rPr>
            </w:pPr>
            <w:r>
              <w:rPr>
                <w:rFonts w:ascii="Arial" w:cs="Arial" w:eastAsia="Arial" w:hAnsi="Arial"/>
                <w:sz w:val="18"/>
                <w:szCs w:val="18"/>
                <w:b w:val="1"/>
                <w:bCs w:val="1"/>
                <w:color w:val="auto"/>
              </w:rPr>
              <w:t>ACCRUED EXPENSES AND OTHER LIABILITIES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79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560" w:type="dxa"/>
            <w:vAlign w:val="bottom"/>
            <w:tcBorders>
              <w:bottom w:val="single" w:sz="8" w:color="DBDBDB"/>
            </w:tcBorders>
          </w:tcPr>
          <w:p>
            <w:pPr>
              <w:spacing w:after="0"/>
              <w:rPr>
                <w:sz w:val="24"/>
                <w:szCs w:val="24"/>
                <w:color w:val="auto"/>
              </w:rPr>
            </w:pPr>
          </w:p>
        </w:tc>
        <w:tc>
          <w:tcPr>
            <w:tcW w:w="734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DBDBDB"/>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Contributor awards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5,098</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Sales and VAT tax accrual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29"/>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Marketing related accruals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1,513</w:t>
            </w:r>
          </w:p>
        </w:tc>
        <w:tc>
          <w:tcPr>
            <w:tcW w:w="1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Obligations under current leases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229"/>
        </w:trPr>
        <w:tc>
          <w:tcPr>
            <w:tcW w:w="7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Employee related benefits</w:t>
            </w:r>
          </w:p>
        </w:tc>
        <w:tc>
          <w:tcPr>
            <w:tcW w:w="1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18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r>
      <w:tr>
        <w:trPr>
          <w:trHeight w:val="248"/>
        </w:trPr>
        <w:tc>
          <w:tcPr>
            <w:tcW w:w="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73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8,634</w:t>
            </w:r>
          </w:p>
        </w:tc>
        <w:tc>
          <w:tcPr>
            <w:tcW w:w="18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14,956</w:t>
            </w:r>
          </w:p>
        </w:tc>
      </w:tr>
      <w:tr>
        <w:trPr>
          <w:trHeight w:val="20"/>
        </w:trPr>
        <w:tc>
          <w:tcPr>
            <w:tcW w:w="560" w:type="dxa"/>
            <w:vAlign w:val="bottom"/>
            <w:tcBorders>
              <w:top w:val="single" w:sz="8" w:color="DBDBDB"/>
            </w:tcBorders>
          </w:tcPr>
          <w:p>
            <w:pPr>
              <w:spacing w:after="0" w:line="20" w:lineRule="exact"/>
              <w:rPr>
                <w:sz w:val="1"/>
                <w:szCs w:val="1"/>
                <w:color w:val="auto"/>
              </w:rPr>
            </w:pPr>
          </w:p>
        </w:tc>
        <w:tc>
          <w:tcPr>
            <w:tcW w:w="73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7"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prior year Plan provided for Company safe harbor matching contributions of 100% of the first 3% of the employees’ elective deferrals and 50% of the next 2%, with vesting starting upon the first day of employment. The Company also has the option to make discretionary matching or profit sharing contributions. The Company made safe harbor matching contributions of approximately $341 and $702 during the three months ended March 31, 2020 and 2021, respectively. The Company did not make any discretionary matching or profit sharing contributions during the three months ended March 31, 2020 or 2021.</w:t>
      </w:r>
    </w:p>
    <w:p>
      <w:pPr>
        <w:spacing w:after="0" w:line="120"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0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the convertible preferred stock to be participating securities. Under the two-class method, the net loss attributable to common stockholders is not allocated to the convertible preferred stock as the holders of the convertible preferred stock do not have a contractual obligation to share in the Company’s losses. Basic net loss per share attributable to common stockholders is computed by dividing the net loss by the weighted-average number of shares of common stock outstanding during the period, less shares subject to repurchase. The diluted net loss per share attributable to common stockholders is computed by giving effect to all potential dilutive common stock equivalents outstanding for the period. For purposes of this calculation, the convertible preferred stock are considered to be potential common stock equivalents but have been excluded from the calculation of diluted net loss per share attributable to common stockholders as their effect is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9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BDBDB"/>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0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(13,472)</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188"/>
        </w:trPr>
        <w:tc>
          <w:tcPr>
            <w:tcW w:w="7980" w:type="dxa"/>
            <w:vAlign w:val="bottom"/>
          </w:tcPr>
          <w:p>
            <w:pPr>
              <w:ind w:left="100"/>
              <w:spacing w:after="0" w:line="189"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w:t>
            </w:r>
          </w:p>
        </w:tc>
      </w:tr>
      <w:tr>
        <w:trPr>
          <w:trHeight w:val="248"/>
        </w:trPr>
        <w:tc>
          <w:tcPr>
            <w:tcW w:w="7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79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 w:right="339" w:bottom="1440" w:gutter="0" w:footer="0" w:header="0"/>
        </w:sectPr>
      </w:pPr>
    </w:p>
    <w:bookmarkStart w:id="248" w:name="page249"/>
    <w:bookmarkEnd w:id="248"/>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Since the Company was in a net loss position for the three months ended March 31, 2020 and 2021, there is no difference between the number of shares used to calculate basic and diluted loss per share. The potential shares of common stock that were excluded from the computation of diluted net loss per share attributable to common stockholders for the period presented because including them would have been antidilutive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240" w:type="dxa"/>
            <w:vAlign w:val="bottom"/>
            <w:gridSpan w:val="3"/>
          </w:tcPr>
          <w:p>
            <w:pPr>
              <w:jc w:val="center"/>
              <w:ind w:left="899"/>
              <w:spacing w:after="0"/>
              <w:rPr>
                <w:sz w:val="20"/>
                <w:szCs w:val="20"/>
                <w:color w:val="auto"/>
              </w:rPr>
            </w:pPr>
            <w:r>
              <w:rPr>
                <w:rFonts w:ascii="Arial" w:cs="Arial" w:eastAsia="Arial" w:hAnsi="Arial"/>
                <w:sz w:val="14"/>
                <w:szCs w:val="14"/>
                <w:b w:val="1"/>
                <w:bCs w:val="1"/>
                <w:color w:val="auto"/>
              </w:rPr>
              <w:t>Number of shares</w:t>
            </w:r>
          </w:p>
        </w:tc>
        <w:tc>
          <w:tcPr>
            <w:tcW w:w="980" w:type="dxa"/>
            <w:vAlign w:val="bottom"/>
          </w:tcPr>
          <w:p>
            <w:pPr>
              <w:spacing w:after="0"/>
              <w:rPr>
                <w:sz w:val="16"/>
                <w:szCs w:val="16"/>
                <w:color w:val="auto"/>
              </w:rPr>
            </w:pPr>
          </w:p>
        </w:tc>
      </w:tr>
      <w:tr>
        <w:trPr>
          <w:trHeight w:val="189"/>
        </w:trPr>
        <w:tc>
          <w:tcPr>
            <w:tcW w:w="802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DBDBDB"/>
            </w:tcBorders>
          </w:tcPr>
          <w:p>
            <w:pPr>
              <w:spacing w:after="0"/>
              <w:rPr>
                <w:sz w:val="15"/>
                <w:szCs w:val="15"/>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w:t>
            </w:r>
          </w:p>
        </w:tc>
      </w:tr>
      <w:tr>
        <w:trPr>
          <w:trHeight w:val="248"/>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21,698</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23,210</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Subsequent events were evaluated through July 19, 2021, the date that these unaudited condensed consolidated financial statements were available to be issued.</w:t>
      </w:r>
    </w:p>
    <w:p>
      <w:pPr>
        <w:spacing w:after="0" w:line="143"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In April 2021, the Company granted options to purchase 72 shares of common stock at an exercise price of $52.80 per share and 553 RSUs to employees. The options and RSUs have unrecognized compensation expense of approximately $1,764 and $29,187, respectively, which the Company expects to recognize over a period of four years.</w:t>
      </w:r>
    </w:p>
    <w:p>
      <w:pPr>
        <w:spacing w:after="0" w:line="149"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In June 2021, the Company granted 1,800 performance-based RSUs to the Company’s founders (the Founder Awards).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performance-based condition will be satisfied only if the closing price of the Company’s Class A common stock reaches certain stock-price hurdles that are significantly in excess of the Company’s current valuation over a period of ten years. The Founder Awards are divided into ten equal tranches with each tranche becoming eligible to vest upon achievement of the specified stock-price hurdles. The unrecognized compensation expense related to the Founder Awards is estimated to be approximately $100,543, which the Company expects to recognize over a period of one to seven years, depending upon the achievement of the stock-price hurdles.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 w:right="339" w:bottom="1440" w:gutter="0" w:footer="0" w:header="0"/>
        </w:sectPr>
      </w:pPr>
    </w:p>
    <w:bookmarkStart w:id="249" w:name="page250"/>
    <w:bookmarkEnd w:id="249"/>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3649345</wp:posOffset>
            </wp:positionV>
            <wp:extent cx="3660140" cy="874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601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040"/>
          </w:cols>
          <w:pgMar w:left="320" w:top="144" w:right="539" w:bottom="1440" w:gutter="0" w:footer="0" w:header="0"/>
        </w:sectPr>
      </w:pPr>
    </w:p>
    <w:bookmarkStart w:id="250" w:name="page251"/>
    <w:bookmarkEnd w:id="250"/>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07" w:lineRule="exact"/>
        <w:rPr>
          <w:sz w:val="20"/>
          <w:szCs w:val="20"/>
          <w:color w:val="auto"/>
        </w:rPr>
      </w:pPr>
    </w:p>
    <w:p>
      <w:pPr>
        <w:jc w:val="both"/>
        <w:ind w:right="120"/>
        <w:spacing w:after="0" w:line="294"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us, in connection with the sale of our Class A common stock being registered. All amounts are estimates except for the Securities and Exchange Commission (SEC) registration fee, the Financial Industry Regulatory Authority (FINRA) filing fee, and the Nasdaq Global Select Market listing fee.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 registration fee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64,064</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88,581</w:t>
            </w:r>
          </w:p>
        </w:tc>
      </w:tr>
      <w:tr>
        <w:trPr>
          <w:trHeight w:val="230"/>
        </w:trPr>
        <w:tc>
          <w:tcPr>
            <w:tcW w:w="9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Nasdaq Global Select Market listing fee</w:t>
            </w: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125,000</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Printing fees and expenses</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9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fees and expenses</w:t>
            </w: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1,600,000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29"/>
        </w:trPr>
        <w:tc>
          <w:tcPr>
            <w:tcW w:w="9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4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Miscellaneous fees and expenses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592,355</w:t>
            </w:r>
          </w:p>
        </w:tc>
      </w:tr>
      <w:tr>
        <w:trPr>
          <w:trHeight w:val="248"/>
        </w:trPr>
        <w:tc>
          <w:tcPr>
            <w:tcW w:w="9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4,000,000</w:t>
            </w:r>
          </w:p>
        </w:tc>
      </w:tr>
      <w:tr>
        <w:trPr>
          <w:trHeight w:val="20"/>
        </w:trPr>
        <w:tc>
          <w:tcPr>
            <w:tcW w:w="964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expect to adopt an amended and restated certificate of incorporation,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40"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in violation of Delaware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Section 145 of the Delaware General Corporation Law, among other things, grants a Delaware corporation the power to, and authorizes a court to award, indemnification and advancement of expenses to officers, directors, and other corporate agents.</w:t>
      </w:r>
    </w:p>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expect to adopt amended and restated bylaws, which will become effective immediately prior to the completion of this offering and will provide that we will indemnify, to the fullest extent permitted by law,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 w:right="339" w:bottom="1440" w:gutter="0" w:footer="0" w:header="0"/>
        </w:sectPr>
      </w:pPr>
    </w:p>
    <w:bookmarkStart w:id="251" w:name="page252"/>
    <w:bookmarkEnd w:id="251"/>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shall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5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Further, we have entered into or intend to enter into indemnification agreements with each of our directors and executive officers.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 directors and executive officers in advance of the final disposition of the action, suit, or proceeding. We believe that these indemnification agreements are necessary to attract and retain qualified individuals to serve as directors and executive officers.</w:t>
      </w:r>
    </w:p>
    <w:p>
      <w:pPr>
        <w:spacing w:after="0" w:line="15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color w:val="auto"/>
        </w:rPr>
        <w:t>The limitation of liability and indemnification provisions that are expected to be included, or are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 w:right="339" w:bottom="1440" w:gutter="0" w:footer="0" w:header="0"/>
        </w:sectPr>
      </w:pPr>
    </w:p>
    <w:bookmarkStart w:id="252" w:name="page253"/>
    <w:bookmarkEnd w:id="252"/>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43"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0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2018, which were not registered under the Securities Act.</w:t>
      </w:r>
    </w:p>
    <w:p>
      <w:pPr>
        <w:spacing w:after="0" w:line="130" w:lineRule="exact"/>
        <w:rPr>
          <w:sz w:val="20"/>
          <w:szCs w:val="20"/>
          <w:color w:val="auto"/>
        </w:rPr>
      </w:pPr>
    </w:p>
    <w:p>
      <w:pPr>
        <w:ind w:left="660" w:right="720" w:hanging="328"/>
        <w:spacing w:after="0" w:line="261"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November 2020, we issued an aggregate of 585,623 shares of our Series H convertible preferred stock to two accredited investors, at a price per share of $59.7653, for gross proceeds of approximately $35.0 million.</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April 2020, we issued an aggregate of 241,658 shares of our Series G convertible preferred stock to one accredited investor, at a price per share of $41.3807, for gross proceeds of approximately $10.0 million.</w:t>
      </w:r>
    </w:p>
    <w:p>
      <w:pPr>
        <w:spacing w:after="0" w:line="143"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November 2019, we issued an aggregate of 758,146 shares of our Series F convertible preferred stock to one accredited investor, at a price per share of $39.5702, for gross proceeds of approximately $30.0 million.</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granted to our directors, employees, consultants, and other service providers options to purchase an aggregate of 5,436,303 shares of our common stock under our 2011 Equity Incentive Plan (2011 Plan), at exercise prices ranging from $7.11 to $52.80 per share.</w:t>
      </w:r>
    </w:p>
    <w:p>
      <w:pPr>
        <w:spacing w:after="0" w:line="147" w:lineRule="exact"/>
        <w:rPr>
          <w:rFonts w:ascii="Arial" w:cs="Arial" w:eastAsia="Arial" w:hAnsi="Arial"/>
          <w:sz w:val="18"/>
          <w:szCs w:val="18"/>
          <w:color w:val="auto"/>
        </w:rPr>
      </w:pPr>
    </w:p>
    <w:p>
      <w:pPr>
        <w:ind w:left="660" w:right="260" w:hanging="328"/>
        <w:spacing w:after="0" w:line="261"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granted to our directors, employees, consultants, and other service providers restricted stock units representing an aggregate of 594,705 shares of our common stock, under our 2011 Plan.</w:t>
      </w:r>
    </w:p>
    <w:p>
      <w:pPr>
        <w:spacing w:after="0" w:line="143" w:lineRule="exact"/>
        <w:rPr>
          <w:rFonts w:ascii="Arial" w:cs="Arial" w:eastAsia="Arial" w:hAnsi="Arial"/>
          <w:sz w:val="18"/>
          <w:szCs w:val="18"/>
          <w:color w:val="auto"/>
        </w:rPr>
      </w:pPr>
    </w:p>
    <w:p>
      <w:pPr>
        <w:ind w:left="660" w:right="260" w:hanging="328"/>
        <w:spacing w:after="0" w:line="256"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issued and sold to our employees, consultants, and other service providers an aggregate of 3,227,266 shares of our common stock upon the exercise of stock options under our 2011 Plan, for a weighted-average exercise price of $8.74 and aggregate consideration of approximately $9.5 million.</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(3)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51"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paragraphs (4)-(6)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144" w:right="399" w:bottom="1440" w:gutter="0" w:footer="0" w:header="0"/>
        </w:sectPr>
      </w:pPr>
    </w:p>
    <w:bookmarkStart w:id="253" w:name="page254"/>
    <w:bookmarkEnd w:id="253"/>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60" w:type="dxa"/>
            <w:vAlign w:val="bottom"/>
            <w:tcBorders>
              <w:top w:val="single" w:sz="8" w:color="auto"/>
            </w:tcBorders>
            <w:gridSpan w:val="38"/>
          </w:tcPr>
          <w:p>
            <w:pPr>
              <w:spacing w:after="0" w:line="169" w:lineRule="exact"/>
              <w:rPr>
                <w:rFonts w:ascii="Arial" w:cs="Arial" w:eastAsia="Arial" w:hAnsi="Arial"/>
                <w:sz w:val="16"/>
                <w:szCs w:val="16"/>
                <w:color w:val="0000FF"/>
              </w:rPr>
            </w:pPr>
            <w:hyperlink r:id="rId81">
              <w:r>
                <w:rPr>
                  <w:rFonts w:ascii="Arial" w:cs="Arial" w:eastAsia="Arial" w:hAnsi="Arial"/>
                  <w:sz w:val="16"/>
                  <w:szCs w:val="16"/>
                  <w:color w:val="0000FF"/>
                </w:rPr>
                <w:t>Form of Underwriting Agreement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20"/>
          </w:tcPr>
          <w:p>
            <w:pPr>
              <w:spacing w:after="0"/>
              <w:rPr>
                <w:rFonts w:ascii="Arial" w:cs="Arial" w:eastAsia="Arial" w:hAnsi="Arial"/>
                <w:sz w:val="16"/>
                <w:szCs w:val="16"/>
                <w:color w:val="0000FF"/>
              </w:rPr>
            </w:pPr>
            <w:hyperlink r:id="rId82">
              <w:r>
                <w:rPr>
                  <w:rFonts w:ascii="Arial" w:cs="Arial" w:eastAsia="Arial" w:hAnsi="Arial"/>
                  <w:sz w:val="16"/>
                  <w:szCs w:val="16"/>
                  <w:color w:val="0000FF"/>
                </w:rPr>
                <w:t>Amended and Restated Certificate of Incorporation, as currently in effect</w:t>
              </w:r>
            </w:hyperlink>
          </w:p>
        </w:tc>
        <w:tc>
          <w:tcPr>
            <w:tcW w:w="4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20" w:type="dxa"/>
            <w:vAlign w:val="bottom"/>
            <w:tcBorders>
              <w:bottom w:val="single" w:sz="8" w:color="0000FF"/>
            </w:tcBorders>
            <w:gridSpan w:val="34"/>
          </w:tcPr>
          <w:p>
            <w:pPr>
              <w:spacing w:after="0"/>
              <w:rPr>
                <w:rFonts w:ascii="Arial" w:cs="Arial" w:eastAsia="Arial" w:hAnsi="Arial"/>
                <w:sz w:val="16"/>
                <w:szCs w:val="16"/>
                <w:color w:val="0000FF"/>
              </w:rPr>
            </w:pPr>
            <w:hyperlink r:id="rId83">
              <w:r>
                <w:rPr>
                  <w:rFonts w:ascii="Arial" w:cs="Arial" w:eastAsia="Arial" w:hAnsi="Arial"/>
                  <w:sz w:val="16"/>
                  <w:szCs w:val="16"/>
                  <w:color w:val="0000FF"/>
                </w:rPr>
                <w:t>Form of Amended and Restated Certificate of Incorporation, to be in effect immediately prior to the completion of this offering</w:t>
              </w:r>
            </w:hyperlink>
          </w:p>
        </w:tc>
        <w:tc>
          <w:tcPr>
            <w:tcW w:w="1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84">
              <w:r>
                <w:rPr>
                  <w:rFonts w:ascii="Arial" w:cs="Arial" w:eastAsia="Arial" w:hAnsi="Arial"/>
                  <w:sz w:val="16"/>
                  <w:szCs w:val="16"/>
                  <w:color w:val="0000FF"/>
                </w:rPr>
                <w:t>Bylaws, as currently in effect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FF"/>
            </w:tcBorders>
            <w:gridSpan w:val="26"/>
          </w:tcPr>
          <w:p>
            <w:pPr>
              <w:spacing w:after="0"/>
              <w:rPr>
                <w:rFonts w:ascii="Arial" w:cs="Arial" w:eastAsia="Arial" w:hAnsi="Arial"/>
                <w:sz w:val="16"/>
                <w:szCs w:val="16"/>
                <w:color w:val="0000FF"/>
              </w:rPr>
            </w:pPr>
            <w:hyperlink r:id="rId85">
              <w:r>
                <w:rPr>
                  <w:rFonts w:ascii="Arial" w:cs="Arial" w:eastAsia="Arial" w:hAnsi="Arial"/>
                  <w:sz w:val="16"/>
                  <w:szCs w:val="16"/>
                  <w:color w:val="0000FF"/>
                </w:rPr>
                <w:t>Form of Amended and Restated Bylaws, to be in effect immediately prior to the completion of this offering</w:t>
              </w:r>
            </w:hyperlink>
          </w:p>
        </w:tc>
        <w:tc>
          <w:tcPr>
            <w:tcW w:w="2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60" w:type="dxa"/>
            <w:vAlign w:val="bottom"/>
          </w:tcPr>
          <w:p>
            <w:pPr>
              <w:ind w:lef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8"/>
          </w:tcPr>
          <w:p>
            <w:pPr>
              <w:spacing w:after="0"/>
              <w:rPr>
                <w:sz w:val="20"/>
                <w:szCs w:val="20"/>
                <w:color w:val="auto"/>
              </w:rPr>
            </w:pPr>
            <w:r>
              <w:rPr>
                <w:rFonts w:ascii="Arial" w:cs="Arial" w:eastAsia="Arial" w:hAnsi="Arial"/>
                <w:sz w:val="16"/>
                <w:szCs w:val="16"/>
                <w:color w:val="auto"/>
              </w:rPr>
              <w:t>Reference is made to Exhibits 3.1 through 3.4</w:t>
            </w:r>
          </w:p>
        </w:tc>
        <w:tc>
          <w:tcPr>
            <w:tcW w:w="0" w:type="dxa"/>
            <w:vAlign w:val="bottom"/>
          </w:tcPr>
          <w:p>
            <w:pPr>
              <w:spacing w:after="0"/>
              <w:rPr>
                <w:sz w:val="1"/>
                <w:szCs w:val="1"/>
                <w:color w:val="auto"/>
              </w:rPr>
            </w:pPr>
          </w:p>
        </w:tc>
      </w:tr>
      <w:tr>
        <w:trPr>
          <w:trHeight w:val="181"/>
        </w:trPr>
        <w:tc>
          <w:tcPr>
            <w:tcW w:w="1060" w:type="dxa"/>
            <w:vAlign w:val="bottom"/>
          </w:tcPr>
          <w:p>
            <w:pPr>
              <w:ind w:left="20"/>
              <w:spacing w:after="0" w:line="181"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bottom w:val="single" w:sz="8" w:color="0000FF"/>
            </w:tcBorders>
            <w:gridSpan w:val="9"/>
          </w:tcPr>
          <w:p>
            <w:pPr>
              <w:spacing w:after="0" w:line="181" w:lineRule="exact"/>
              <w:rPr>
                <w:rFonts w:ascii="Arial" w:cs="Arial" w:eastAsia="Arial" w:hAnsi="Arial"/>
                <w:sz w:val="16"/>
                <w:szCs w:val="16"/>
                <w:color w:val="0000FF"/>
              </w:rPr>
            </w:pPr>
            <w:hyperlink r:id="rId86">
              <w:r>
                <w:rPr>
                  <w:rFonts w:ascii="Arial" w:cs="Arial" w:eastAsia="Arial" w:hAnsi="Arial"/>
                  <w:sz w:val="16"/>
                  <w:szCs w:val="16"/>
                  <w:color w:val="0000FF"/>
                </w:rPr>
                <w:t>Form of Class A Common Stock Certificate</w:t>
              </w:r>
            </w:hyperlink>
          </w:p>
        </w:tc>
        <w:tc>
          <w:tcPr>
            <w:tcW w:w="698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87">
              <w:r>
                <w:rPr>
                  <w:rFonts w:ascii="Arial" w:cs="Arial" w:eastAsia="Arial" w:hAnsi="Arial"/>
                  <w:sz w:val="16"/>
                  <w:szCs w:val="16"/>
                  <w:color w:val="0000FF"/>
                </w:rPr>
                <w:t>Amended and Restated Investors’ Rights Agreement, dated November 6, 2020, by and among the Registrant and the investors listed</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6"/>
          </w:tcPr>
          <w:p>
            <w:pPr>
              <w:spacing w:after="0" w:line="155" w:lineRule="exact"/>
              <w:rPr>
                <w:rFonts w:ascii="Arial" w:cs="Arial" w:eastAsia="Arial" w:hAnsi="Arial"/>
                <w:sz w:val="16"/>
                <w:szCs w:val="16"/>
                <w:color w:val="0000FF"/>
              </w:rPr>
            </w:pPr>
            <w:hyperlink r:id="rId87">
              <w:r>
                <w:rPr>
                  <w:rFonts w:ascii="Arial" w:cs="Arial" w:eastAsia="Arial" w:hAnsi="Arial"/>
                  <w:sz w:val="16"/>
                  <w:szCs w:val="16"/>
                  <w:color w:val="0000FF"/>
                </w:rPr>
                <w:t>therein</w:t>
              </w:r>
            </w:hyperlink>
          </w:p>
        </w:tc>
        <w:tc>
          <w:tcPr>
            <w:tcW w:w="5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Borders>
              <w:bottom w:val="single" w:sz="8" w:color="0000FF"/>
            </w:tcBorders>
            <w:gridSpan w:val="7"/>
          </w:tcPr>
          <w:p>
            <w:pPr>
              <w:spacing w:after="0"/>
              <w:rPr>
                <w:rFonts w:ascii="Arial" w:cs="Arial" w:eastAsia="Arial" w:hAnsi="Arial"/>
                <w:sz w:val="16"/>
                <w:szCs w:val="16"/>
                <w:color w:val="0000FF"/>
                <w:w w:val="99"/>
              </w:rPr>
            </w:pPr>
            <w:hyperlink r:id="rId88">
              <w:r>
                <w:rPr>
                  <w:rFonts w:ascii="Arial" w:cs="Arial" w:eastAsia="Arial" w:hAnsi="Arial"/>
                  <w:sz w:val="16"/>
                  <w:szCs w:val="16"/>
                  <w:color w:val="0000FF"/>
                  <w:w w:val="99"/>
                </w:rPr>
                <w:t>Opinion of Latham &amp; Watkins LLP</w:t>
              </w:r>
            </w:hyperlink>
          </w:p>
        </w:tc>
        <w:tc>
          <w:tcPr>
            <w:tcW w:w="764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10.1(a)^</w:t>
            </w:r>
          </w:p>
        </w:tc>
        <w:tc>
          <w:tcPr>
            <w:tcW w:w="20" w:type="dxa"/>
            <w:vAlign w:val="bottom"/>
          </w:tcPr>
          <w:p>
            <w:pPr>
              <w:spacing w:after="0"/>
              <w:rPr>
                <w:sz w:val="17"/>
                <w:szCs w:val="17"/>
                <w:color w:val="auto"/>
              </w:rPr>
            </w:pPr>
          </w:p>
        </w:tc>
        <w:tc>
          <w:tcPr>
            <w:tcW w:w="7220" w:type="dxa"/>
            <w:vAlign w:val="bottom"/>
            <w:tcBorders>
              <w:bottom w:val="single" w:sz="8" w:color="0000FF"/>
            </w:tcBorders>
            <w:gridSpan w:val="24"/>
          </w:tcPr>
          <w:p>
            <w:pPr>
              <w:spacing w:after="0"/>
              <w:rPr>
                <w:rFonts w:ascii="Arial" w:cs="Arial" w:eastAsia="Arial" w:hAnsi="Arial"/>
                <w:sz w:val="16"/>
                <w:szCs w:val="16"/>
                <w:color w:val="0000FF"/>
              </w:rPr>
            </w:pPr>
            <w:hyperlink r:id="rId89">
              <w:r>
                <w:rPr>
                  <w:rFonts w:ascii="Arial" w:cs="Arial" w:eastAsia="Arial" w:hAnsi="Arial"/>
                  <w:sz w:val="16"/>
                  <w:szCs w:val="16"/>
                  <w:color w:val="0000FF"/>
                </w:rPr>
                <w:t>Office Lease Agreement, dated November 18,2015, by and between Alpha 4, L.P. and the Registrant</w:t>
              </w:r>
            </w:hyperlink>
          </w:p>
        </w:tc>
        <w:tc>
          <w:tcPr>
            <w:tcW w:w="2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10.1(b)^</w:t>
            </w:r>
          </w:p>
        </w:tc>
        <w:tc>
          <w:tcPr>
            <w:tcW w:w="20" w:type="dxa"/>
            <w:vAlign w:val="bottom"/>
          </w:tcPr>
          <w:p>
            <w:pPr>
              <w:spacing w:after="0"/>
              <w:rPr>
                <w:sz w:val="17"/>
                <w:szCs w:val="17"/>
                <w:color w:val="auto"/>
              </w:rPr>
            </w:pPr>
          </w:p>
        </w:tc>
        <w:tc>
          <w:tcPr>
            <w:tcW w:w="7960" w:type="dxa"/>
            <w:vAlign w:val="bottom"/>
            <w:tcBorders>
              <w:bottom w:val="single" w:sz="8" w:color="0000FF"/>
            </w:tcBorders>
            <w:gridSpan w:val="27"/>
          </w:tcPr>
          <w:p>
            <w:pPr>
              <w:spacing w:after="0"/>
              <w:rPr>
                <w:rFonts w:ascii="Arial" w:cs="Arial" w:eastAsia="Arial" w:hAnsi="Arial"/>
                <w:sz w:val="16"/>
                <w:szCs w:val="16"/>
                <w:color w:val="0000FF"/>
              </w:rPr>
            </w:pPr>
            <w:hyperlink r:id="rId90">
              <w:r>
                <w:rPr>
                  <w:rFonts w:ascii="Arial" w:cs="Arial" w:eastAsia="Arial" w:hAnsi="Arial"/>
                  <w:sz w:val="16"/>
                  <w:szCs w:val="16"/>
                  <w:color w:val="0000FF"/>
                </w:rPr>
                <w:t>Amendment to Office Lease Agreement, dated June 16, 2016, by and between Alpha 4, L.P. and the Registrant</w:t>
              </w:r>
            </w:hyperlink>
          </w:p>
        </w:tc>
        <w:tc>
          <w:tcPr>
            <w:tcW w:w="21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10.1(c)^</w:t>
            </w:r>
          </w:p>
        </w:tc>
        <w:tc>
          <w:tcPr>
            <w:tcW w:w="20" w:type="dxa"/>
            <w:vAlign w:val="bottom"/>
          </w:tcPr>
          <w:p>
            <w:pPr>
              <w:spacing w:after="0"/>
              <w:rPr>
                <w:sz w:val="17"/>
                <w:szCs w:val="17"/>
                <w:color w:val="auto"/>
              </w:rPr>
            </w:pPr>
          </w:p>
        </w:tc>
        <w:tc>
          <w:tcPr>
            <w:tcW w:w="8780" w:type="dxa"/>
            <w:vAlign w:val="bottom"/>
            <w:tcBorders>
              <w:bottom w:val="single" w:sz="8" w:color="0000FF"/>
            </w:tcBorders>
            <w:gridSpan w:val="33"/>
          </w:tcPr>
          <w:p>
            <w:pPr>
              <w:spacing w:after="0"/>
              <w:rPr>
                <w:rFonts w:ascii="Arial" w:cs="Arial" w:eastAsia="Arial" w:hAnsi="Arial"/>
                <w:sz w:val="16"/>
                <w:szCs w:val="16"/>
                <w:color w:val="0000FF"/>
              </w:rPr>
            </w:pPr>
            <w:hyperlink r:id="rId91">
              <w:r>
                <w:rPr>
                  <w:rFonts w:ascii="Arial" w:cs="Arial" w:eastAsia="Arial" w:hAnsi="Arial"/>
                  <w:sz w:val="16"/>
                  <w:szCs w:val="16"/>
                  <w:color w:val="0000FF"/>
                </w:rPr>
                <w:t>Second Amendment to Office Lease Agreement, dated October 16, 2017, by and between Alpha 4, L.P. and the Registrant</w:t>
              </w:r>
            </w:hyperlink>
          </w:p>
        </w:tc>
        <w:tc>
          <w:tcPr>
            <w:tcW w:w="1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10.1(d)^</w:t>
            </w: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92">
              <w:r>
                <w:rPr>
                  <w:rFonts w:ascii="Arial" w:cs="Arial" w:eastAsia="Arial" w:hAnsi="Arial"/>
                  <w:sz w:val="16"/>
                  <w:szCs w:val="16"/>
                  <w:color w:val="0000FF"/>
                </w:rPr>
                <w:t>Third Amendment to Office Lease Agreement, dated December 31, 2017, by and between Alpha 4, L.P. and the Registrant</w:t>
              </w:r>
            </w:hyperlink>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10.1(e)^</w:t>
            </w:r>
          </w:p>
        </w:tc>
        <w:tc>
          <w:tcPr>
            <w:tcW w:w="20" w:type="dxa"/>
            <w:vAlign w:val="bottom"/>
          </w:tcPr>
          <w:p>
            <w:pPr>
              <w:spacing w:after="0"/>
              <w:rPr>
                <w:sz w:val="17"/>
                <w:szCs w:val="17"/>
                <w:color w:val="auto"/>
              </w:rPr>
            </w:pPr>
          </w:p>
        </w:tc>
        <w:tc>
          <w:tcPr>
            <w:tcW w:w="8760" w:type="dxa"/>
            <w:vAlign w:val="bottom"/>
            <w:tcBorders>
              <w:top w:val="single" w:sz="8" w:color="0000FF"/>
            </w:tcBorders>
            <w:gridSpan w:val="32"/>
          </w:tcPr>
          <w:p>
            <w:pPr>
              <w:spacing w:after="0"/>
              <w:rPr>
                <w:rFonts w:ascii="Arial" w:cs="Arial" w:eastAsia="Arial" w:hAnsi="Arial"/>
                <w:sz w:val="16"/>
                <w:szCs w:val="16"/>
                <w:color w:val="0000FF"/>
              </w:rPr>
            </w:pPr>
            <w:hyperlink r:id="rId93">
              <w:r>
                <w:rPr>
                  <w:rFonts w:ascii="Arial" w:cs="Arial" w:eastAsia="Arial" w:hAnsi="Arial"/>
                  <w:sz w:val="16"/>
                  <w:szCs w:val="16"/>
                  <w:color w:val="0000FF"/>
                </w:rPr>
                <w:t>Fourth Amendment to Office Lease Agreement, dated August 10, 2018, by and between Alpha 4, L.P. and the Registrant</w:t>
              </w:r>
            </w:hyperlink>
          </w:p>
        </w:tc>
        <w:tc>
          <w:tcPr>
            <w:tcW w:w="1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10.1(f)^</w:t>
            </w:r>
          </w:p>
        </w:tc>
        <w:tc>
          <w:tcPr>
            <w:tcW w:w="20" w:type="dxa"/>
            <w:vAlign w:val="bottom"/>
          </w:tcPr>
          <w:p>
            <w:pPr>
              <w:spacing w:after="0"/>
              <w:rPr>
                <w:sz w:val="17"/>
                <w:szCs w:val="17"/>
                <w:color w:val="auto"/>
              </w:rPr>
            </w:pPr>
          </w:p>
        </w:tc>
        <w:tc>
          <w:tcPr>
            <w:tcW w:w="8620" w:type="dxa"/>
            <w:vAlign w:val="bottom"/>
            <w:tcBorders>
              <w:top w:val="single" w:sz="8" w:color="0000FF"/>
            </w:tcBorders>
            <w:gridSpan w:val="30"/>
          </w:tcPr>
          <w:p>
            <w:pPr>
              <w:spacing w:after="0"/>
              <w:rPr>
                <w:rFonts w:ascii="Arial" w:cs="Arial" w:eastAsia="Arial" w:hAnsi="Arial"/>
                <w:sz w:val="16"/>
                <w:szCs w:val="16"/>
                <w:color w:val="0000FF"/>
              </w:rPr>
            </w:pPr>
            <w:hyperlink r:id="rId94">
              <w:r>
                <w:rPr>
                  <w:rFonts w:ascii="Arial" w:cs="Arial" w:eastAsia="Arial" w:hAnsi="Arial"/>
                  <w:sz w:val="16"/>
                  <w:szCs w:val="16"/>
                  <w:color w:val="0000FF"/>
                </w:rPr>
                <w:t>Fifth Amendment to Office Lease Agreement, dated October 22, 2018, by and between Alpha 4, L.P. and the Registrant</w:t>
              </w:r>
            </w:hyperlink>
          </w:p>
        </w:tc>
        <w:tc>
          <w:tcPr>
            <w:tcW w:w="1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10.1(g)^</w:t>
            </w: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95">
              <w:r>
                <w:rPr>
                  <w:rFonts w:ascii="Arial" w:cs="Arial" w:eastAsia="Arial" w:hAnsi="Arial"/>
                  <w:sz w:val="16"/>
                  <w:szCs w:val="16"/>
                  <w:color w:val="0000FF"/>
                </w:rPr>
                <w:t>Sixth Amendment to Office Lease Agreement, dated November 8, 2019, by and between Alpha 4, L.P. and the Registrant</w:t>
              </w:r>
            </w:hyperlink>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10.2(a)#^</w:t>
            </w:r>
          </w:p>
        </w:tc>
        <w:tc>
          <w:tcPr>
            <w:tcW w:w="2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r:id="rId96">
              <w:r>
                <w:rPr>
                  <w:rFonts w:ascii="Arial" w:cs="Arial" w:eastAsia="Arial" w:hAnsi="Arial"/>
                  <w:sz w:val="16"/>
                  <w:szCs w:val="16"/>
                  <w:color w:val="0000FF"/>
                </w:rPr>
                <w:t>2011 Equity Incentive Plan, as amended</w:t>
              </w:r>
            </w:hyperlink>
          </w:p>
        </w:tc>
        <w:tc>
          <w:tcPr>
            <w:tcW w:w="5760" w:type="dxa"/>
            <w:vAlign w:val="bottom"/>
            <w:tcBorders>
              <w:top w:val="single" w:sz="8" w:color="0000FF"/>
            </w:tcBorders>
            <w:gridSpan w:val="23"/>
          </w:tcPr>
          <w:p>
            <w:pPr>
              <w:spacing w:after="0"/>
              <w:rPr>
                <w:sz w:val="17"/>
                <w:szCs w:val="17"/>
                <w:color w:val="auto"/>
              </w:rPr>
            </w:pPr>
          </w:p>
        </w:tc>
        <w:tc>
          <w:tcPr>
            <w:tcW w:w="1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10.2(b)#^</w:t>
            </w: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97">
              <w:r>
                <w:rPr>
                  <w:rFonts w:ascii="Arial" w:cs="Arial" w:eastAsia="Arial" w:hAnsi="Arial"/>
                  <w:sz w:val="16"/>
                  <w:szCs w:val="16"/>
                  <w:color w:val="0000FF"/>
                </w:rPr>
                <w:t>Form of Stock Option Grant Notice and Stock Option Agreement under 2011 Equity Incentive Plan, as amended</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10.2(c)#^</w:t>
            </w:r>
          </w:p>
        </w:tc>
        <w:tc>
          <w:tcPr>
            <w:tcW w:w="20" w:type="dxa"/>
            <w:vAlign w:val="bottom"/>
          </w:tcPr>
          <w:p>
            <w:pPr>
              <w:spacing w:after="0"/>
              <w:rPr>
                <w:sz w:val="17"/>
                <w:szCs w:val="17"/>
                <w:color w:val="auto"/>
              </w:rPr>
            </w:pPr>
          </w:p>
        </w:tc>
        <w:tc>
          <w:tcPr>
            <w:tcW w:w="9680" w:type="dxa"/>
            <w:vAlign w:val="bottom"/>
            <w:tcBorders>
              <w:bottom w:val="single" w:sz="8" w:color="0000FF"/>
            </w:tcBorders>
            <w:gridSpan w:val="37"/>
          </w:tcPr>
          <w:p>
            <w:pPr>
              <w:spacing w:after="0"/>
              <w:rPr>
                <w:rFonts w:ascii="Arial" w:cs="Arial" w:eastAsia="Arial" w:hAnsi="Arial"/>
                <w:sz w:val="16"/>
                <w:szCs w:val="16"/>
                <w:color w:val="0000FF"/>
              </w:rPr>
            </w:pPr>
            <w:hyperlink r:id="rId98">
              <w:r>
                <w:rPr>
                  <w:rFonts w:ascii="Arial" w:cs="Arial" w:eastAsia="Arial" w:hAnsi="Arial"/>
                  <w:sz w:val="16"/>
                  <w:szCs w:val="16"/>
                  <w:color w:val="0000FF"/>
                </w:rPr>
                <w:t>Form of Restricted Stock Unit Grant Notice and Restricted Stock Unit Award Agreement under 2011 Equity Incentive Plan, as amended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10.3(a)#^</w:t>
            </w:r>
          </w:p>
        </w:tc>
        <w:tc>
          <w:tcPr>
            <w:tcW w:w="20" w:type="dxa"/>
            <w:vAlign w:val="bottom"/>
          </w:tcPr>
          <w:p>
            <w:pPr>
              <w:spacing w:after="0"/>
              <w:rPr>
                <w:sz w:val="17"/>
                <w:szCs w:val="17"/>
                <w:color w:val="auto"/>
              </w:rPr>
            </w:pPr>
          </w:p>
        </w:tc>
        <w:tc>
          <w:tcPr>
            <w:tcW w:w="1920" w:type="dxa"/>
            <w:vAlign w:val="bottom"/>
            <w:tcBorders>
              <w:bottom w:val="single" w:sz="8" w:color="0000FF"/>
            </w:tcBorders>
            <w:gridSpan w:val="3"/>
          </w:tcPr>
          <w:p>
            <w:pPr>
              <w:spacing w:after="0"/>
              <w:rPr>
                <w:rFonts w:ascii="Arial" w:cs="Arial" w:eastAsia="Arial" w:hAnsi="Arial"/>
                <w:sz w:val="16"/>
                <w:szCs w:val="16"/>
                <w:color w:val="0000FF"/>
                <w:w w:val="99"/>
              </w:rPr>
            </w:pPr>
            <w:hyperlink r:id="rId99">
              <w:r>
                <w:rPr>
                  <w:rFonts w:ascii="Arial" w:cs="Arial" w:eastAsia="Arial" w:hAnsi="Arial"/>
                  <w:sz w:val="16"/>
                  <w:szCs w:val="16"/>
                  <w:color w:val="0000FF"/>
                  <w:w w:val="99"/>
                </w:rPr>
                <w:t>2021 Incentive Award Plan</w:t>
              </w:r>
            </w:hyperlink>
          </w:p>
        </w:tc>
        <w:tc>
          <w:tcPr>
            <w:tcW w:w="814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10.3(b)#^</w:t>
            </w: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100">
              <w:r>
                <w:rPr>
                  <w:rFonts w:ascii="Arial" w:cs="Arial" w:eastAsia="Arial" w:hAnsi="Arial"/>
                  <w:sz w:val="16"/>
                  <w:szCs w:val="16"/>
                  <w:color w:val="0000FF"/>
                </w:rPr>
                <w:t>Form of Stock Option Grant Notice and Stock Option Agreement under the 2021 Incentive Award Plan</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6"/>
                <w:szCs w:val="16"/>
                <w:color w:val="auto"/>
              </w:rPr>
              <w:t>10.3(c)#^</w:t>
            </w:r>
          </w:p>
        </w:tc>
        <w:tc>
          <w:tcPr>
            <w:tcW w:w="20" w:type="dxa"/>
            <w:vAlign w:val="bottom"/>
          </w:tcPr>
          <w:p>
            <w:pPr>
              <w:spacing w:after="0"/>
              <w:rPr>
                <w:sz w:val="17"/>
                <w:szCs w:val="17"/>
                <w:color w:val="auto"/>
              </w:rPr>
            </w:pPr>
          </w:p>
        </w:tc>
        <w:tc>
          <w:tcPr>
            <w:tcW w:w="9480" w:type="dxa"/>
            <w:vAlign w:val="bottom"/>
            <w:tcBorders>
              <w:bottom w:val="single" w:sz="8" w:color="0000FF"/>
            </w:tcBorders>
            <w:gridSpan w:val="35"/>
          </w:tcPr>
          <w:p>
            <w:pPr>
              <w:spacing w:after="0"/>
              <w:rPr>
                <w:rFonts w:ascii="Arial" w:cs="Arial" w:eastAsia="Arial" w:hAnsi="Arial"/>
                <w:sz w:val="16"/>
                <w:szCs w:val="16"/>
                <w:color w:val="0000FF"/>
              </w:rPr>
            </w:pPr>
            <w:hyperlink r:id="rId101">
              <w:r>
                <w:rPr>
                  <w:rFonts w:ascii="Arial" w:cs="Arial" w:eastAsia="Arial" w:hAnsi="Arial"/>
                  <w:sz w:val="16"/>
                  <w:szCs w:val="16"/>
                  <w:color w:val="0000FF"/>
                </w:rPr>
                <w:t>Form of Restricted Stock Unit Award Grant Notice and Restricted Stock Unit Award Agreement under the 2021 Incentive Award Plan</w:t>
              </w:r>
            </w:hyperlink>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102">
              <w:r>
                <w:rPr>
                  <w:rFonts w:ascii="Arial" w:cs="Arial" w:eastAsia="Arial" w:hAnsi="Arial"/>
                  <w:sz w:val="16"/>
                  <w:szCs w:val="16"/>
                  <w:color w:val="0000FF"/>
                </w:rPr>
                <w:t>Employee Stock Purchase Plan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103">
              <w:r>
                <w:rPr>
                  <w:rFonts w:ascii="Arial" w:cs="Arial" w:eastAsia="Arial" w:hAnsi="Arial"/>
                  <w:sz w:val="16"/>
                  <w:szCs w:val="16"/>
                  <w:color w:val="0000FF"/>
                </w:rPr>
                <w:t>Offer Letter by and between the Registrant and Luis von Ahn</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000FF"/>
            </w:tcBorders>
            <w:gridSpan w:val="15"/>
          </w:tcPr>
          <w:p>
            <w:pPr>
              <w:spacing w:after="0"/>
              <w:rPr>
                <w:rFonts w:ascii="Arial" w:cs="Arial" w:eastAsia="Arial" w:hAnsi="Arial"/>
                <w:sz w:val="16"/>
                <w:szCs w:val="16"/>
                <w:color w:val="0000FF"/>
              </w:rPr>
            </w:pPr>
            <w:hyperlink r:id="rId104">
              <w:r>
                <w:rPr>
                  <w:rFonts w:ascii="Arial" w:cs="Arial" w:eastAsia="Arial" w:hAnsi="Arial"/>
                  <w:sz w:val="16"/>
                  <w:szCs w:val="16"/>
                  <w:color w:val="0000FF"/>
                </w:rPr>
                <w:t>Offer Letter by and between the Registrant and Severin Hacker</w:t>
              </w:r>
            </w:hyperlink>
          </w:p>
        </w:tc>
        <w:tc>
          <w:tcPr>
            <w:tcW w:w="55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105">
              <w:r>
                <w:rPr>
                  <w:rFonts w:ascii="Arial" w:cs="Arial" w:eastAsia="Arial" w:hAnsi="Arial"/>
                  <w:sz w:val="16"/>
                  <w:szCs w:val="16"/>
                  <w:color w:val="0000FF"/>
                </w:rPr>
                <w:t>Offer Letter by and between the Registrant and Matthew Skaruppa</w:t>
              </w:r>
            </w:hyperlink>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tcBorders>
            <w:gridSpan w:val="16"/>
          </w:tcPr>
          <w:p>
            <w:pPr>
              <w:spacing w:after="0"/>
              <w:rPr>
                <w:rFonts w:ascii="Arial" w:cs="Arial" w:eastAsia="Arial" w:hAnsi="Arial"/>
                <w:sz w:val="16"/>
                <w:szCs w:val="16"/>
                <w:color w:val="0000FF"/>
              </w:rPr>
            </w:pPr>
            <w:hyperlink r:id="rId106">
              <w:r>
                <w:rPr>
                  <w:rFonts w:ascii="Arial" w:cs="Arial" w:eastAsia="Arial" w:hAnsi="Arial"/>
                  <w:sz w:val="16"/>
                  <w:szCs w:val="16"/>
                  <w:color w:val="0000FF"/>
                </w:rPr>
                <w:t>Offer Letter by and between the Registrant and Robert Meese</w:t>
              </w:r>
            </w:hyperlink>
          </w:p>
        </w:tc>
        <w:tc>
          <w:tcPr>
            <w:tcW w:w="5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bottom w:val="single" w:sz="8" w:color="0000FF"/>
            </w:tcBorders>
            <w:gridSpan w:val="19"/>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Offer Letter by and between the Registrant and Natalie Glance</w:t>
              </w:r>
            </w:hyperlink>
          </w:p>
        </w:tc>
        <w:tc>
          <w:tcPr>
            <w:tcW w:w="50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38"/>
          </w:tcPr>
          <w:p>
            <w:pPr>
              <w:spacing w:after="0"/>
              <w:rPr>
                <w:rFonts w:ascii="Arial" w:cs="Arial" w:eastAsia="Arial" w:hAnsi="Arial"/>
                <w:sz w:val="18"/>
                <w:szCs w:val="18"/>
                <w:color w:val="0000FF"/>
              </w:rPr>
            </w:pPr>
            <w:hyperlink r:id="rId108">
              <w:r>
                <w:rPr>
                  <w:rFonts w:ascii="Arial" w:cs="Arial" w:eastAsia="Arial" w:hAnsi="Arial"/>
                  <w:sz w:val="18"/>
                  <w:szCs w:val="18"/>
                  <w:color w:val="0000FF"/>
                </w:rPr>
                <w:t>Offer Letter by and between the Registrant and Stephen Chen</w:t>
              </w:r>
            </w:hyperlink>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bottom w:val="single" w:sz="8" w:color="0000FF"/>
            </w:tcBorders>
            <w:gridSpan w:val="10"/>
          </w:tcPr>
          <w:p>
            <w:pPr>
              <w:spacing w:after="0"/>
              <w:rPr>
                <w:rFonts w:ascii="Arial" w:cs="Arial" w:eastAsia="Arial" w:hAnsi="Arial"/>
                <w:sz w:val="16"/>
                <w:szCs w:val="16"/>
                <w:color w:val="0000FF"/>
              </w:rPr>
            </w:pPr>
            <w:hyperlink r:id="rId109">
              <w:r>
                <w:rPr>
                  <w:rFonts w:ascii="Arial" w:cs="Arial" w:eastAsia="Arial" w:hAnsi="Arial"/>
                  <w:sz w:val="16"/>
                  <w:szCs w:val="16"/>
                  <w:color w:val="0000FF"/>
                </w:rPr>
                <w:t>Non-Employee Director Compensation Program</w:t>
              </w:r>
            </w:hyperlink>
          </w:p>
        </w:tc>
        <w:tc>
          <w:tcPr>
            <w:tcW w:w="1500" w:type="dxa"/>
            <w:vAlign w:val="bottom"/>
            <w:tcBorders>
              <w:top w:val="single" w:sz="8" w:color="0000FF"/>
            </w:tcBorders>
            <w:gridSpan w:val="8"/>
          </w:tcPr>
          <w:p>
            <w:pPr>
              <w:spacing w:after="0"/>
              <w:rPr>
                <w:sz w:val="17"/>
                <w:szCs w:val="17"/>
                <w:color w:val="auto"/>
              </w:rPr>
            </w:pPr>
          </w:p>
        </w:tc>
        <w:tc>
          <w:tcPr>
            <w:tcW w:w="51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Borders>
              <w:bottom w:val="single" w:sz="8" w:color="0000FF"/>
            </w:tcBorders>
            <w:gridSpan w:val="17"/>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Form of Indemnification Agreement for Directors and Officers</w:t>
              </w:r>
            </w:hyperlink>
          </w:p>
        </w:tc>
        <w:tc>
          <w:tcPr>
            <w:tcW w:w="52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r:id="rId111">
              <w:r>
                <w:rPr>
                  <w:rFonts w:ascii="Arial" w:cs="Arial" w:eastAsia="Arial" w:hAnsi="Arial"/>
                  <w:sz w:val="16"/>
                  <w:szCs w:val="16"/>
                  <w:color w:val="0000FF"/>
                </w:rPr>
                <w:t>Form of Exchange Agreement by and among the Registrant and the stockholders listed therein</w:t>
              </w:r>
            </w:hyperlink>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11"/>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Form of Change in Control and Severance Agreement</w:t>
              </w:r>
            </w:hyperlink>
          </w:p>
        </w:tc>
        <w:tc>
          <w:tcPr>
            <w:tcW w:w="2900" w:type="dxa"/>
            <w:vAlign w:val="bottom"/>
            <w:tcBorders>
              <w:top w:val="single" w:sz="8" w:color="0000FF"/>
            </w:tcBorders>
            <w:gridSpan w:val="12"/>
          </w:tcPr>
          <w:p>
            <w:pPr>
              <w:spacing w:after="0"/>
              <w:rPr>
                <w:sz w:val="17"/>
                <w:szCs w:val="17"/>
                <w:color w:val="auto"/>
              </w:rPr>
            </w:pPr>
          </w:p>
        </w:tc>
        <w:tc>
          <w:tcPr>
            <w:tcW w:w="32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gridSpan w:val="2"/>
          </w:tcPr>
          <w:p>
            <w:pPr>
              <w:spacing w:after="0"/>
              <w:rPr>
                <w:rFonts w:ascii="Arial" w:cs="Arial" w:eastAsia="Arial" w:hAnsi="Arial"/>
                <w:sz w:val="16"/>
                <w:szCs w:val="16"/>
                <w:color w:val="0000FF"/>
                <w:w w:val="99"/>
              </w:rPr>
            </w:pPr>
            <w:hyperlink r:id="rId113">
              <w:r>
                <w:rPr>
                  <w:rFonts w:ascii="Arial" w:cs="Arial" w:eastAsia="Arial" w:hAnsi="Arial"/>
                  <w:sz w:val="16"/>
                  <w:szCs w:val="16"/>
                  <w:color w:val="0000FF"/>
                  <w:w w:val="99"/>
                </w:rPr>
                <w:t>List of Subsidiaries</w:t>
              </w:r>
            </w:hyperlink>
          </w:p>
        </w:tc>
        <w:tc>
          <w:tcPr>
            <w:tcW w:w="87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w:anchor="page257">
              <w:r>
                <w:rPr>
                  <w:rFonts w:ascii="Arial" w:cs="Arial" w:eastAsia="Arial" w:hAnsi="Arial"/>
                  <w:sz w:val="16"/>
                  <w:szCs w:val="16"/>
                  <w:color w:val="0000FF"/>
                </w:rPr>
                <w:t>Consent of Deloitte &amp; Touche LLP, Independent Registered Public Accounting Firm</w:t>
              </w:r>
            </w:hyperlink>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12"/>
          </w:tcPr>
          <w:p>
            <w:pPr>
              <w:spacing w:after="0"/>
              <w:rPr>
                <w:rFonts w:ascii="Arial" w:cs="Arial" w:eastAsia="Arial" w:hAnsi="Arial"/>
                <w:sz w:val="16"/>
                <w:szCs w:val="16"/>
                <w:color w:val="0000FF"/>
              </w:rPr>
            </w:pPr>
            <w:hyperlink r:id="rId88">
              <w:r>
                <w:rPr>
                  <w:rFonts w:ascii="Arial" w:cs="Arial" w:eastAsia="Arial" w:hAnsi="Arial"/>
                  <w:sz w:val="16"/>
                  <w:szCs w:val="16"/>
                  <w:color w:val="0000FF"/>
                </w:rPr>
                <w:t>Consent of Latham &amp; Watkins LLP (included in Exhibit 5.1)</w:t>
              </w:r>
            </w:hyperlink>
          </w:p>
        </w:tc>
        <w:tc>
          <w:tcPr>
            <w:tcW w:w="1720" w:type="dxa"/>
            <w:vAlign w:val="bottom"/>
            <w:tcBorders>
              <w:top w:val="single" w:sz="8" w:color="0000FF"/>
            </w:tcBorders>
            <w:gridSpan w:val="9"/>
          </w:tcPr>
          <w:p>
            <w:pPr>
              <w:spacing w:after="0"/>
              <w:rPr>
                <w:sz w:val="17"/>
                <w:szCs w:val="17"/>
                <w:color w:val="auto"/>
              </w:rPr>
            </w:pPr>
          </w:p>
        </w:tc>
        <w:tc>
          <w:tcPr>
            <w:tcW w:w="41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8"/>
          </w:tcPr>
          <w:p>
            <w:pPr>
              <w:spacing w:after="0"/>
              <w:rPr>
                <w:rFonts w:ascii="Arial" w:cs="Arial" w:eastAsia="Arial" w:hAnsi="Arial"/>
                <w:sz w:val="16"/>
                <w:szCs w:val="16"/>
                <w:color w:val="0000FF"/>
              </w:rPr>
            </w:pPr>
            <w:hyperlink w:anchor="page255">
              <w:r>
                <w:rPr>
                  <w:rFonts w:ascii="Arial" w:cs="Arial" w:eastAsia="Arial" w:hAnsi="Arial"/>
                  <w:sz w:val="16"/>
                  <w:szCs w:val="16"/>
                  <w:color w:val="0000FF"/>
                </w:rPr>
                <w:t>Power of Attorney (reference is made to the signature page to the Registration Statement)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 w:right="339" w:bottom="1440" w:gutter="0" w:footer="0" w:header="0"/>
        </w:sectPr>
      </w:pPr>
    </w:p>
    <w:bookmarkStart w:id="254" w:name="page255"/>
    <w:bookmarkEnd w:id="254"/>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 w:lineRule="exact"/>
        <w:rPr>
          <w:sz w:val="20"/>
          <w:szCs w:val="20"/>
          <w:color w:val="auto"/>
        </w:rPr>
      </w:pPr>
    </w:p>
    <w:p>
      <w:pPr>
        <w:ind w:right="7620" w:firstLine="8"/>
        <w:spacing w:after="0" w:line="258" w:lineRule="auto"/>
        <w:tabs>
          <w:tab w:leader="none" w:pos="1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 Previously filed.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financial statement schedule is included in the consolidated financial statements, which form part of this registration statement, and is incorporated herein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660" w:right="20" w:hanging="328"/>
        <w:spacing w:after="0" w:line="251" w:lineRule="auto"/>
        <w:tabs>
          <w:tab w:leader="none" w:pos="6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rFonts w:ascii="Arial" w:cs="Arial" w:eastAsia="Arial" w:hAnsi="Arial"/>
          <w:sz w:val="18"/>
          <w:szCs w:val="18"/>
          <w:color w:val="auto"/>
        </w:rPr>
      </w:pPr>
    </w:p>
    <w:p>
      <w:pPr>
        <w:ind w:left="1300" w:hanging="320"/>
        <w:spacing w:after="0" w:line="254"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49" w:lineRule="exact"/>
        <w:rPr>
          <w:rFonts w:ascii="Arial" w:cs="Arial" w:eastAsia="Arial" w:hAnsi="Arial"/>
          <w:sz w:val="18"/>
          <w:szCs w:val="18"/>
          <w:color w:val="auto"/>
        </w:rPr>
      </w:pPr>
    </w:p>
    <w:p>
      <w:pPr>
        <w:jc w:val="both"/>
        <w:ind w:left="1300" w:right="140" w:hanging="320"/>
        <w:spacing w:after="0" w:line="256" w:lineRule="auto"/>
        <w:tabs>
          <w:tab w:leader="none" w:pos="129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20"/>
          </w:cols>
          <w:pgMar w:left="320" w:top="144" w:right="359" w:bottom="1440" w:gutter="0" w:footer="0" w:header="0"/>
        </w:sectPr>
      </w:pPr>
    </w:p>
    <w:bookmarkStart w:id="255" w:name="page256"/>
    <w:bookmarkEnd w:id="255"/>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2 to Registration Statement to be signed on its behalf by the undersigned, thereunto duly authorized, in Pittsburgh, Pennsylvania on July 26, 2021.</w:t>
      </w:r>
    </w:p>
    <w:p>
      <w:pPr>
        <w:spacing w:after="0" w:line="168"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DUOLINGO, INC.</w:t>
      </w:r>
    </w:p>
    <w:p>
      <w:pPr>
        <w:spacing w:after="0" w:line="355" w:lineRule="exact"/>
        <w:rPr>
          <w:sz w:val="20"/>
          <w:szCs w:val="20"/>
          <w:color w:val="auto"/>
        </w:rPr>
      </w:pPr>
    </w:p>
    <w:tbl>
      <w:tblPr>
        <w:tblLayout w:type="fixed"/>
        <w:tblInd w:w="658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Luis von Ahn</w:t>
            </w:r>
          </w:p>
        </w:tc>
      </w:tr>
      <w:tr>
        <w:trPr>
          <w:trHeight w:val="27"/>
        </w:trPr>
        <w:tc>
          <w:tcPr>
            <w:tcW w:w="66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6"/>
        </w:trPr>
        <w:tc>
          <w:tcPr>
            <w:tcW w:w="6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Luis von Ahn</w:t>
            </w:r>
          </w:p>
        </w:tc>
      </w:tr>
      <w:tr>
        <w:trPr>
          <w:trHeight w:val="217"/>
        </w:trPr>
        <w:tc>
          <w:tcPr>
            <w:tcW w:w="66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Amendment No. 2 to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00"/>
        </w:trPr>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371"/>
              <w:spacing w:after="0"/>
              <w:rPr>
                <w:sz w:val="20"/>
                <w:szCs w:val="20"/>
                <w:color w:val="auto"/>
              </w:rPr>
            </w:pPr>
            <w:r>
              <w:rPr>
                <w:rFonts w:ascii="Arial" w:cs="Arial" w:eastAsia="Arial" w:hAnsi="Arial"/>
                <w:sz w:val="18"/>
                <w:szCs w:val="18"/>
                <w:color w:val="auto"/>
                <w:w w:val="99"/>
              </w:rPr>
              <w:t>/s/ Luis von Ahn</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Chief Executive Officer and 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2780" w:type="dxa"/>
            <w:vAlign w:val="bottom"/>
            <w:vMerge w:val="restart"/>
          </w:tcPr>
          <w:p>
            <w:pPr>
              <w:jc w:val="center"/>
              <w:ind w:right="371"/>
              <w:spacing w:after="0"/>
              <w:rPr>
                <w:sz w:val="20"/>
                <w:szCs w:val="20"/>
                <w:color w:val="auto"/>
              </w:rPr>
            </w:pPr>
            <w:r>
              <w:rPr>
                <w:rFonts w:ascii="Arial" w:cs="Arial" w:eastAsia="Arial" w:hAnsi="Arial"/>
                <w:sz w:val="18"/>
                <w:szCs w:val="18"/>
                <w:color w:val="auto"/>
                <w:w w:val="99"/>
              </w:rPr>
              <w:t>Luis von Ahn</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gridSpan w:val="2"/>
            <w:vMerge w:val="restart"/>
          </w:tcPr>
          <w:p>
            <w:pPr>
              <w:jc w:val="center"/>
              <w:ind w:right="440"/>
              <w:spacing w:after="0" w:line="189" w:lineRule="exact"/>
              <w:rPr>
                <w:sz w:val="20"/>
                <w:szCs w:val="20"/>
                <w:color w:val="auto"/>
              </w:rPr>
            </w:pPr>
            <w:r>
              <w:rPr>
                <w:rFonts w:ascii="Arial" w:cs="Arial" w:eastAsia="Arial" w:hAnsi="Arial"/>
                <w:sz w:val="18"/>
                <w:szCs w:val="18"/>
                <w:color w:val="auto"/>
                <w:w w:val="99"/>
              </w:rPr>
              <w:t>(Principal Executive Officer)</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900" w:type="dxa"/>
            <w:vAlign w:val="bottom"/>
            <w:gridSpan w:val="2"/>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color w:val="auto"/>
                <w:w w:val="99"/>
              </w:rPr>
              <w:t>/s/ Matthew Skaruppa</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tcPr>
          <w:p>
            <w:pPr>
              <w:jc w:val="center"/>
              <w:ind w:right="440"/>
              <w:spacing w:after="0"/>
              <w:rPr>
                <w:sz w:val="20"/>
                <w:szCs w:val="20"/>
                <w:color w:val="auto"/>
              </w:rPr>
            </w:pPr>
            <w:r>
              <w:rPr>
                <w:rFonts w:ascii="Arial" w:cs="Arial" w:eastAsia="Arial" w:hAnsi="Arial"/>
                <w:sz w:val="18"/>
                <w:szCs w:val="18"/>
                <w:color w:val="auto"/>
              </w:rPr>
              <w:t>Chief Financial Officer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w w:val="99"/>
              </w:rPr>
              <w:t>Matthew Skaruppa</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900" w:type="dxa"/>
            <w:vAlign w:val="bottom"/>
            <w:gridSpan w:val="2"/>
            <w:vMerge w:val="restart"/>
          </w:tcPr>
          <w:p>
            <w:pPr>
              <w:jc w:val="center"/>
              <w:ind w:right="440"/>
              <w:spacing w:after="0" w:line="189" w:lineRule="exact"/>
              <w:rPr>
                <w:sz w:val="20"/>
                <w:szCs w:val="20"/>
                <w:color w:val="auto"/>
              </w:rPr>
            </w:pPr>
            <w:r>
              <w:rPr>
                <w:rFonts w:ascii="Arial" w:cs="Arial" w:eastAsia="Arial" w:hAnsi="Arial"/>
                <w:sz w:val="18"/>
                <w:szCs w:val="18"/>
                <w:color w:val="auto"/>
              </w:rPr>
              <w:t>(Principal Financial and Accounting Officer)</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900" w:type="dxa"/>
            <w:vAlign w:val="bottom"/>
            <w:gridSpan w:val="2"/>
            <w:vMerge w:val="continue"/>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rPr>
              <w:t>Amy Bohutinsky</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w w:val="99"/>
              </w:rPr>
              <w:t>Sara Clemens</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rPr>
              <w:t>Bing Gordon</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color w:val="auto"/>
                <w:w w:val="99"/>
              </w:rPr>
              <w:t>/s/ Severin Hacker</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Chief Technology Officer and 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w w:val="99"/>
              </w:rPr>
              <w:t>Severin Hacker</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w w:val="99"/>
              </w:rPr>
              <w:t>Gillian Munson</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w w:val="99"/>
              </w:rPr>
              <w:t>Jim Shelton</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4"/>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8"/>
              </w:rPr>
              <w:t>Director</w:t>
            </w:r>
          </w:p>
        </w:tc>
        <w:tc>
          <w:tcPr>
            <w:tcW w:w="2640" w:type="dxa"/>
            <w:vAlign w:val="bottom"/>
            <w:vMerge w:val="restart"/>
          </w:tcPr>
          <w:p>
            <w:pPr>
              <w:jc w:val="center"/>
              <w:spacing w:after="0"/>
              <w:rPr>
                <w:sz w:val="20"/>
                <w:szCs w:val="20"/>
                <w:color w:val="auto"/>
              </w:rPr>
            </w:pPr>
            <w:r>
              <w:rPr>
                <w:rFonts w:ascii="Arial" w:cs="Arial" w:eastAsia="Arial" w:hAnsi="Arial"/>
                <w:sz w:val="18"/>
                <w:szCs w:val="18"/>
                <w:color w:val="auto"/>
              </w:rPr>
              <w:t>July 26, 2021</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2780" w:type="dxa"/>
            <w:vAlign w:val="bottom"/>
            <w:vMerge w:val="restart"/>
          </w:tcPr>
          <w:p>
            <w:pPr>
              <w:jc w:val="center"/>
              <w:ind w:right="391"/>
              <w:spacing w:after="0"/>
              <w:rPr>
                <w:sz w:val="20"/>
                <w:szCs w:val="20"/>
                <w:color w:val="auto"/>
              </w:rPr>
            </w:pPr>
            <w:r>
              <w:rPr>
                <w:rFonts w:ascii="Arial" w:cs="Arial" w:eastAsia="Arial" w:hAnsi="Arial"/>
                <w:sz w:val="18"/>
                <w:szCs w:val="18"/>
                <w:color w:val="auto"/>
              </w:rPr>
              <w:t>Laela Sturdy</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900" w:type="dxa"/>
            <w:vAlign w:val="bottom"/>
            <w:gridSpan w:val="2"/>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8"/>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By:  /s/ Luis von Ahn</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Luis von Ahn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144"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consent to the use in this Amendment 2 to Registration Statement No. 333-257483 on Form S-1 of our report dated April 30, 2021, relating to the financial statements of Duolingo, Inc. and subsidiaries. We also consent to the reference to us under the heading "Experts" in such Registration Statement.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July 26,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decimal"/>
      <w:start w:val="1"/>
    </w:lvl>
    <w:lvl w:ilvl="1">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1)"/>
      <w:numFmt w:val="lowerLetter"/>
      <w:start w:val="1"/>
    </w:lvl>
  </w:abstractNum>
  <w:abstractNum w:abstractNumId="14">
    <w:nsid w:val="5DB70AE5"/>
    <w:multiLevelType w:val="hybridMultilevel"/>
    <w:lvl w:ilvl="0">
      <w:lvlJc w:val="left"/>
      <w:lvlText w:val="(%1)"/>
      <w:numFmt w:val="decimal"/>
      <w:start w:val="3"/>
    </w:lvl>
  </w:abstractNum>
  <w:abstractNum w:abstractNumId="15">
    <w:nsid w:val="100F8FCA"/>
    <w:multiLevelType w:val="hybridMultilevel"/>
    <w:lvl w:ilvl="0">
      <w:lvlJc w:val="left"/>
      <w:lvlText w:val="(%1)"/>
      <w:numFmt w:val="lowerLetter"/>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5"/>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1)"/>
      <w:numFmt w:val="decimal"/>
      <w:start w:val="1"/>
    </w:lvl>
  </w:abstractNum>
  <w:abstractNum w:abstractNumId="35">
    <w:nsid w:val="8F2B15E"/>
    <w:multiLevelType w:val="hybridMultilevel"/>
    <w:lvl w:ilvl="0">
      <w:lvlJc w:val="left"/>
      <w:lvlText w:val="(%1)"/>
      <w:numFmt w:val="decimal"/>
      <w:start w:val="3"/>
    </w:lvl>
  </w:abstractNum>
  <w:abstractNum w:abstractNumId="36">
    <w:nsid w:val="1A32234B"/>
    <w:multiLevelType w:val="hybridMultilevel"/>
    <w:lvl w:ilvl="0">
      <w:lvlJc w:val="left"/>
      <w:lvlText w:val="(%1)"/>
      <w:numFmt w:val="lowerLetter"/>
      <w:start w:val="1"/>
    </w:lvl>
  </w:abstractNum>
  <w:abstractNum w:abstractNumId="37">
    <w:nsid w:val="3B0FD379"/>
    <w:multiLevelType w:val="hybridMultilevel"/>
    <w:lvl w:ilvl="0">
      <w:lvlJc w:val="left"/>
      <w:lvlText w:val="(%1)"/>
      <w:numFmt w:val="lowerLetter"/>
      <w:start w:val="2"/>
    </w:lvl>
  </w:abstractNum>
  <w:abstractNum w:abstractNumId="38">
    <w:nsid w:val="68EB2F63"/>
    <w:multiLevelType w:val="hybridMultilevel"/>
    <w:lvl w:ilvl="0">
      <w:lvlJc w:val="left"/>
      <w:lvlText w:val="(%1)"/>
      <w:numFmt w:val="decimal"/>
      <w:start w:val="1"/>
    </w:lvl>
  </w:abstractNum>
  <w:abstractNum w:abstractNumId="39">
    <w:nsid w:val="4962813B"/>
    <w:multiLevelType w:val="hybridMultilevel"/>
    <w:lvl w:ilvl="0">
      <w:lvlJc w:val="left"/>
      <w:lvlText w:val="(%1)"/>
      <w:numFmt w:val="decimal"/>
      <w:start w:val="3"/>
    </w:lvl>
  </w:abstractNum>
  <w:abstractNum w:abstractNumId="40">
    <w:nsid w:val="60B6DF70"/>
    <w:multiLevelType w:val="hybridMultilevel"/>
    <w:lvl w:ilvl="0">
      <w:lvlJc w:val="left"/>
      <w:lvlText w:val="(%1)"/>
      <w:numFmt w:val="decimal"/>
      <w:start w:val="1"/>
    </w:lvl>
  </w:abstractNum>
  <w:abstractNum w:abstractNumId="41">
    <w:nsid w:val="6A5EE64"/>
    <w:multiLevelType w:val="hybridMultilevel"/>
    <w:lvl w:ilvl="0">
      <w:lvlJc w:val="left"/>
      <w:lvlText w:val="(%1)"/>
      <w:numFmt w:val="decimal"/>
      <w:start w:val="3"/>
    </w:lvl>
  </w:abstractNum>
  <w:abstractNum w:abstractNumId="42">
    <w:nsid w:val="14330624"/>
    <w:multiLevelType w:val="hybridMultilevel"/>
    <w:lvl w:ilvl="0">
      <w:lvlJc w:val="left"/>
      <w:lvlText w:val="(%1)"/>
      <w:numFmt w:val="decimal"/>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lvl w:ilvl="1">
      <w:lvlJc w:val="left"/>
      <w:lvlText w:val="◦"/>
      <w:numFmt w:val="bullet"/>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
      <w:numFmt w:val="bullet"/>
      <w:start w:val="1"/>
    </w:lvl>
  </w:abstractNum>
  <w:abstractNum w:abstractNumId="48">
    <w:nsid w:val="6EB5BD4"/>
    <w:multiLevelType w:val="hybridMultilevel"/>
    <w:lvl w:ilvl="0">
      <w:lvlJc w:val="left"/>
      <w:lvlText w:val="(%1)"/>
      <w:numFmt w:val="lowerLetter"/>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1)"/>
      <w:numFmt w:val="decimal"/>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
      <w:numFmt w:val="bullet"/>
      <w:start w:val="1"/>
    </w:lvl>
  </w:abstractNum>
  <w:abstractNum w:abstractNumId="64">
    <w:nsid w:val="CC1016F"/>
    <w:multiLevelType w:val="hybridMultilevel"/>
    <w:lvl w:ilvl="0">
      <w:lvlJc w:val="left"/>
      <w:lvlText w:val="•"/>
      <w:numFmt w:val="bullet"/>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1)"/>
      <w:numFmt w:val="decimal"/>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
      <w:numFmt w:val="bullet"/>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1)"/>
      <w:numFmt w:val="decimal"/>
      <w:start w:val="1"/>
    </w:lvl>
  </w:abstractNum>
  <w:abstractNum w:abstractNumId="81">
    <w:nsid w:val="73A1821B"/>
    <w:multiLevelType w:val="hybridMultilevel"/>
    <w:lvl w:ilvl="0">
      <w:lvlJc w:val="left"/>
      <w:lvlText w:val="(%1)"/>
      <w:numFmt w:val="decimal"/>
      <w:start w:val="3"/>
    </w:lvl>
  </w:abstractNum>
  <w:abstractNum w:abstractNumId="82">
    <w:nsid w:val="7DE67713"/>
    <w:multiLevelType w:val="hybridMultilevel"/>
    <w:lvl w:ilvl="0">
      <w:lvlJc w:val="left"/>
      <w:lvlText w:val="(%1)"/>
      <w:numFmt w:val="decimal"/>
      <w:start w:val="6"/>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1)"/>
      <w:numFmt w:val="decimal"/>
      <w:start w:val="2"/>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1"/>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2"/>
    </w:lvl>
  </w:abstractNum>
  <w:abstractNum w:abstractNumId="98">
    <w:nsid w:val="51088277"/>
    <w:multiLevelType w:val="hybridMultilevel"/>
    <w:lvl w:ilvl="0">
      <w:lvlJc w:val="left"/>
      <w:lvlText w:val="%1."/>
      <w:numFmt w:val="decimal"/>
      <w:start w:val="3"/>
    </w:lvl>
  </w:abstractNum>
  <w:abstractNum w:abstractNumId="99">
    <w:nsid w:val="1CA0C5FA"/>
    <w:multiLevelType w:val="hybridMultilevel"/>
    <w:lvl w:ilvl="0">
      <w:lvlJc w:val="left"/>
      <w:lvlText w:val="%1."/>
      <w:numFmt w:val="decimal"/>
      <w:start w:val="6"/>
    </w:lvl>
  </w:abstractNum>
  <w:abstractNum w:abstractNumId="100">
    <w:nsid w:val="53584BCB"/>
    <w:multiLevelType w:val="hybridMultilevel"/>
    <w:lvl w:ilvl="0">
      <w:lvlJc w:val="left"/>
      <w:lvlText w:val="%1."/>
      <w:numFmt w:val="decimal"/>
      <w:start w:val="7"/>
    </w:lvl>
  </w:abstractNum>
  <w:abstractNum w:abstractNumId="101">
    <w:nsid w:val="415E286C"/>
    <w:multiLevelType w:val="hybridMultilevel"/>
    <w:lvl w:ilvl="0">
      <w:lvlJc w:val="left"/>
      <w:lvlText w:val="%1."/>
      <w:numFmt w:val="decimal"/>
      <w:start w:val="8"/>
    </w:lvl>
  </w:abstractNum>
  <w:abstractNum w:abstractNumId="102">
    <w:nsid w:val="7C58FD05"/>
    <w:multiLevelType w:val="hybridMultilevel"/>
    <w:lvl w:ilvl="0">
      <w:lvlJc w:val="left"/>
      <w:lvlText w:val="%1."/>
      <w:numFmt w:val="decimal"/>
      <w:start w:val="9"/>
    </w:lvl>
  </w:abstractNum>
  <w:abstractNum w:abstractNumId="103">
    <w:nsid w:val="23D86AAC"/>
    <w:multiLevelType w:val="hybridMultilevel"/>
    <w:lvl w:ilvl="0">
      <w:lvlJc w:val="left"/>
      <w:lvlText w:val="%1."/>
      <w:numFmt w:val="decimal"/>
      <w:start w:val="10"/>
    </w:lvl>
  </w:abstractNum>
  <w:abstractNum w:abstractNumId="104">
    <w:nsid w:val="45E6D486"/>
    <w:multiLevelType w:val="hybridMultilevel"/>
    <w:lvl w:ilvl="0">
      <w:lvlJc w:val="left"/>
      <w:lvlText w:val="%1."/>
      <w:numFmt w:val="decimal"/>
      <w:start w:val="12"/>
    </w:lvl>
  </w:abstractNum>
  <w:abstractNum w:abstractNumId="105">
    <w:nsid w:val="5C10FE21"/>
    <w:multiLevelType w:val="hybridMultilevel"/>
    <w:lvl w:ilvl="0">
      <w:lvlJc w:val="left"/>
      <w:lvlText w:val="%1."/>
      <w:numFmt w:val="decimal"/>
      <w:start w:val="13"/>
    </w:lvl>
  </w:abstractNum>
  <w:abstractNum w:abstractNumId="106">
    <w:nsid w:val="E7FFA2B"/>
    <w:multiLevelType w:val="hybridMultilevel"/>
    <w:lvl w:ilvl="0">
      <w:lvlJc w:val="left"/>
      <w:lvlText w:val="%1."/>
      <w:numFmt w:val="decimal"/>
      <w:start w:val="14"/>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2"/>
    </w:lvl>
  </w:abstractNum>
  <w:abstractNum w:abstractNumId="109">
    <w:nsid w:val="78DF6A55"/>
    <w:multiLevelType w:val="hybridMultilevel"/>
    <w:lvl w:ilvl="0">
      <w:lvlJc w:val="left"/>
      <w:lvlText w:val="%1."/>
      <w:numFmt w:val="decimal"/>
      <w:start w:val="3"/>
    </w:lvl>
  </w:abstractNum>
  <w:abstractNum w:abstractNumId="110">
    <w:nsid w:val="39B7AAA2"/>
    <w:multiLevelType w:val="hybridMultilevel"/>
    <w:lvl w:ilvl="0">
      <w:lvlJc w:val="left"/>
      <w:lvlText w:val="%1."/>
      <w:numFmt w:val="decimal"/>
      <w:start w:val="6"/>
    </w:lvl>
  </w:abstractNum>
  <w:abstractNum w:abstractNumId="111">
    <w:nsid w:val="2B0D8DBE"/>
    <w:multiLevelType w:val="hybridMultilevel"/>
    <w:lvl w:ilvl="0">
      <w:lvlJc w:val="left"/>
      <w:lvlText w:val="%1."/>
      <w:numFmt w:val="decimal"/>
      <w:start w:val="7"/>
    </w:lvl>
  </w:abstractNum>
  <w:abstractNum w:abstractNumId="112">
    <w:nsid w:val="6C80EC70"/>
    <w:multiLevelType w:val="hybridMultilevel"/>
    <w:lvl w:ilvl="0">
      <w:lvlJc w:val="left"/>
      <w:lvlText w:val="%1."/>
      <w:numFmt w:val="decimal"/>
      <w:start w:val="8"/>
    </w:lvl>
  </w:abstractNum>
  <w:abstractNum w:abstractNumId="113">
    <w:nsid w:val="379E21B5"/>
    <w:multiLevelType w:val="hybridMultilevel"/>
    <w:lvl w:ilvl="0">
      <w:lvlJc w:val="left"/>
      <w:lvlText w:val="%1."/>
      <w:numFmt w:val="decimal"/>
      <w:start w:val="9"/>
    </w:lvl>
  </w:abstractNum>
  <w:abstractNum w:abstractNumId="114">
    <w:nsid w:val="69E373"/>
    <w:multiLevelType w:val="hybridMultilevel"/>
    <w:lvl w:ilvl="0">
      <w:lvlJc w:val="left"/>
      <w:lvlText w:val="%1."/>
      <w:numFmt w:val="decimal"/>
      <w:start w:val="11"/>
    </w:lvl>
  </w:abstractNum>
  <w:abstractNum w:abstractNumId="115">
    <w:nsid w:val="2C27173B"/>
    <w:multiLevelType w:val="hybridMultilevel"/>
    <w:lvl w:ilvl="0">
      <w:lvlJc w:val="left"/>
      <w:lvlText w:val="%1."/>
      <w:numFmt w:val="decimal"/>
      <w:start w:val="12"/>
    </w:lvl>
  </w:abstractNum>
  <w:abstractNum w:abstractNumId="116">
    <w:nsid w:val="4C9B0904"/>
    <w:multiLevelType w:val="hybridMultilevel"/>
    <w:lvl w:ilvl="0">
      <w:lvlJc w:val="left"/>
      <w:lvlText w:val="%1."/>
      <w:numFmt w:val="decimal"/>
      <w:start w:val="13"/>
    </w:lvl>
  </w:abstractNum>
  <w:abstractNum w:abstractNumId="117">
    <w:nsid w:val="6AA7B75C"/>
    <w:multiLevelType w:val="hybridMultilevel"/>
    <w:lvl w:ilvl="0">
      <w:lvlJc w:val="left"/>
      <w:lvlText w:val="•"/>
      <w:numFmt w:val="bullet"/>
      <w:start w:val="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
      <w:numFmt w:val="bullet"/>
      <w:start w:val="1"/>
    </w:lvl>
  </w:abstractNum>
  <w:abstractNum w:abstractNumId="120">
    <w:nsid w:val="3DD15094"/>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hyperlink" Target="https://www.sec.gov/Archives/edgar/data/1562088/000162828021013980/exhibit11-sx1a1.htm" TargetMode="External"/><Relationship Id="rId82" Type="http://schemas.openxmlformats.org/officeDocument/2006/relationships/hyperlink" Target="https://www.sec.gov/Archives/edgar/data/1562088/000162828021013980/exhibit31-sx1a1sentuw712.htm" TargetMode="External"/><Relationship Id="rId83" Type="http://schemas.openxmlformats.org/officeDocument/2006/relationships/hyperlink" Target="https://www.sec.gov/Archives/edgar/data/1562088/000162828021013980/exhibit32-sx1a1sentuw712br.htm" TargetMode="External"/><Relationship Id="rId84" Type="http://schemas.openxmlformats.org/officeDocument/2006/relationships/hyperlink" Target="https://www.sec.gov/Archives/edgar/data/1562088/000162828021013065/exhibit33-sx1.htm" TargetMode="External"/><Relationship Id="rId85" Type="http://schemas.openxmlformats.org/officeDocument/2006/relationships/hyperlink" Target="https://www.sec.gov/Archives/edgar/data/1562088/000162828021013980/exhibit34-sx1a1sentuw712.htm" TargetMode="External"/><Relationship Id="rId86" Type="http://schemas.openxmlformats.org/officeDocument/2006/relationships/hyperlink" Target="https://www.sec.gov/Archives/edgar/data/1562088/000162828021013065/exhibit42stockcertificate.htm" TargetMode="External"/><Relationship Id="rId87" Type="http://schemas.openxmlformats.org/officeDocument/2006/relationships/hyperlink" Target="https://www.sec.gov/Archives/edgar/data/1562088/000162828021013065/exhibit43-sx1.htm" TargetMode="External"/><Relationship Id="rId88" Type="http://schemas.openxmlformats.org/officeDocument/2006/relationships/hyperlink" Target="https://www.sec.gov/Archives/edgar/data/1562088/000162828021013980/exhibit51-sx1a1senttouw714.htm" TargetMode="External"/><Relationship Id="rId89" Type="http://schemas.openxmlformats.org/officeDocument/2006/relationships/hyperlink" Target="https://www.sec.gov/Archives/edgar/data/1562088/000162828021013065/exhibit101a-sx1.htm" TargetMode="External"/><Relationship Id="rId90" Type="http://schemas.openxmlformats.org/officeDocument/2006/relationships/hyperlink" Target="https://www.sec.gov/Archives/edgar/data/1562088/000162828021013065/exhibit101b-sx1.htm" TargetMode="External"/><Relationship Id="rId91" Type="http://schemas.openxmlformats.org/officeDocument/2006/relationships/hyperlink" Target="https://www.sec.gov/Archives/edgar/data/1562088/000162828021013065/exhibit101c-sx1.htm" TargetMode="External"/><Relationship Id="rId92" Type="http://schemas.openxmlformats.org/officeDocument/2006/relationships/hyperlink" Target="https://www.sec.gov/Archives/edgar/data/1562088/000162828021013065/exhibit101d-sx1.htm" TargetMode="External"/><Relationship Id="rId93" Type="http://schemas.openxmlformats.org/officeDocument/2006/relationships/hyperlink" Target="https://www.sec.gov/Archives/edgar/data/1562088/000162828021013065/exhibit101e-sx1.htm" TargetMode="External"/><Relationship Id="rId94" Type="http://schemas.openxmlformats.org/officeDocument/2006/relationships/hyperlink" Target="https://www.sec.gov/Archives/edgar/data/1562088/000162828021013065/exhibit101f-sx1.htm" TargetMode="External"/><Relationship Id="rId95" Type="http://schemas.openxmlformats.org/officeDocument/2006/relationships/hyperlink" Target="https://www.sec.gov/Archives/edgar/data/1562088/000162828021013065/exhibit101g-sx1.htm" TargetMode="External"/><Relationship Id="rId96" Type="http://schemas.openxmlformats.org/officeDocument/2006/relationships/hyperlink" Target="https://www.sec.gov/Archives/edgar/data/1562088/000162828021013065/exhibit102a-sx1.htm" TargetMode="External"/><Relationship Id="rId97" Type="http://schemas.openxmlformats.org/officeDocument/2006/relationships/hyperlink" Target="https://www.sec.gov/Archives/edgar/data/1562088/000162828021013065/exhibit102b-sx1.htm" TargetMode="External"/><Relationship Id="rId98" Type="http://schemas.openxmlformats.org/officeDocument/2006/relationships/hyperlink" Target="https://www.sec.gov/Archives/edgar/data/1562088/000162828021013065/exhibit102c-sx1.htm" TargetMode="External"/><Relationship Id="rId99" Type="http://schemas.openxmlformats.org/officeDocument/2006/relationships/hyperlink" Target="https://www.sec.gov/Archives/edgar/data/1562088/000162828021013980/exhibit103a-sx1a1senttouw7.htm" TargetMode="External"/><Relationship Id="rId100" Type="http://schemas.openxmlformats.org/officeDocument/2006/relationships/hyperlink" Target="https://www.sec.gov/Archives/edgar/data/1562088/000162828021013980/exhibit103b-sx1a1senttouw7.htm" TargetMode="External"/><Relationship Id="rId101" Type="http://schemas.openxmlformats.org/officeDocument/2006/relationships/hyperlink" Target="https://www.sec.gov/Archives/edgar/data/1562088/000162828021013980/exhibit103c-sx1a1senttouw7.htm" TargetMode="External"/><Relationship Id="rId102" Type="http://schemas.openxmlformats.org/officeDocument/2006/relationships/hyperlink" Target="https://www.sec.gov/Archives/edgar/data/1562088/000162828021013980/exhibit104-sx1a1senttouw71.htm" TargetMode="External"/><Relationship Id="rId103" Type="http://schemas.openxmlformats.org/officeDocument/2006/relationships/hyperlink" Target="https://www.sec.gov/Archives/edgar/data/1562088/000162828021013980/exhibit105-sx1a1senttouw714.htm" TargetMode="External"/><Relationship Id="rId104" Type="http://schemas.openxmlformats.org/officeDocument/2006/relationships/hyperlink" Target="https://www.sec.gov/Archives/edgar/data/1562088/000162828021013980/exhibit106-s1a1senttouw714.htm" TargetMode="External"/><Relationship Id="rId105" Type="http://schemas.openxmlformats.org/officeDocument/2006/relationships/hyperlink" Target="https://www.sec.gov/Archives/edgar/data/1562088/000162828021013980/exhibit107-sx1a1senttouw714.htm" TargetMode="External"/><Relationship Id="rId106" Type="http://schemas.openxmlformats.org/officeDocument/2006/relationships/hyperlink" Target="https://www.sec.gov/Archives/edgar/data/1562088/000162828021013980/exhibit108-sx1a1senttouw714.htm" TargetMode="External"/><Relationship Id="rId107" Type="http://schemas.openxmlformats.org/officeDocument/2006/relationships/hyperlink" Target="https://www.sec.gov/Archives/edgar/data/1562088/000162828021013980/exhibit109-sx1a1senttouw714.htm" TargetMode="External"/><Relationship Id="rId108" Type="http://schemas.openxmlformats.org/officeDocument/2006/relationships/hyperlink" Target="https://www.sec.gov/Archives/edgar/data/1562088/000162828021013980/exhibit1010-sx1a1senttouw7.htm" TargetMode="External"/><Relationship Id="rId109" Type="http://schemas.openxmlformats.org/officeDocument/2006/relationships/hyperlink" Target="https://www.sec.gov/Archives/edgar/data/1562088/000162828021013980/exhibit1011-sx1a1sentuw712.htm" TargetMode="External"/><Relationship Id="rId110" Type="http://schemas.openxmlformats.org/officeDocument/2006/relationships/hyperlink" Target="https://www.sec.gov/Archives/edgar/data/1562088/000162828021013980/exhibit1012-sx1a1sentuw712.htm" TargetMode="External"/><Relationship Id="rId111" Type="http://schemas.openxmlformats.org/officeDocument/2006/relationships/hyperlink" Target="https://www.sec.gov/Archives/edgar/data/1562088/000162828021013980/exhibit1013-sx1a1sentuw712.htm" TargetMode="External"/><Relationship Id="rId112" Type="http://schemas.openxmlformats.org/officeDocument/2006/relationships/hyperlink" Target="https://www.sec.gov/Archives/edgar/data/1562088/000162828021013980/exhibit1014-sx1a1.htm" TargetMode="External"/><Relationship Id="rId113" Type="http://schemas.openxmlformats.org/officeDocument/2006/relationships/hyperlink" Target="https://www.sec.gov/Archives/edgar/data/1562088/000162828021013065/exhibit2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2021-07-26T05:16:49Z</dcterms:created>
  <dcterms:modified xsi:type="dcterms:W3CDTF">2021-07-26T05:16:49Z</dcterms:modified>
</cp:coreProperties>
</file>