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068852.xml.htm"/>
      <w:bookmarkStart w:id="1" w:name="kswkform4_17840688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Shelton James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DUOLINGO,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5900 PENN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Duolingo,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DUOL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124.76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11,753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fully vested restricted stock units ("RSUs") in lieu of cash retainers pursuant to reporting person's election under the Issuer's Amended and Restated Non-Employee Director Compensation Program (the "Plan"). Each RSU represents the right to receive one share of the Issuer's Class A Common Stock and will be settled either on a date selected by the reporting person pursuant to the Plan or as otherwise provided under the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Chen, as Attorney-in-Fact for James H. Shelton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2646" TargetMode="External"/><Relationship Id="rId5" Type="http://schemas.openxmlformats.org/officeDocument/2006/relationships/hyperlink" Target="http://www.sec.gov/cgi-bin/browse-edgar?action=getcompany&amp;CIK=0001562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3452</Characters>
  <CharactersWithSpaces>4031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