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4578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457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Meese Robert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DUOLINGO,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5900 PENN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Duolingo,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DUOL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Business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1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PITTSBURGH  PA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15206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02/17/2026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110.06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122,636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1,800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1,800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20" w:type="dxa"/>
            <w:vAlign w:val="bottom"/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automatically sold to satisfy tax withholding obligations in connection with the vesting of Restricted Stock Units ("RSUs") and delivery of shares.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held by Eliot Meese Qualified Minor's Trust.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held by Isaac Meese Qualified Minor's Trust.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Stephen Chen, as Attorney-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02/19/2026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474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Robert Meese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10871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87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69668" TargetMode="External"/><Relationship Id="rId14" Type="http://schemas.openxmlformats.org/officeDocument/2006/relationships/hyperlink" Target="http://www.sec.gov/cgi-bin/browse-edgar?action=getcompany&amp;CIK=00015620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2026-02-20T05:13:27Z</dcterms:created>
  <dcterms:modified xsi:type="dcterms:W3CDTF">2026-02-20T05:13:27Z</dcterms:modified>
</cp:coreProperties>
</file>