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85283.xml.htm"/>
      <w:bookmarkStart w:id="1" w:name="kswkform4_17715852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Hacker Severin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 Officer, Co-Founder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754"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711"/>
        <w:gridCol w:w="711"/>
        <w:gridCol w:w="906"/>
        <w:gridCol w:w="801"/>
        <w:gridCol w:w="891"/>
        <w:gridCol w:w="1101"/>
        <w:gridCol w:w="801"/>
        <w:gridCol w:w="966"/>
        <w:gridCol w:w="831"/>
        <w:gridCol w:w="906"/>
      </w:tblGrid>
      <w:tr>
        <w:trPr>
          <w:tblHeader w:val="true"/>
        </w:trPr>
        <w:tc>
          <w:tcPr>
            <w:tcW w:w="137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30,594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112.57</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177,193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2,836,917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2,836,917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Performance-Based Restricted Stock Unit ("PSU") represents a contingent right to receive one share of the Issuer's Class B Common Stock upon vesting. The PSUs vest upon the satisfaction of both a service-based condition and a performance-based condition. The service-based condition is satisfied as to 25% of the PSUs on each anniversary of the completion of the Issuer's initial public offering of Class A common stock based on the Reporting Person's continuous service as CTO to the Issuer through the applicable vesting dates, subject to acceleration upon a cessation of service as CTO as a result of death or permanent disability.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performance-based condition will be satisfied upon the Issuer's Class A common stock achieving certain stock price hurdles over a period of ten years. Vested PSUs will be settled by the issuance of the underlying Class B Common Stock on the first anniversary of vesting, subject to acceleration upon a termination of employment or a change in control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(ii) such time as the aggregate number of shares of Class B Common Stock outstanding ceases to represent 5% of the aggregate number of shares of Common Stock outstanding, and (iii) the death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SBH Trust dated March 10, 2020, of which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Severin Hacker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272"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922</Words>
  <Characters>4874</Characters>
  <CharactersWithSpaces>5706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