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691133.xml.htm"/>
      <w:bookmarkStart w:id="1" w:name="kswkform4_178069113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Shelton James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DUOLINGO,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5900 PENN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Duolingo, Inc.</w:t>
              </w:r>
            </w:hyperlink>
            <w:r>
              <w:rPr/>
              <w:t xml:space="preserve"> [ </w:t>
            </w:r>
            <w:r>
              <w:rPr>
                <w:rFonts w:ascii="Times;serif" w:hAnsi="Times;serif"/>
                <w:color w:val="0000FF"/>
                <w:sz w:val="24"/>
                <w:shd w:fill="FFFFFF" w:val="clear"/>
              </w:rPr>
              <w:t>DUOL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2,001</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11,633</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Constitute restricted stock units ("RSUs") for which the Reporting Person is entitled to receive one (1) share of the Issuer's Class A Common Stock for each RSU upon vesting. 100% of the RSUs vest on the earlier of (i) the first anniversary of the grant date or (ii) the date of the next annual meeting of the Issuer's stockholders following the grant date, subject to the Reporting Person's continued service to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Stephen Chen, as Attorney-in-Fact for James H. Shelton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42646" TargetMode="External"/><Relationship Id="rId5" Type="http://schemas.openxmlformats.org/officeDocument/2006/relationships/hyperlink" Target="http://www.sec.gov/cgi-bin/browse-edgar?action=getcompany&amp;CIK=00015620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640</Words>
  <Characters>3422</Characters>
  <CharactersWithSpaces>4002</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