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8"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4B4B4B"/>
        </w:rPr>
        <w:t>UNITED STATES</w:t>
      </w:r>
    </w:p>
    <w:p>
      <w:pPr>
        <w:spacing w:after="0" w:line="30"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4B4B4B"/>
        </w:rPr>
        <w:t>SECURITIES AND EXCHANGE COMMISSION</w:t>
      </w:r>
    </w:p>
    <w:p>
      <w:pPr>
        <w:spacing w:after="0" w:line="4" w:lineRule="exact"/>
        <w:rPr>
          <w:sz w:val="24"/>
          <w:szCs w:val="24"/>
          <w:color w:val="auto"/>
        </w:rPr>
      </w:pPr>
    </w:p>
    <w:p>
      <w:pPr>
        <w:jc w:val="center"/>
        <w:ind w:right="-1040"/>
        <w:spacing w:after="0"/>
        <w:rPr>
          <w:sz w:val="20"/>
          <w:szCs w:val="20"/>
          <w:color w:val="auto"/>
        </w:rPr>
      </w:pPr>
      <w:r>
        <w:rPr>
          <w:rFonts w:ascii="Arial" w:cs="Arial" w:eastAsia="Arial" w:hAnsi="Arial"/>
          <w:sz w:val="22"/>
          <w:szCs w:val="22"/>
          <w:b w:val="1"/>
          <w:bCs w:val="1"/>
          <w:color w:val="4B4B4B"/>
        </w:rPr>
        <w:t>Washington, D.C. 20549</w:t>
      </w:r>
    </w:p>
    <w:p>
      <w:pPr>
        <w:spacing w:after="0" w:line="194"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4B4B4B"/>
        </w:rPr>
        <w:t>SCHEDULE 14A</w:t>
      </w:r>
    </w:p>
    <w:p>
      <w:pPr>
        <w:spacing w:after="0" w:line="30"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4B4B4B"/>
        </w:rPr>
        <w:t>(RULE 14a-101)</w:t>
      </w:r>
    </w:p>
    <w:p>
      <w:pPr>
        <w:spacing w:after="0" w:line="4"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4B4B4B"/>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4B4B4B"/>
        </w:rPr>
        <w:t>SCHEDULE 14A INFORMATION</w:t>
      </w:r>
    </w:p>
    <w:p>
      <w:pPr>
        <w:spacing w:after="0" w:line="220" w:lineRule="exact"/>
        <w:rPr>
          <w:sz w:val="24"/>
          <w:szCs w:val="24"/>
          <w:color w:val="auto"/>
        </w:rPr>
      </w:pPr>
    </w:p>
    <w:p>
      <w:pPr>
        <w:ind w:left="3120"/>
        <w:spacing w:after="0"/>
        <w:rPr>
          <w:sz w:val="20"/>
          <w:szCs w:val="20"/>
          <w:color w:val="auto"/>
        </w:rPr>
      </w:pPr>
      <w:r>
        <w:rPr>
          <w:rFonts w:ascii="Arial" w:cs="Arial" w:eastAsia="Arial" w:hAnsi="Arial"/>
          <w:sz w:val="22"/>
          <w:szCs w:val="22"/>
          <w:b w:val="1"/>
          <w:bCs w:val="1"/>
          <w:color w:val="4B4B4B"/>
        </w:rPr>
        <w:t>Proxy Statement Pursuant to Section 14(a) of the</w:t>
      </w:r>
    </w:p>
    <w:p>
      <w:pPr>
        <w:spacing w:after="0" w:line="30"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4B4B4B"/>
        </w:rPr>
        <w:t>Securities Exchange Act of 1934</w:t>
      </w:r>
    </w:p>
    <w:p>
      <w:pPr>
        <w:spacing w:after="0" w:line="4" w:lineRule="exact"/>
        <w:rPr>
          <w:sz w:val="24"/>
          <w:szCs w:val="24"/>
          <w:color w:val="auto"/>
        </w:rPr>
      </w:pPr>
    </w:p>
    <w:p>
      <w:pPr>
        <w:jc w:val="center"/>
        <w:ind w:right="-1120"/>
        <w:spacing w:after="0"/>
        <w:tabs>
          <w:tab w:leader="none" w:pos="280" w:val="left"/>
        </w:tabs>
        <w:rPr>
          <w:sz w:val="20"/>
          <w:szCs w:val="20"/>
          <w:color w:val="auto"/>
        </w:rPr>
      </w:pPr>
      <w:r>
        <w:rPr>
          <w:rFonts w:ascii="Arial" w:cs="Arial" w:eastAsia="Arial" w:hAnsi="Arial"/>
          <w:sz w:val="22"/>
          <w:szCs w:val="22"/>
          <w:b w:val="1"/>
          <w:bCs w:val="1"/>
          <w:color w:val="4B4B4B"/>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20"/>
        <w:spacing w:after="0" w:line="207" w:lineRule="exact"/>
        <w:tabs>
          <w:tab w:leader="none" w:pos="6400" w:val="left"/>
        </w:tabs>
        <w:rPr>
          <w:sz w:val="20"/>
          <w:szCs w:val="20"/>
          <w:color w:val="auto"/>
        </w:rPr>
      </w:pPr>
      <w:r>
        <w:rPr>
          <w:rFonts w:ascii="Arial" w:cs="Arial" w:eastAsia="Arial" w:hAnsi="Arial"/>
          <w:sz w:val="18"/>
          <w:szCs w:val="18"/>
          <w:color w:val="4B4B4B"/>
        </w:rPr>
        <w:t xml:space="preserve">Filed by the Registrant </w:t>
      </w:r>
      <w:r>
        <w:rPr>
          <w:rFonts w:ascii="MS PGothic" w:cs="MS PGothic" w:eastAsia="MS PGothic" w:hAnsi="MS PGothic"/>
          <w:sz w:val="18"/>
          <w:szCs w:val="18"/>
          <w:color w:val="4B4B4B"/>
        </w:rPr>
        <w:t>☒</w:t>
      </w:r>
      <w:r>
        <w:rPr>
          <w:sz w:val="20"/>
          <w:szCs w:val="20"/>
          <w:color w:val="auto"/>
        </w:rPr>
        <w:tab/>
      </w:r>
      <w:r>
        <w:rPr>
          <w:rFonts w:ascii="Arial" w:cs="Arial" w:eastAsia="Arial" w:hAnsi="Arial"/>
          <w:sz w:val="18"/>
          <w:szCs w:val="18"/>
          <w:color w:val="4B4B4B"/>
        </w:rPr>
        <w:t xml:space="preserve">Filed by a Party other than the Registrant </w:t>
      </w:r>
      <w:r>
        <w:rPr>
          <w:rFonts w:ascii="MS PGothic" w:cs="MS PGothic" w:eastAsia="MS PGothic" w:hAnsi="MS PGothic"/>
          <w:sz w:val="18"/>
          <w:szCs w:val="18"/>
          <w:color w:val="4B4B4B"/>
        </w:rPr>
        <w:t>☐</w:t>
      </w:r>
    </w:p>
    <w:p>
      <w:pPr>
        <w:spacing w:after="0" w:line="200" w:lineRule="exact"/>
        <w:rPr>
          <w:sz w:val="24"/>
          <w:szCs w:val="24"/>
          <w:color w:val="auto"/>
        </w:rPr>
      </w:pPr>
    </w:p>
    <w:p>
      <w:pPr>
        <w:spacing w:after="0" w:line="395" w:lineRule="exact"/>
        <w:rPr>
          <w:sz w:val="24"/>
          <w:szCs w:val="24"/>
          <w:color w:val="auto"/>
        </w:rPr>
      </w:pPr>
    </w:p>
    <w:p>
      <w:pPr>
        <w:ind w:left="20"/>
        <w:spacing w:after="0"/>
        <w:rPr>
          <w:sz w:val="20"/>
          <w:szCs w:val="20"/>
          <w:color w:val="auto"/>
        </w:rPr>
      </w:pPr>
      <w:r>
        <w:rPr>
          <w:rFonts w:ascii="Arial" w:cs="Arial" w:eastAsia="Arial" w:hAnsi="Arial"/>
          <w:sz w:val="18"/>
          <w:szCs w:val="18"/>
          <w:color w:val="4B4B4B"/>
        </w:rPr>
        <w:t>Check the appropriate box:</w:t>
      </w:r>
    </w:p>
    <w:p>
      <w:pPr>
        <w:spacing w:after="0" w:line="131"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4B4B4B"/>
        </w:rPr>
      </w:pPr>
      <w:r>
        <w:rPr>
          <w:rFonts w:ascii="Arial" w:cs="Arial" w:eastAsia="Arial" w:hAnsi="Arial"/>
          <w:sz w:val="18"/>
          <w:szCs w:val="18"/>
          <w:color w:val="4B4B4B"/>
        </w:rPr>
        <w:t>Preliminary Proxy Statement</w:t>
      </w:r>
    </w:p>
    <w:p>
      <w:pPr>
        <w:spacing w:after="0" w:line="108" w:lineRule="exact"/>
        <w:rPr>
          <w:rFonts w:ascii="MS PGothic" w:cs="MS PGothic" w:eastAsia="MS PGothic" w:hAnsi="MS PGothic"/>
          <w:sz w:val="18"/>
          <w:szCs w:val="18"/>
          <w:color w:val="4B4B4B"/>
        </w:rPr>
      </w:pPr>
    </w:p>
    <w:p>
      <w:pPr>
        <w:ind w:left="300" w:hanging="274"/>
        <w:spacing w:after="0"/>
        <w:tabs>
          <w:tab w:leader="none" w:pos="300" w:val="left"/>
        </w:tabs>
        <w:numPr>
          <w:ilvl w:val="0"/>
          <w:numId w:val="1"/>
        </w:numPr>
        <w:rPr>
          <w:rFonts w:ascii="MS PGothic" w:cs="MS PGothic" w:eastAsia="MS PGothic" w:hAnsi="MS PGothic"/>
          <w:sz w:val="18"/>
          <w:szCs w:val="18"/>
          <w:color w:val="4B4B4B"/>
        </w:rPr>
      </w:pPr>
      <w:r>
        <w:rPr>
          <w:rFonts w:ascii="Arial" w:cs="Arial" w:eastAsia="Arial" w:hAnsi="Arial"/>
          <w:sz w:val="18"/>
          <w:szCs w:val="18"/>
          <w:b w:val="1"/>
          <w:bCs w:val="1"/>
          <w:color w:val="4B4B4B"/>
        </w:rPr>
        <w:t>Confidential, for Use of the Commission Only (as permitted by Rule 14a-6(e)(2))</w:t>
      </w:r>
    </w:p>
    <w:p>
      <w:pPr>
        <w:spacing w:after="0" w:line="153" w:lineRule="exact"/>
        <w:rPr>
          <w:sz w:val="24"/>
          <w:szCs w:val="24"/>
          <w:color w:val="auto"/>
        </w:rPr>
      </w:pPr>
    </w:p>
    <w:p>
      <w:pPr>
        <w:ind w:left="300" w:hanging="274"/>
        <w:spacing w:after="0"/>
        <w:tabs>
          <w:tab w:leader="none" w:pos="300" w:val="left"/>
        </w:tabs>
        <w:numPr>
          <w:ilvl w:val="0"/>
          <w:numId w:val="2"/>
        </w:numPr>
        <w:rPr>
          <w:rFonts w:ascii="MS PGothic" w:cs="MS PGothic" w:eastAsia="MS PGothic" w:hAnsi="MS PGothic"/>
          <w:sz w:val="18"/>
          <w:szCs w:val="18"/>
          <w:color w:val="4B4B4B"/>
        </w:rPr>
      </w:pPr>
      <w:r>
        <w:rPr>
          <w:rFonts w:ascii="Arial" w:cs="Arial" w:eastAsia="Arial" w:hAnsi="Arial"/>
          <w:sz w:val="18"/>
          <w:szCs w:val="18"/>
          <w:color w:val="4B4B4B"/>
        </w:rPr>
        <w:t>Definitive Proxy Statement</w:t>
      </w:r>
    </w:p>
    <w:p>
      <w:pPr>
        <w:spacing w:after="0" w:line="131" w:lineRule="exact"/>
        <w:rPr>
          <w:sz w:val="24"/>
          <w:szCs w:val="24"/>
          <w:color w:val="auto"/>
        </w:rPr>
      </w:pPr>
    </w:p>
    <w:p>
      <w:pPr>
        <w:ind w:left="300" w:hanging="274"/>
        <w:spacing w:after="0"/>
        <w:tabs>
          <w:tab w:leader="none" w:pos="300" w:val="left"/>
        </w:tabs>
        <w:numPr>
          <w:ilvl w:val="0"/>
          <w:numId w:val="3"/>
        </w:numPr>
        <w:rPr>
          <w:rFonts w:ascii="MS PGothic" w:cs="MS PGothic" w:eastAsia="MS PGothic" w:hAnsi="MS PGothic"/>
          <w:sz w:val="18"/>
          <w:szCs w:val="18"/>
          <w:color w:val="4B4B4B"/>
        </w:rPr>
      </w:pPr>
      <w:r>
        <w:rPr>
          <w:rFonts w:ascii="Arial" w:cs="Arial" w:eastAsia="Arial" w:hAnsi="Arial"/>
          <w:sz w:val="18"/>
          <w:szCs w:val="18"/>
          <w:color w:val="4B4B4B"/>
        </w:rPr>
        <w:t>Definitive Additional Materials</w:t>
      </w:r>
    </w:p>
    <w:p>
      <w:pPr>
        <w:spacing w:after="0" w:line="130" w:lineRule="exact"/>
        <w:rPr>
          <w:rFonts w:ascii="MS PGothic" w:cs="MS PGothic" w:eastAsia="MS PGothic" w:hAnsi="MS PGothic"/>
          <w:sz w:val="18"/>
          <w:szCs w:val="18"/>
          <w:color w:val="4B4B4B"/>
        </w:rPr>
      </w:pPr>
    </w:p>
    <w:p>
      <w:pPr>
        <w:ind w:left="300" w:hanging="274"/>
        <w:spacing w:after="0"/>
        <w:tabs>
          <w:tab w:leader="none" w:pos="300" w:val="left"/>
        </w:tabs>
        <w:numPr>
          <w:ilvl w:val="0"/>
          <w:numId w:val="3"/>
        </w:numPr>
        <w:rPr>
          <w:rFonts w:ascii="MS PGothic" w:cs="MS PGothic" w:eastAsia="MS PGothic" w:hAnsi="MS PGothic"/>
          <w:sz w:val="18"/>
          <w:szCs w:val="18"/>
          <w:color w:val="4B4B4B"/>
        </w:rPr>
      </w:pPr>
      <w:r>
        <w:rPr>
          <w:rFonts w:ascii="Arial" w:cs="Arial" w:eastAsia="Arial" w:hAnsi="Arial"/>
          <w:sz w:val="18"/>
          <w:szCs w:val="18"/>
          <w:color w:val="4B4B4B"/>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3720"/>
        <w:spacing w:after="0"/>
        <w:rPr>
          <w:sz w:val="20"/>
          <w:szCs w:val="20"/>
          <w:color w:val="auto"/>
        </w:rPr>
      </w:pPr>
      <w:r>
        <w:rPr>
          <w:rFonts w:ascii="Arial" w:cs="Arial" w:eastAsia="Arial" w:hAnsi="Arial"/>
          <w:sz w:val="58"/>
          <w:szCs w:val="58"/>
          <w:b w:val="1"/>
          <w:bCs w:val="1"/>
          <w:color w:val="4B4B4B"/>
        </w:rPr>
        <w:t>Duolingo, Inc.</w:t>
      </w:r>
    </w:p>
    <w:p>
      <w:pPr>
        <w:spacing w:after="0" w:line="21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4B4B4B"/>
        </w:rPr>
        <w:t>(Name of Registrant as Specified in its Charter)</w:t>
      </w:r>
    </w:p>
    <w:p>
      <w:pPr>
        <w:spacing w:after="0" w:line="17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4B4B4B"/>
        </w:rPr>
        <w:t>(Name of Person(s) Filing Proxy Statement, if other than the Registrant)</w:t>
      </w: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Arial" w:cs="Arial" w:eastAsia="Arial" w:hAnsi="Arial"/>
          <w:sz w:val="18"/>
          <w:szCs w:val="18"/>
          <w:color w:val="4B4B4B"/>
        </w:rPr>
        <w:t>Payment of Filing Fee (Check all boxes that apply):</w:t>
      </w:r>
    </w:p>
    <w:p>
      <w:pPr>
        <w:spacing w:after="0" w:line="185"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4B4B4B"/>
        </w:rPr>
      </w:pPr>
      <w:r>
        <w:rPr>
          <w:rFonts w:ascii="Arial" w:cs="Arial" w:eastAsia="Arial" w:hAnsi="Arial"/>
          <w:sz w:val="18"/>
          <w:szCs w:val="18"/>
          <w:color w:val="4B4B4B"/>
        </w:rPr>
        <w:t>No fee required.</w:t>
      </w:r>
    </w:p>
    <w:p>
      <w:pPr>
        <w:spacing w:after="0" w:line="23" w:lineRule="exact"/>
        <w:rPr>
          <w:sz w:val="24"/>
          <w:szCs w:val="24"/>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4B4B4B"/>
        </w:rPr>
      </w:pPr>
      <w:r>
        <w:rPr>
          <w:rFonts w:ascii="Arial" w:cs="Arial" w:eastAsia="Arial" w:hAnsi="Arial"/>
          <w:sz w:val="18"/>
          <w:szCs w:val="18"/>
          <w:color w:val="4B4B4B"/>
        </w:rPr>
        <w:t>Fee paid previously with preliminary materials.</w:t>
      </w:r>
    </w:p>
    <w:p>
      <w:pPr>
        <w:spacing w:after="0" w:line="22" w:lineRule="exact"/>
        <w:rPr>
          <w:rFonts w:ascii="MS PGothic" w:cs="MS PGothic" w:eastAsia="MS PGothic" w:hAnsi="MS PGothic"/>
          <w:sz w:val="18"/>
          <w:szCs w:val="18"/>
          <w:color w:val="4B4B4B"/>
        </w:rPr>
      </w:pPr>
    </w:p>
    <w:p>
      <w:pPr>
        <w:ind w:left="220" w:hanging="212"/>
        <w:spacing w:after="0"/>
        <w:tabs>
          <w:tab w:leader="none" w:pos="220" w:val="left"/>
        </w:tabs>
        <w:numPr>
          <w:ilvl w:val="0"/>
          <w:numId w:val="5"/>
        </w:numPr>
        <w:rPr>
          <w:rFonts w:ascii="MS PGothic" w:cs="MS PGothic" w:eastAsia="MS PGothic" w:hAnsi="MS PGothic"/>
          <w:sz w:val="18"/>
          <w:szCs w:val="18"/>
          <w:color w:val="4B4B4B"/>
        </w:rPr>
      </w:pPr>
      <w:r>
        <w:rPr>
          <w:rFonts w:ascii="Arial" w:cs="Arial" w:eastAsia="Arial" w:hAnsi="Arial"/>
          <w:sz w:val="18"/>
          <w:szCs w:val="18"/>
          <w:color w:val="4B4B4B"/>
        </w:rPr>
        <w:t>Fee computed on table in exhibit required by Item 25(b) per Exchange Act Rules 14a-6(i)(1) and 0-11.</w:t>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1785620</wp:posOffset>
            </wp:positionH>
            <wp:positionV relativeFrom="page">
              <wp:posOffset>1014730</wp:posOffset>
            </wp:positionV>
            <wp:extent cx="3977640" cy="934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397764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4B4B4B"/>
        </w:rPr>
        <w:t>Duolingo, Inc.</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4B4B4B"/>
        </w:rPr>
        <w:t>5900 Penn Avenue</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4B4B4B"/>
        </w:rPr>
        <w:t>Pittsburgh, Pennsylvania 15206</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4B4B4B"/>
        </w:rPr>
        <w:t>April 22, 2022</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185"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On behalf of the Board of Directors, I cordially invite you to attend the 2022 annual meeting of stockholders (the “Annual Meeting”) of Duolingo, Inc., which will be held on Thursday, June 9, 2022, beginning at 11:30 a.m., Eastern Time. The Annual Meeting will be a completely virtual meeting, which will be conducted via live webcast.</w:t>
      </w:r>
    </w:p>
    <w:p>
      <w:pPr>
        <w:spacing w:after="0" w:line="14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accordance with the Securities and Exchange Commission rules allowing companies to furnish proxy materials to their stockholders over the Internet, we have sent stockholders of record at the close of business on April 12, 2022 a Notice of Internet Availability of Proxy Materials. The notice contains instructions on how to access our Proxy Statement and Annual Report and vote online. If you would like to receive a printed copy of our proxy materials from us instead of downloading a printable version from the Internet, please follow the instructions for requesting such materials included in the notice, as well as in the attached Proxy Statement.</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Attached to this letter are a Notice of Annual Meeting of Stockholders and Proxy Statement, which describe the business to be conducted at the meeting.</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Your vote is important to us. Please act as soon as possible to vote your shares. It is important that your shares be represented at the meeting whether or not you plan to attend the Annual Meeting via the Internet. Please vote electronically over the Internet, by telephone or, if you receive a paper copy of the proxy card by mail, by returning your signed proxy card in the envelope provided. You may also vote your shares online during the Annual Meeting. Instructions on how to vote while participating at the meeting live via the Internet are posted at www.virtualshareholdermeeting.com/DUOL2022.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Board of Directors and management, it is my pleasure to express our appreciation for your continued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143510</wp:posOffset>
            </wp:positionV>
            <wp:extent cx="1276985"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698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B4B4B"/>
        </w:rPr>
        <w:t>Luis von Ahn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4B4B4B"/>
        </w:rPr>
        <w:t>Co-Founder, Chief Executive Officer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4B4B4B"/>
        </w:rPr>
        <w:t>Chairman of the Board</w:t>
      </w:r>
    </w:p>
    <w:p>
      <w:pPr>
        <w:sectPr>
          <w:pgSz w:w="11900" w:h="16838" w:orient="portrait"/>
          <w:cols w:equalWidth="0" w:num="1">
            <w:col w:w="11180"/>
          </w:cols>
          <w:pgMar w:left="320" w:top="1440" w:right="399" w:bottom="1440" w:gutter="0" w:footer="0" w:header="0"/>
        </w:sectPr>
      </w:pPr>
    </w:p>
    <w:bookmarkStart w:id="2" w:name="page3"/>
    <w:bookmarkEnd w:id="2"/>
    <w:p>
      <w:pPr>
        <w:spacing w:after="0"/>
        <w:rPr>
          <w:sz w:val="20"/>
          <w:szCs w:val="20"/>
          <w:color w:val="auto"/>
        </w:rPr>
      </w:pPr>
      <w:r>
        <w:rPr>
          <w:rFonts w:ascii="Arial" w:cs="Arial" w:eastAsia="Arial" w:hAnsi="Arial"/>
          <w:sz w:val="36"/>
          <w:szCs w:val="36"/>
          <w:b w:val="1"/>
          <w:bCs w:val="1"/>
          <w:color w:val="4B4B4B"/>
        </w:rPr>
        <w:t>Notice of Annual Meeting of Stockholders</w:t>
      </w:r>
    </w:p>
    <w:p>
      <w:pPr>
        <w:spacing w:after="0" w:line="326"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To be held on June 9, 2022</w:t>
      </w:r>
    </w:p>
    <w:p>
      <w:pPr>
        <w:spacing w:after="0" w:line="2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4B4B4B"/>
        </w:rPr>
        <w:t>Notice is hereby given that the Annual Meeting of Stockholders of Duolingo, Inc., a Delaware corporation, will be held on Thursday, June 9, 2022, at 11:30 a.m., Eastern Time.</w:t>
      </w:r>
    </w:p>
    <w:p>
      <w:pPr>
        <w:spacing w:after="0" w:line="14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4B4B4B"/>
        </w:rPr>
        <w:t>The Annual Meeting will be a completely virtual meeting, which will be conducted via live webcast. You will be able to attend the Annual Meeting online and submit your questions during the meeting by visiting www.virtualshareholdermeeting.com/DUOL2022.</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4B4B4B"/>
        </w:rPr>
        <w:t>For instructions on how to attend and vote your shares at the Annual Meeting, see the information in the accompanying Proxy Statement in the section titled “General Information about the Annual Meeting and Voting—How can I attend and vote at the Annual Meeting?”</w:t>
      </w:r>
    </w:p>
    <w:p>
      <w:pPr>
        <w:spacing w:after="0" w:line="120"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The annual meeting is being held:</w:t>
      </w:r>
    </w:p>
    <w:p>
      <w:pPr>
        <w:spacing w:after="0" w:line="217" w:lineRule="exact"/>
        <w:rPr>
          <w:sz w:val="20"/>
          <w:szCs w:val="20"/>
          <w:color w:val="auto"/>
        </w:rPr>
      </w:pPr>
    </w:p>
    <w:p>
      <w:pPr>
        <w:ind w:left="760" w:right="740"/>
        <w:spacing w:after="0" w:line="277" w:lineRule="auto"/>
        <w:rPr>
          <w:sz w:val="20"/>
          <w:szCs w:val="20"/>
          <w:color w:val="auto"/>
        </w:rPr>
      </w:pPr>
      <w:r>
        <w:rPr>
          <w:rFonts w:ascii="Arial" w:cs="Arial" w:eastAsia="Arial" w:hAnsi="Arial"/>
          <w:sz w:val="18"/>
          <w:szCs w:val="18"/>
          <w:color w:val="4B4B4B"/>
        </w:rPr>
        <w:t>To elect Bing Gordon, John Lilly and Laela Sturdy as Class I directors to hold office until the Company’s annual meeting of stockholders to be held in 2025 and until their respective successors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-250825</wp:posOffset>
            </wp:positionV>
            <wp:extent cx="213995"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100330</wp:posOffset>
            </wp:positionV>
            <wp:extent cx="213995"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4B4B4B"/>
        </w:rPr>
        <w:t>To ratify the appointment of Deloitte &amp; Touche LLP as our independent registered public accounting firm for 2022; and</w:t>
      </w:r>
    </w:p>
    <w:p>
      <w:pPr>
        <w:spacing w:after="0" w:line="239" w:lineRule="exact"/>
        <w:rPr>
          <w:sz w:val="20"/>
          <w:szCs w:val="20"/>
          <w:color w:val="auto"/>
        </w:rPr>
      </w:pPr>
    </w:p>
    <w:p>
      <w:pPr>
        <w:ind w:left="760" w:right="900"/>
        <w:spacing w:after="0" w:line="277" w:lineRule="auto"/>
        <w:rPr>
          <w:sz w:val="20"/>
          <w:szCs w:val="20"/>
          <w:color w:val="auto"/>
        </w:rPr>
      </w:pPr>
      <w:r>
        <w:rPr>
          <w:rFonts w:ascii="Arial" w:cs="Arial" w:eastAsia="Arial" w:hAnsi="Arial"/>
          <w:sz w:val="18"/>
          <w:szCs w:val="18"/>
          <w:color w:val="4B4B4B"/>
        </w:rPr>
        <w:t>To transact such other business as may properly come before the Annual Meeting or any continuation,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-250825</wp:posOffset>
            </wp:positionV>
            <wp:extent cx="213995"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4B4B4B"/>
        </w:rPr>
        <w:t>These items of business are described in the Proxy Statement that follows this notice. Holders of record of our common stock as of the close of business on April 12, 2022 are entitled to notice of and to vote at the Annual Meeting, or any continuation, postponement or adjournment thereof.</w:t>
      </w:r>
    </w:p>
    <w:p>
      <w:pPr>
        <w:spacing w:after="0" w:line="20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4B4B4B"/>
        </w:rPr>
        <w:t>Your vote is important. Voting your shares will ensure the presence of a quorum at the Annual Meeting and will save us the expense of further solicitation.</w:t>
      </w:r>
    </w:p>
    <w:p>
      <w:pPr>
        <w:spacing w:after="0" w:line="1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4B4B4B"/>
        </w:rPr>
        <w:t>This Notice of Annual Meeting and Proxy Statement are first being distributed or made available, as the case may be, on or about April 22, 2022.</w:t>
      </w:r>
    </w:p>
    <w:p>
      <w:pPr>
        <w:spacing w:after="0" w:line="121" w:lineRule="exact"/>
        <w:rPr>
          <w:sz w:val="20"/>
          <w:szCs w:val="20"/>
          <w:color w:val="auto"/>
        </w:rPr>
      </w:pPr>
    </w:p>
    <w:p>
      <w:pPr>
        <w:ind w:right="260"/>
        <w:spacing w:after="0" w:line="284" w:lineRule="auto"/>
        <w:rPr>
          <w:sz w:val="20"/>
          <w:szCs w:val="20"/>
          <w:color w:val="auto"/>
        </w:rPr>
      </w:pPr>
      <w:r>
        <w:rPr>
          <w:rFonts w:ascii="Arial" w:cs="Arial" w:eastAsia="Arial" w:hAnsi="Arial"/>
          <w:sz w:val="18"/>
          <w:szCs w:val="18"/>
          <w:b w:val="1"/>
          <w:bCs w:val="1"/>
          <w:color w:val="4B4B4B"/>
        </w:rPr>
        <w:t>Please promptly vote your shares by following the instructions for voting on the Notice Regarding the Availability of Proxy Materials or, if you received a paper or electronic copy of our proxy materials, by completing, signing, dating and returning your proxy card or by Internet or telephone voting as described on your proxy card.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4B4B4B"/>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160655</wp:posOffset>
            </wp:positionV>
            <wp:extent cx="2194560" cy="925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4B4B4B"/>
        </w:rPr>
        <w:t>Luis von Ahn</w:t>
      </w:r>
    </w:p>
    <w:p>
      <w:pPr>
        <w:spacing w:after="0" w:line="45" w:lineRule="exact"/>
        <w:rPr>
          <w:sz w:val="20"/>
          <w:szCs w:val="20"/>
          <w:color w:val="auto"/>
        </w:rPr>
      </w:pPr>
    </w:p>
    <w:p>
      <w:pPr>
        <w:ind w:left="1800"/>
        <w:spacing w:after="0"/>
        <w:rPr>
          <w:sz w:val="20"/>
          <w:szCs w:val="20"/>
          <w:color w:val="auto"/>
        </w:rPr>
      </w:pPr>
      <w:r>
        <w:rPr>
          <w:rFonts w:ascii="Arial" w:cs="Arial" w:eastAsia="Arial" w:hAnsi="Arial"/>
          <w:sz w:val="18"/>
          <w:szCs w:val="18"/>
          <w:color w:val="4B4B4B"/>
        </w:rPr>
        <w:t>Co-Founder, Chief Executive Officer and Chairman of the Board</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B4B4B"/>
        </w:rPr>
        <w:t>Important Notice Regarding the Availability of Proxy Materials for the Stockholder Meeting:</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B4B4B"/>
        </w:rPr>
        <w:t>Our Proxy Statement and our Annual Report are available free of charge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1009015</wp:posOffset>
            </wp:positionV>
            <wp:extent cx="71062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00"/>
          </w:cols>
          <w:pgMar w:left="320" w:top="130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11140" w:val="left"/>
        </w:tabs>
        <w:rPr>
          <w:sz w:val="20"/>
          <w:szCs w:val="20"/>
          <w:color w:val="auto"/>
        </w:rPr>
      </w:pPr>
      <w:r>
        <w:rPr>
          <w:rFonts w:ascii="Arial" w:cs="Arial" w:eastAsia="Arial" w:hAnsi="Arial"/>
          <w:sz w:val="14"/>
          <w:szCs w:val="14"/>
          <w:b w:val="1"/>
          <w:bCs w:val="1"/>
          <w:color w:val="AFAFAF"/>
        </w:rPr>
        <w:t>DUOLINGO 2022 PROXY STATEMENT</w:t>
      </w:r>
      <w:r>
        <w:rPr>
          <w:sz w:val="20"/>
          <w:szCs w:val="20"/>
          <w:color w:val="auto"/>
        </w:rPr>
        <w:tab/>
      </w:r>
      <w:r>
        <w:rPr>
          <w:rFonts w:ascii="Arial" w:cs="Arial" w:eastAsia="Arial" w:hAnsi="Arial"/>
          <w:sz w:val="14"/>
          <w:szCs w:val="14"/>
          <w:b w:val="1"/>
          <w:bCs w:val="1"/>
          <w:color w:val="AFAFAF"/>
        </w:rPr>
        <w:t>i</w:t>
      </w:r>
    </w:p>
    <w:p>
      <w:pPr>
        <w:sectPr>
          <w:pgSz w:w="11900" w:h="16838" w:orient="portrait"/>
          <w:cols w:equalWidth="0" w:num="1">
            <w:col w:w="11200"/>
          </w:cols>
          <w:pgMar w:left="320" w:top="1307" w:right="37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4B4B4B"/>
        </w:rPr>
        <w:t>TABLE OF CONTENTS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Borders>
              <w:bottom w:val="single" w:sz="8" w:color="F7F7F7"/>
            </w:tcBorders>
            <w:shd w:val="clear" w:color="auto" w:fill="F7F7F7"/>
          </w:tcPr>
          <w:p>
            <w:pPr>
              <w:spacing w:after="0"/>
              <w:rPr>
                <w:sz w:val="20"/>
                <w:szCs w:val="20"/>
                <w:color w:val="auto"/>
              </w:rPr>
            </w:pPr>
          </w:p>
        </w:tc>
        <w:tc>
          <w:tcPr>
            <w:tcW w:w="240" w:type="dxa"/>
            <w:vAlign w:val="bottom"/>
            <w:tcBorders>
              <w:bottom w:val="single" w:sz="8" w:color="F7F7F7"/>
              <w:right w:val="single" w:sz="8" w:color="F7F7F7"/>
            </w:tcBorders>
            <w:shd w:val="clear" w:color="auto" w:fill="F7F7F7"/>
          </w:tcPr>
          <w:p>
            <w:pPr>
              <w:spacing w:after="0"/>
              <w:rPr>
                <w:sz w:val="20"/>
                <w:szCs w:val="20"/>
                <w:color w:val="auto"/>
              </w:rPr>
            </w:pPr>
          </w:p>
        </w:tc>
        <w:tc>
          <w:tcPr>
            <w:tcW w:w="1320" w:type="dxa"/>
            <w:vAlign w:val="bottom"/>
            <w:tcBorders>
              <w:bottom w:val="single" w:sz="8" w:color="F7F7F7"/>
            </w:tcBorders>
            <w:shd w:val="clear" w:color="auto" w:fill="F7F7F7"/>
          </w:tcPr>
          <w:p>
            <w:pPr>
              <w:spacing w:after="0"/>
              <w:rPr>
                <w:sz w:val="20"/>
                <w:szCs w:val="20"/>
                <w:color w:val="auto"/>
              </w:rPr>
            </w:pPr>
          </w:p>
        </w:tc>
        <w:tc>
          <w:tcPr>
            <w:tcW w:w="220" w:type="dxa"/>
            <w:vAlign w:val="bottom"/>
            <w:tcBorders>
              <w:bottom w:val="single" w:sz="8" w:color="F7F7F7"/>
            </w:tcBorders>
            <w:shd w:val="clear" w:color="auto" w:fill="F7F7F7"/>
          </w:tcPr>
          <w:p>
            <w:pPr>
              <w:spacing w:after="0"/>
              <w:rPr>
                <w:sz w:val="20"/>
                <w:szCs w:val="20"/>
                <w:color w:val="auto"/>
              </w:rPr>
            </w:pPr>
          </w:p>
        </w:tc>
        <w:tc>
          <w:tcPr>
            <w:tcW w:w="80" w:type="dxa"/>
            <w:vAlign w:val="bottom"/>
            <w:tcBorders>
              <w:bottom w:val="single" w:sz="8" w:color="F7F7F7"/>
            </w:tcBorders>
            <w:shd w:val="clear" w:color="auto" w:fill="F7F7F7"/>
          </w:tcPr>
          <w:p>
            <w:pPr>
              <w:spacing w:after="0"/>
              <w:rPr>
                <w:sz w:val="20"/>
                <w:szCs w:val="20"/>
                <w:color w:val="auto"/>
              </w:rPr>
            </w:pPr>
          </w:p>
        </w:tc>
        <w:tc>
          <w:tcPr>
            <w:tcW w:w="100" w:type="dxa"/>
            <w:vAlign w:val="bottom"/>
            <w:tcBorders>
              <w:bottom w:val="single" w:sz="8" w:color="F7F7F7"/>
            </w:tcBorders>
            <w:shd w:val="clear" w:color="auto" w:fill="F7F7F7"/>
          </w:tcPr>
          <w:p>
            <w:pPr>
              <w:spacing w:after="0"/>
              <w:rPr>
                <w:sz w:val="20"/>
                <w:szCs w:val="20"/>
                <w:color w:val="auto"/>
              </w:rPr>
            </w:pPr>
          </w:p>
        </w:tc>
        <w:tc>
          <w:tcPr>
            <w:tcW w:w="20" w:type="dxa"/>
            <w:vAlign w:val="bottom"/>
            <w:tcBorders>
              <w:bottom w:val="single" w:sz="8" w:color="F7F7F7"/>
            </w:tcBorders>
            <w:shd w:val="clear" w:color="auto" w:fill="F7F7F7"/>
          </w:tcPr>
          <w:p>
            <w:pPr>
              <w:spacing w:after="0"/>
              <w:rPr>
                <w:sz w:val="20"/>
                <w:szCs w:val="20"/>
                <w:color w:val="auto"/>
              </w:rPr>
            </w:pPr>
          </w:p>
        </w:tc>
        <w:tc>
          <w:tcPr>
            <w:tcW w:w="60" w:type="dxa"/>
            <w:vAlign w:val="bottom"/>
            <w:tcBorders>
              <w:bottom w:val="single" w:sz="8" w:color="F7F7F7"/>
            </w:tcBorders>
            <w:shd w:val="clear" w:color="auto" w:fill="F7F7F7"/>
          </w:tcPr>
          <w:p>
            <w:pPr>
              <w:spacing w:after="0"/>
              <w:rPr>
                <w:sz w:val="20"/>
                <w:szCs w:val="20"/>
                <w:color w:val="auto"/>
              </w:rPr>
            </w:pPr>
          </w:p>
        </w:tc>
        <w:tc>
          <w:tcPr>
            <w:tcW w:w="20" w:type="dxa"/>
            <w:vAlign w:val="bottom"/>
            <w:tcBorders>
              <w:bottom w:val="single" w:sz="8" w:color="F7F7F7"/>
            </w:tcBorders>
            <w:shd w:val="clear" w:color="auto" w:fill="F7F7F7"/>
          </w:tcPr>
          <w:p>
            <w:pPr>
              <w:spacing w:after="0"/>
              <w:rPr>
                <w:sz w:val="20"/>
                <w:szCs w:val="20"/>
                <w:color w:val="auto"/>
              </w:rPr>
            </w:pPr>
          </w:p>
        </w:tc>
        <w:tc>
          <w:tcPr>
            <w:tcW w:w="160" w:type="dxa"/>
            <w:vAlign w:val="bottom"/>
            <w:tcBorders>
              <w:bottom w:val="single" w:sz="8" w:color="F7F7F7"/>
              <w:right w:val="single" w:sz="8" w:color="F7F7F7"/>
            </w:tcBorders>
            <w:shd w:val="clear" w:color="auto" w:fill="F7F7F7"/>
          </w:tcPr>
          <w:p>
            <w:pPr>
              <w:spacing w:after="0"/>
              <w:rPr>
                <w:sz w:val="20"/>
                <w:szCs w:val="20"/>
                <w:color w:val="auto"/>
              </w:rPr>
            </w:pPr>
          </w:p>
        </w:tc>
        <w:tc>
          <w:tcPr>
            <w:tcW w:w="20" w:type="dxa"/>
            <w:vAlign w:val="bottom"/>
            <w:tcBorders>
              <w:bottom w:val="single" w:sz="8" w:color="F7F7F7"/>
            </w:tcBorders>
            <w:shd w:val="clear" w:color="auto" w:fill="F7F7F7"/>
          </w:tcPr>
          <w:p>
            <w:pPr>
              <w:spacing w:after="0"/>
              <w:rPr>
                <w:sz w:val="20"/>
                <w:szCs w:val="20"/>
                <w:color w:val="auto"/>
              </w:rPr>
            </w:pPr>
          </w:p>
        </w:tc>
        <w:tc>
          <w:tcPr>
            <w:tcW w:w="100" w:type="dxa"/>
            <w:vAlign w:val="bottom"/>
            <w:tcBorders>
              <w:bottom w:val="single" w:sz="8" w:color="F7F7F7"/>
            </w:tcBorders>
            <w:shd w:val="clear" w:color="auto" w:fill="F7F7F7"/>
          </w:tcPr>
          <w:p>
            <w:pPr>
              <w:spacing w:after="0"/>
              <w:rPr>
                <w:sz w:val="20"/>
                <w:szCs w:val="20"/>
                <w:color w:val="auto"/>
              </w:rPr>
            </w:pPr>
          </w:p>
        </w:tc>
        <w:tc>
          <w:tcPr>
            <w:tcW w:w="340" w:type="dxa"/>
            <w:vAlign w:val="bottom"/>
            <w:tcBorders>
              <w:bottom w:val="single" w:sz="8" w:color="F7F7F7"/>
            </w:tcBorders>
            <w:shd w:val="clear" w:color="auto" w:fill="F7F7F7"/>
          </w:tcPr>
          <w:p>
            <w:pPr>
              <w:spacing w:after="0"/>
              <w:rPr>
                <w:sz w:val="20"/>
                <w:szCs w:val="20"/>
                <w:color w:val="auto"/>
              </w:rPr>
            </w:pPr>
          </w:p>
        </w:tc>
        <w:tc>
          <w:tcPr>
            <w:tcW w:w="280" w:type="dxa"/>
            <w:vAlign w:val="bottom"/>
            <w:tcBorders>
              <w:bottom w:val="single" w:sz="8" w:color="F7F7F7"/>
            </w:tcBorders>
            <w:shd w:val="clear" w:color="auto" w:fill="F7F7F7"/>
          </w:tcPr>
          <w:p>
            <w:pPr>
              <w:spacing w:after="0"/>
              <w:rPr>
                <w:sz w:val="20"/>
                <w:szCs w:val="20"/>
                <w:color w:val="auto"/>
              </w:rPr>
            </w:pPr>
          </w:p>
        </w:tc>
        <w:tc>
          <w:tcPr>
            <w:tcW w:w="440" w:type="dxa"/>
            <w:vAlign w:val="bottom"/>
            <w:tcBorders>
              <w:bottom w:val="single" w:sz="8" w:color="F7F7F7"/>
            </w:tcBorders>
            <w:shd w:val="clear" w:color="auto" w:fill="F7F7F7"/>
          </w:tcPr>
          <w:p>
            <w:pPr>
              <w:spacing w:after="0"/>
              <w:rPr>
                <w:sz w:val="20"/>
                <w:szCs w:val="20"/>
                <w:color w:val="auto"/>
              </w:rPr>
            </w:pPr>
          </w:p>
        </w:tc>
        <w:tc>
          <w:tcPr>
            <w:tcW w:w="40" w:type="dxa"/>
            <w:vAlign w:val="bottom"/>
            <w:tcBorders>
              <w:bottom w:val="single" w:sz="8" w:color="F7F7F7"/>
            </w:tcBorders>
            <w:shd w:val="clear" w:color="auto" w:fill="F7F7F7"/>
          </w:tcPr>
          <w:p>
            <w:pPr>
              <w:spacing w:after="0"/>
              <w:rPr>
                <w:sz w:val="20"/>
                <w:szCs w:val="20"/>
                <w:color w:val="auto"/>
              </w:rPr>
            </w:pPr>
          </w:p>
        </w:tc>
        <w:tc>
          <w:tcPr>
            <w:tcW w:w="80" w:type="dxa"/>
            <w:vAlign w:val="bottom"/>
            <w:tcBorders>
              <w:bottom w:val="single" w:sz="8" w:color="F7F7F7"/>
            </w:tcBorders>
            <w:shd w:val="clear" w:color="auto" w:fill="F7F7F7"/>
          </w:tcPr>
          <w:p>
            <w:pPr>
              <w:spacing w:after="0"/>
              <w:rPr>
                <w:sz w:val="20"/>
                <w:szCs w:val="20"/>
                <w:color w:val="auto"/>
              </w:rPr>
            </w:pPr>
          </w:p>
        </w:tc>
        <w:tc>
          <w:tcPr>
            <w:tcW w:w="20" w:type="dxa"/>
            <w:vAlign w:val="bottom"/>
            <w:tcBorders>
              <w:bottom w:val="single" w:sz="8" w:color="F7F7F7"/>
            </w:tcBorders>
            <w:shd w:val="clear" w:color="auto" w:fill="F7F7F7"/>
          </w:tcPr>
          <w:p>
            <w:pPr>
              <w:spacing w:after="0"/>
              <w:rPr>
                <w:sz w:val="20"/>
                <w:szCs w:val="20"/>
                <w:color w:val="auto"/>
              </w:rPr>
            </w:pPr>
          </w:p>
        </w:tc>
        <w:tc>
          <w:tcPr>
            <w:tcW w:w="40" w:type="dxa"/>
            <w:vAlign w:val="bottom"/>
            <w:tcBorders>
              <w:bottom w:val="single" w:sz="8" w:color="F7F7F7"/>
            </w:tcBorders>
            <w:shd w:val="clear" w:color="auto" w:fill="F7F7F7"/>
          </w:tcPr>
          <w:p>
            <w:pPr>
              <w:spacing w:after="0"/>
              <w:rPr>
                <w:sz w:val="20"/>
                <w:szCs w:val="20"/>
                <w:color w:val="auto"/>
              </w:rPr>
            </w:pPr>
          </w:p>
        </w:tc>
        <w:tc>
          <w:tcPr>
            <w:tcW w:w="200" w:type="dxa"/>
            <w:vAlign w:val="bottom"/>
            <w:tcBorders>
              <w:bottom w:val="single" w:sz="8" w:color="F7F7F7"/>
            </w:tcBorders>
            <w:shd w:val="clear" w:color="auto" w:fill="F7F7F7"/>
          </w:tcPr>
          <w:p>
            <w:pPr>
              <w:spacing w:after="0"/>
              <w:rPr>
                <w:sz w:val="20"/>
                <w:szCs w:val="20"/>
                <w:color w:val="auto"/>
              </w:rPr>
            </w:pPr>
          </w:p>
        </w:tc>
        <w:tc>
          <w:tcPr>
            <w:tcW w:w="40" w:type="dxa"/>
            <w:vAlign w:val="bottom"/>
            <w:tcBorders>
              <w:bottom w:val="single" w:sz="8" w:color="F7F7F7"/>
            </w:tcBorders>
            <w:shd w:val="clear" w:color="auto" w:fill="F7F7F7"/>
          </w:tcPr>
          <w:p>
            <w:pPr>
              <w:spacing w:after="0"/>
              <w:rPr>
                <w:sz w:val="20"/>
                <w:szCs w:val="20"/>
                <w:color w:val="auto"/>
              </w:rPr>
            </w:pPr>
          </w:p>
        </w:tc>
        <w:tc>
          <w:tcPr>
            <w:tcW w:w="20" w:type="dxa"/>
            <w:vAlign w:val="bottom"/>
            <w:tcBorders>
              <w:bottom w:val="single" w:sz="8" w:color="F7F7F7"/>
            </w:tcBorders>
            <w:shd w:val="clear" w:color="auto" w:fill="F7F7F7"/>
          </w:tcPr>
          <w:p>
            <w:pPr>
              <w:spacing w:after="0"/>
              <w:rPr>
                <w:sz w:val="20"/>
                <w:szCs w:val="20"/>
                <w:color w:val="auto"/>
              </w:rPr>
            </w:pPr>
          </w:p>
        </w:tc>
        <w:tc>
          <w:tcPr>
            <w:tcW w:w="120" w:type="dxa"/>
            <w:vAlign w:val="bottom"/>
            <w:tcBorders>
              <w:bottom w:val="single" w:sz="8" w:color="F7F7F7"/>
            </w:tcBorders>
            <w:shd w:val="clear" w:color="auto" w:fill="F7F7F7"/>
          </w:tcPr>
          <w:p>
            <w:pPr>
              <w:spacing w:after="0"/>
              <w:rPr>
                <w:sz w:val="20"/>
                <w:szCs w:val="20"/>
                <w:color w:val="auto"/>
              </w:rPr>
            </w:pPr>
          </w:p>
        </w:tc>
        <w:tc>
          <w:tcPr>
            <w:tcW w:w="220" w:type="dxa"/>
            <w:vAlign w:val="bottom"/>
            <w:tcBorders>
              <w:bottom w:val="single" w:sz="8" w:color="F7F7F7"/>
            </w:tcBorders>
            <w:shd w:val="clear" w:color="auto" w:fill="F7F7F7"/>
          </w:tcPr>
          <w:p>
            <w:pPr>
              <w:spacing w:after="0"/>
              <w:rPr>
                <w:sz w:val="20"/>
                <w:szCs w:val="20"/>
                <w:color w:val="auto"/>
              </w:rPr>
            </w:pPr>
          </w:p>
        </w:tc>
        <w:tc>
          <w:tcPr>
            <w:tcW w:w="40" w:type="dxa"/>
            <w:vAlign w:val="bottom"/>
            <w:tcBorders>
              <w:bottom w:val="single" w:sz="8" w:color="F7F7F7"/>
            </w:tcBorders>
            <w:shd w:val="clear" w:color="auto" w:fill="F7F7F7"/>
          </w:tcPr>
          <w:p>
            <w:pPr>
              <w:spacing w:after="0"/>
              <w:rPr>
                <w:sz w:val="20"/>
                <w:szCs w:val="20"/>
                <w:color w:val="auto"/>
              </w:rPr>
            </w:pPr>
          </w:p>
        </w:tc>
        <w:tc>
          <w:tcPr>
            <w:tcW w:w="80" w:type="dxa"/>
            <w:vAlign w:val="bottom"/>
            <w:tcBorders>
              <w:bottom w:val="single" w:sz="8" w:color="F7F7F7"/>
            </w:tcBorders>
            <w:shd w:val="clear" w:color="auto" w:fill="F7F7F7"/>
          </w:tcPr>
          <w:p>
            <w:pPr>
              <w:spacing w:after="0"/>
              <w:rPr>
                <w:sz w:val="20"/>
                <w:szCs w:val="20"/>
                <w:color w:val="auto"/>
              </w:rPr>
            </w:pPr>
          </w:p>
        </w:tc>
        <w:tc>
          <w:tcPr>
            <w:tcW w:w="20" w:type="dxa"/>
            <w:vAlign w:val="bottom"/>
            <w:tcBorders>
              <w:bottom w:val="single" w:sz="8" w:color="F7F7F7"/>
            </w:tcBorders>
            <w:shd w:val="clear" w:color="auto" w:fill="F7F7F7"/>
          </w:tcPr>
          <w:p>
            <w:pPr>
              <w:spacing w:after="0"/>
              <w:rPr>
                <w:sz w:val="20"/>
                <w:szCs w:val="20"/>
                <w:color w:val="auto"/>
              </w:rPr>
            </w:pPr>
          </w:p>
        </w:tc>
        <w:tc>
          <w:tcPr>
            <w:tcW w:w="260" w:type="dxa"/>
            <w:vAlign w:val="bottom"/>
            <w:tcBorders>
              <w:bottom w:val="single" w:sz="8" w:color="F7F7F7"/>
            </w:tcBorders>
            <w:shd w:val="clear" w:color="auto" w:fill="F7F7F7"/>
          </w:tcPr>
          <w:p>
            <w:pPr>
              <w:spacing w:after="0"/>
              <w:rPr>
                <w:sz w:val="20"/>
                <w:szCs w:val="20"/>
                <w:color w:val="auto"/>
              </w:rPr>
            </w:pPr>
          </w:p>
        </w:tc>
        <w:tc>
          <w:tcPr>
            <w:tcW w:w="200" w:type="dxa"/>
            <w:vAlign w:val="bottom"/>
            <w:tcBorders>
              <w:bottom w:val="single" w:sz="8" w:color="F7F7F7"/>
            </w:tcBorders>
            <w:shd w:val="clear" w:color="auto" w:fill="F7F7F7"/>
          </w:tcPr>
          <w:p>
            <w:pPr>
              <w:spacing w:after="0"/>
              <w:rPr>
                <w:sz w:val="20"/>
                <w:szCs w:val="20"/>
                <w:color w:val="auto"/>
              </w:rPr>
            </w:pPr>
          </w:p>
        </w:tc>
        <w:tc>
          <w:tcPr>
            <w:tcW w:w="20" w:type="dxa"/>
            <w:vAlign w:val="bottom"/>
            <w:tcBorders>
              <w:bottom w:val="single" w:sz="8" w:color="F7F7F7"/>
            </w:tcBorders>
            <w:shd w:val="clear" w:color="auto" w:fill="F7F7F7"/>
          </w:tcPr>
          <w:p>
            <w:pPr>
              <w:spacing w:after="0"/>
              <w:rPr>
                <w:sz w:val="20"/>
                <w:szCs w:val="20"/>
                <w:color w:val="auto"/>
              </w:rPr>
            </w:pPr>
          </w:p>
        </w:tc>
        <w:tc>
          <w:tcPr>
            <w:tcW w:w="620" w:type="dxa"/>
            <w:vAlign w:val="bottom"/>
            <w:tcBorders>
              <w:bottom w:val="single" w:sz="8" w:color="F7F7F7"/>
            </w:tcBorders>
            <w:shd w:val="clear" w:color="auto" w:fill="F7F7F7"/>
          </w:tcPr>
          <w:p>
            <w:pPr>
              <w:spacing w:after="0"/>
              <w:rPr>
                <w:sz w:val="20"/>
                <w:szCs w:val="20"/>
                <w:color w:val="auto"/>
              </w:rPr>
            </w:pPr>
          </w:p>
        </w:tc>
        <w:tc>
          <w:tcPr>
            <w:tcW w:w="120" w:type="dxa"/>
            <w:vAlign w:val="bottom"/>
            <w:tcBorders>
              <w:bottom w:val="single" w:sz="8" w:color="F7F7F7"/>
            </w:tcBorders>
            <w:shd w:val="clear" w:color="auto" w:fill="F7F7F7"/>
          </w:tcPr>
          <w:p>
            <w:pPr>
              <w:spacing w:after="0"/>
              <w:rPr>
                <w:sz w:val="20"/>
                <w:szCs w:val="20"/>
                <w:color w:val="auto"/>
              </w:rPr>
            </w:pPr>
          </w:p>
        </w:tc>
        <w:tc>
          <w:tcPr>
            <w:tcW w:w="260" w:type="dxa"/>
            <w:vAlign w:val="bottom"/>
            <w:tcBorders>
              <w:bottom w:val="single" w:sz="8" w:color="F7F7F7"/>
            </w:tcBorders>
            <w:shd w:val="clear" w:color="auto" w:fill="F7F7F7"/>
          </w:tcPr>
          <w:p>
            <w:pPr>
              <w:spacing w:after="0"/>
              <w:rPr>
                <w:sz w:val="20"/>
                <w:szCs w:val="20"/>
                <w:color w:val="auto"/>
              </w:rPr>
            </w:pPr>
          </w:p>
        </w:tc>
        <w:tc>
          <w:tcPr>
            <w:tcW w:w="380" w:type="dxa"/>
            <w:vAlign w:val="bottom"/>
            <w:tcBorders>
              <w:bottom w:val="single" w:sz="8" w:color="F7F7F7"/>
            </w:tcBorders>
            <w:shd w:val="clear" w:color="auto" w:fill="F7F7F7"/>
          </w:tcPr>
          <w:p>
            <w:pPr>
              <w:spacing w:after="0"/>
              <w:rPr>
                <w:sz w:val="20"/>
                <w:szCs w:val="20"/>
                <w:color w:val="auto"/>
              </w:rPr>
            </w:pPr>
          </w:p>
        </w:tc>
        <w:tc>
          <w:tcPr>
            <w:tcW w:w="40" w:type="dxa"/>
            <w:vAlign w:val="bottom"/>
            <w:tcBorders>
              <w:bottom w:val="single" w:sz="8" w:color="F7F7F7"/>
            </w:tcBorders>
            <w:shd w:val="clear" w:color="auto" w:fill="F7F7F7"/>
          </w:tcPr>
          <w:p>
            <w:pPr>
              <w:spacing w:after="0"/>
              <w:rPr>
                <w:sz w:val="20"/>
                <w:szCs w:val="20"/>
                <w:color w:val="auto"/>
              </w:rPr>
            </w:pPr>
          </w:p>
        </w:tc>
        <w:tc>
          <w:tcPr>
            <w:tcW w:w="600" w:type="dxa"/>
            <w:vAlign w:val="bottom"/>
            <w:tcBorders>
              <w:bottom w:val="single" w:sz="8" w:color="F7F7F7"/>
            </w:tcBorders>
            <w:shd w:val="clear" w:color="auto" w:fill="F7F7F7"/>
          </w:tcPr>
          <w:p>
            <w:pPr>
              <w:spacing w:after="0"/>
              <w:rPr>
                <w:sz w:val="20"/>
                <w:szCs w:val="20"/>
                <w:color w:val="auto"/>
              </w:rPr>
            </w:pPr>
          </w:p>
        </w:tc>
        <w:tc>
          <w:tcPr>
            <w:tcW w:w="140" w:type="dxa"/>
            <w:vAlign w:val="bottom"/>
            <w:tcBorders>
              <w:bottom w:val="single" w:sz="8" w:color="F7F7F7"/>
            </w:tcBorders>
            <w:shd w:val="clear" w:color="auto" w:fill="F7F7F7"/>
          </w:tcPr>
          <w:p>
            <w:pPr>
              <w:spacing w:after="0"/>
              <w:rPr>
                <w:sz w:val="20"/>
                <w:szCs w:val="20"/>
                <w:color w:val="auto"/>
              </w:rPr>
            </w:pPr>
          </w:p>
        </w:tc>
        <w:tc>
          <w:tcPr>
            <w:tcW w:w="820" w:type="dxa"/>
            <w:vAlign w:val="bottom"/>
            <w:tcBorders>
              <w:bottom w:val="single" w:sz="8" w:color="F7F7F7"/>
            </w:tcBorders>
            <w:shd w:val="clear" w:color="auto" w:fill="F7F7F7"/>
          </w:tcPr>
          <w:p>
            <w:pPr>
              <w:spacing w:after="0"/>
              <w:rPr>
                <w:sz w:val="20"/>
                <w:szCs w:val="20"/>
                <w:color w:val="auto"/>
              </w:rPr>
            </w:pPr>
          </w:p>
        </w:tc>
        <w:tc>
          <w:tcPr>
            <w:tcW w:w="400" w:type="dxa"/>
            <w:vAlign w:val="bottom"/>
            <w:tcBorders>
              <w:bottom w:val="single" w:sz="8" w:color="F7F7F7"/>
            </w:tcBorders>
            <w:shd w:val="clear" w:color="auto" w:fill="F7F7F7"/>
          </w:tcPr>
          <w:p>
            <w:pPr>
              <w:spacing w:after="0"/>
              <w:rPr>
                <w:sz w:val="20"/>
                <w:szCs w:val="20"/>
                <w:color w:val="auto"/>
              </w:rPr>
            </w:pPr>
          </w:p>
        </w:tc>
        <w:tc>
          <w:tcPr>
            <w:tcW w:w="660" w:type="dxa"/>
            <w:vAlign w:val="bottom"/>
            <w:tcBorders>
              <w:bottom w:val="single" w:sz="8" w:color="F7F7F7"/>
            </w:tcBorders>
            <w:shd w:val="clear" w:color="auto" w:fill="F7F7F7"/>
          </w:tcPr>
          <w:p>
            <w:pPr>
              <w:spacing w:after="0"/>
              <w:rPr>
                <w:sz w:val="20"/>
                <w:szCs w:val="20"/>
                <w:color w:val="auto"/>
              </w:rPr>
            </w:pPr>
          </w:p>
        </w:tc>
        <w:tc>
          <w:tcPr>
            <w:tcW w:w="900" w:type="dxa"/>
            <w:vAlign w:val="bottom"/>
            <w:tcBorders>
              <w:bottom w:val="single" w:sz="8" w:color="F7F7F7"/>
            </w:tcBorders>
            <w:shd w:val="clear" w:color="auto" w:fill="F7F7F7"/>
          </w:tcPr>
          <w:p>
            <w:pPr>
              <w:spacing w:after="0"/>
              <w:rPr>
                <w:sz w:val="20"/>
                <w:szCs w:val="20"/>
                <w:color w:val="auto"/>
              </w:rPr>
            </w:pPr>
          </w:p>
        </w:tc>
        <w:tc>
          <w:tcPr>
            <w:tcW w:w="380" w:type="dxa"/>
            <w:vAlign w:val="bottom"/>
            <w:tcBorders>
              <w:bottom w:val="single" w:sz="8" w:color="F7F7F7"/>
            </w:tcBorders>
            <w:shd w:val="clear" w:color="auto" w:fill="F7F7F7"/>
          </w:tcPr>
          <w:p>
            <w:pPr>
              <w:spacing w:after="0"/>
              <w:rPr>
                <w:sz w:val="20"/>
                <w:szCs w:val="20"/>
                <w:color w:val="auto"/>
              </w:rPr>
            </w:pPr>
          </w:p>
        </w:tc>
        <w:tc>
          <w:tcPr>
            <w:tcW w:w="1080" w:type="dxa"/>
            <w:vAlign w:val="bottom"/>
            <w:tcBorders>
              <w:bottom w:val="single" w:sz="8" w:color="F7F7F7"/>
            </w:tcBorders>
            <w:shd w:val="clear" w:color="auto" w:fill="F7F7F7"/>
          </w:tcPr>
          <w:p>
            <w:pPr>
              <w:ind w:left="600"/>
              <w:spacing w:after="0"/>
              <w:rPr>
                <w:sz w:val="20"/>
                <w:szCs w:val="20"/>
                <w:color w:val="auto"/>
              </w:rPr>
            </w:pPr>
            <w:r>
              <w:rPr>
                <w:rFonts w:ascii="Arial" w:cs="Arial" w:eastAsia="Arial" w:hAnsi="Arial"/>
                <w:sz w:val="16"/>
                <w:szCs w:val="16"/>
                <w:b w:val="1"/>
                <w:bCs w:val="1"/>
                <w:color w:val="4B4B4B"/>
              </w:rPr>
              <w:t>Page</w:t>
            </w:r>
          </w:p>
        </w:tc>
      </w:tr>
      <w:tr>
        <w:trPr>
          <w:trHeight w:val="189"/>
        </w:trPr>
        <w:tc>
          <w:tcPr>
            <w:tcW w:w="20" w:type="dxa"/>
            <w:vAlign w:val="bottom"/>
          </w:tcPr>
          <w:p>
            <w:pPr>
              <w:spacing w:after="0"/>
              <w:rPr>
                <w:sz w:val="16"/>
                <w:szCs w:val="16"/>
                <w:color w:val="auto"/>
              </w:rPr>
            </w:pPr>
          </w:p>
        </w:tc>
        <w:tc>
          <w:tcPr>
            <w:tcW w:w="5540" w:type="dxa"/>
            <w:vAlign w:val="bottom"/>
            <w:tcBorders>
              <w:bottom w:val="single" w:sz="8" w:color="58CC02"/>
            </w:tcBorders>
            <w:gridSpan w:val="31"/>
          </w:tcPr>
          <w:p>
            <w:pPr>
              <w:spacing w:after="0"/>
              <w:rPr>
                <w:rFonts w:ascii="Arial" w:cs="Arial" w:eastAsia="Arial" w:hAnsi="Arial"/>
                <w:sz w:val="16"/>
                <w:szCs w:val="16"/>
                <w:b w:val="1"/>
                <w:bCs w:val="1"/>
                <w:color w:val="58CC02"/>
              </w:rPr>
            </w:pPr>
            <w:hyperlink w:anchor="page6">
              <w:r>
                <w:rPr>
                  <w:rFonts w:ascii="Arial" w:cs="Arial" w:eastAsia="Arial" w:hAnsi="Arial"/>
                  <w:sz w:val="16"/>
                  <w:szCs w:val="16"/>
                  <w:b w:val="1"/>
                  <w:bCs w:val="1"/>
                  <w:color w:val="58CC02"/>
                </w:rPr>
                <w:t>GENERAL INFORMATION ABOUT THE ANNUAL MEETING AND VOTING</w:t>
              </w:r>
            </w:hyperlink>
          </w:p>
        </w:tc>
        <w:tc>
          <w:tcPr>
            <w:tcW w:w="4580" w:type="dxa"/>
            <w:vAlign w:val="bottom"/>
            <w:gridSpan w:val="10"/>
          </w:tcPr>
          <w:p>
            <w:pPr>
              <w:spacing w:after="0"/>
              <w:rPr>
                <w:sz w:val="16"/>
                <w:szCs w:val="16"/>
                <w:color w:val="auto"/>
              </w:rPr>
            </w:pPr>
          </w:p>
        </w:tc>
        <w:tc>
          <w:tcPr>
            <w:tcW w:w="1080" w:type="dxa"/>
            <w:vAlign w:val="bottom"/>
          </w:tcPr>
          <w:p>
            <w:pPr>
              <w:jc w:val="center"/>
              <w:ind w:left="419"/>
              <w:spacing w:after="0"/>
              <w:rPr>
                <w:rFonts w:ascii="Arial" w:cs="Arial" w:eastAsia="Arial" w:hAnsi="Arial"/>
                <w:sz w:val="16"/>
                <w:szCs w:val="16"/>
                <w:color w:val="4B4B4B"/>
              </w:rPr>
            </w:pPr>
            <w:hyperlink w:anchor="page6">
              <w:r>
                <w:rPr>
                  <w:rFonts w:ascii="Arial" w:cs="Arial" w:eastAsia="Arial" w:hAnsi="Arial"/>
                  <w:sz w:val="16"/>
                  <w:szCs w:val="16"/>
                  <w:color w:val="4B4B4B"/>
                </w:rPr>
                <w:t>2</w:t>
              </w:r>
            </w:hyperlink>
          </w:p>
        </w:tc>
      </w:tr>
      <w:tr>
        <w:trPr>
          <w:trHeight w:val="29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Borders>
              <w:bottom w:val="single" w:sz="8" w:color="4B4B4B"/>
            </w:tcBorders>
            <w:gridSpan w:val="20"/>
          </w:tcPr>
          <w:p>
            <w:pPr>
              <w:spacing w:after="0"/>
              <w:rPr>
                <w:rFonts w:ascii="Arial" w:cs="Arial" w:eastAsia="Arial" w:hAnsi="Arial"/>
                <w:sz w:val="16"/>
                <w:szCs w:val="16"/>
                <w:color w:val="4B4B4B"/>
              </w:rPr>
            </w:pPr>
            <w:hyperlink w:anchor="page7">
              <w:r>
                <w:rPr>
                  <w:rFonts w:ascii="Arial" w:cs="Arial" w:eastAsia="Arial" w:hAnsi="Arial"/>
                  <w:sz w:val="16"/>
                  <w:szCs w:val="16"/>
                  <w:color w:val="4B4B4B"/>
                </w:rPr>
                <w:t>When and where will the Annual Meeting be held?</w:t>
              </w:r>
            </w:hyperlink>
          </w:p>
        </w:tc>
        <w:tc>
          <w:tcPr>
            <w:tcW w:w="6280" w:type="dxa"/>
            <w:vAlign w:val="bottom"/>
            <w:gridSpan w:val="20"/>
          </w:tcPr>
          <w:p>
            <w:pPr>
              <w:spacing w:after="0"/>
              <w:rPr>
                <w:sz w:val="24"/>
                <w:szCs w:val="24"/>
                <w:color w:val="auto"/>
              </w:rPr>
            </w:pPr>
          </w:p>
        </w:tc>
        <w:tc>
          <w:tcPr>
            <w:tcW w:w="1080" w:type="dxa"/>
            <w:vAlign w:val="bottom"/>
          </w:tcPr>
          <w:p>
            <w:pPr>
              <w:jc w:val="center"/>
              <w:ind w:left="419"/>
              <w:spacing w:after="0"/>
              <w:rPr>
                <w:rFonts w:ascii="Arial" w:cs="Arial" w:eastAsia="Arial" w:hAnsi="Arial"/>
                <w:sz w:val="16"/>
                <w:szCs w:val="16"/>
                <w:color w:val="4B4B4B"/>
              </w:rPr>
            </w:pPr>
            <w:hyperlink w:anchor="page7">
              <w:r>
                <w:rPr>
                  <w:rFonts w:ascii="Arial" w:cs="Arial" w:eastAsia="Arial" w:hAnsi="Arial"/>
                  <w:sz w:val="16"/>
                  <w:szCs w:val="16"/>
                  <w:color w:val="4B4B4B"/>
                </w:rPr>
                <w:t>2</w:t>
              </w:r>
            </w:hyperlink>
          </w:p>
        </w:tc>
      </w:tr>
      <w:tr>
        <w:trPr>
          <w:trHeight w:val="236"/>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Borders>
              <w:bottom w:val="single" w:sz="8" w:color="4B4B4B"/>
            </w:tcBorders>
            <w:gridSpan w:val="17"/>
          </w:tcPr>
          <w:p>
            <w:pPr>
              <w:spacing w:after="0"/>
              <w:rPr>
                <w:rFonts w:ascii="Arial" w:cs="Arial" w:eastAsia="Arial" w:hAnsi="Arial"/>
                <w:sz w:val="16"/>
                <w:szCs w:val="16"/>
                <w:color w:val="4B4B4B"/>
              </w:rPr>
            </w:pPr>
            <w:hyperlink w:anchor="page7">
              <w:r>
                <w:rPr>
                  <w:rFonts w:ascii="Arial" w:cs="Arial" w:eastAsia="Arial" w:hAnsi="Arial"/>
                  <w:sz w:val="16"/>
                  <w:szCs w:val="16"/>
                  <w:color w:val="4B4B4B"/>
                </w:rPr>
                <w:t>What are the purposes of the Annual Meeting?</w:t>
              </w:r>
            </w:hyperlink>
          </w:p>
        </w:tc>
        <w:tc>
          <w:tcPr>
            <w:tcW w:w="6540" w:type="dxa"/>
            <w:vAlign w:val="bottom"/>
            <w:gridSpan w:val="23"/>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7">
              <w:r>
                <w:rPr>
                  <w:rFonts w:ascii="Arial" w:cs="Arial" w:eastAsia="Arial" w:hAnsi="Arial"/>
                  <w:sz w:val="16"/>
                  <w:szCs w:val="16"/>
                  <w:color w:val="4B4B4B"/>
                </w:rPr>
                <w:t>2</w:t>
              </w:r>
            </w:hyperlink>
          </w:p>
        </w:tc>
      </w:tr>
      <w:tr>
        <w:trPr>
          <w:trHeight w:val="236"/>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40"/>
          </w:tcPr>
          <w:p>
            <w:pPr>
              <w:spacing w:after="0"/>
              <w:rPr>
                <w:rFonts w:ascii="Arial" w:cs="Arial" w:eastAsia="Arial" w:hAnsi="Arial"/>
                <w:sz w:val="16"/>
                <w:szCs w:val="16"/>
                <w:color w:val="4B4B4B"/>
              </w:rPr>
            </w:pPr>
            <w:hyperlink w:anchor="page7">
              <w:r>
                <w:rPr>
                  <w:rFonts w:ascii="Arial" w:cs="Arial" w:eastAsia="Arial" w:hAnsi="Arial"/>
                  <w:sz w:val="16"/>
                  <w:szCs w:val="16"/>
                  <w:color w:val="4B4B4B"/>
                </w:rPr>
                <w:t>Are there any matters to be voted on at the Annual Meeting that are not included in this Proxy Statement?</w:t>
              </w:r>
            </w:hyperlink>
          </w:p>
        </w:tc>
        <w:tc>
          <w:tcPr>
            <w:tcW w:w="1080" w:type="dxa"/>
            <w:vAlign w:val="bottom"/>
          </w:tcPr>
          <w:p>
            <w:pPr>
              <w:jc w:val="center"/>
              <w:ind w:left="419"/>
              <w:spacing w:after="0"/>
              <w:rPr>
                <w:rFonts w:ascii="Arial" w:cs="Arial" w:eastAsia="Arial" w:hAnsi="Arial"/>
                <w:sz w:val="16"/>
                <w:szCs w:val="16"/>
                <w:color w:val="4B4B4B"/>
              </w:rPr>
            </w:pPr>
            <w:hyperlink w:anchor="page7">
              <w:r>
                <w:rPr>
                  <w:rFonts w:ascii="Arial" w:cs="Arial" w:eastAsia="Arial" w:hAnsi="Arial"/>
                  <w:sz w:val="16"/>
                  <w:szCs w:val="16"/>
                  <w:color w:val="4B4B4B"/>
                </w:rPr>
                <w:t>2</w:t>
              </w:r>
            </w:hyperlink>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540" w:type="dxa"/>
            <w:vAlign w:val="bottom"/>
            <w:tcBorders>
              <w:top w:val="single" w:sz="8" w:color="4B4B4B"/>
            </w:tcBorders>
            <w:gridSpan w:val="36"/>
          </w:tcPr>
          <w:p>
            <w:pPr>
              <w:spacing w:after="0"/>
              <w:rPr>
                <w:rFonts w:ascii="Arial" w:cs="Arial" w:eastAsia="Arial" w:hAnsi="Arial"/>
                <w:sz w:val="16"/>
                <w:szCs w:val="16"/>
                <w:color w:val="4B4B4B"/>
              </w:rPr>
            </w:pPr>
            <w:hyperlink w:anchor="page7">
              <w:r>
                <w:rPr>
                  <w:rFonts w:ascii="Arial" w:cs="Arial" w:eastAsia="Arial" w:hAnsi="Arial"/>
                  <w:sz w:val="16"/>
                  <w:szCs w:val="16"/>
                  <w:color w:val="4B4B4B"/>
                </w:rPr>
                <w:t>How do I vote my shares without attending the Annual Meeting?</w:t>
              </w:r>
            </w:hyperlink>
          </w:p>
        </w:tc>
        <w:tc>
          <w:tcPr>
            <w:tcW w:w="2340" w:type="dxa"/>
            <w:vAlign w:val="bottom"/>
            <w:gridSpan w:val="4"/>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7">
              <w:r>
                <w:rPr>
                  <w:rFonts w:ascii="Arial" w:cs="Arial" w:eastAsia="Arial" w:hAnsi="Arial"/>
                  <w:sz w:val="16"/>
                  <w:szCs w:val="16"/>
                  <w:color w:val="4B4B4B"/>
                </w:rPr>
                <w:t>3</w:t>
              </w:r>
            </w:hyperlink>
          </w:p>
        </w:tc>
      </w:tr>
      <w:tr>
        <w:trPr>
          <w:trHeight w:val="236"/>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80" w:type="dxa"/>
            <w:vAlign w:val="bottom"/>
            <w:tcBorders>
              <w:top w:val="single" w:sz="8" w:color="4B4B4B"/>
              <w:bottom w:val="single" w:sz="8" w:color="4B4B4B"/>
            </w:tcBorders>
            <w:gridSpan w:val="25"/>
          </w:tcPr>
          <w:p>
            <w:pPr>
              <w:spacing w:after="0"/>
              <w:rPr>
                <w:rFonts w:ascii="Arial" w:cs="Arial" w:eastAsia="Arial" w:hAnsi="Arial"/>
                <w:sz w:val="16"/>
                <w:szCs w:val="16"/>
                <w:color w:val="4B4B4B"/>
              </w:rPr>
            </w:pPr>
            <w:hyperlink w:anchor="page8">
              <w:r>
                <w:rPr>
                  <w:rFonts w:ascii="Arial" w:cs="Arial" w:eastAsia="Arial" w:hAnsi="Arial"/>
                  <w:sz w:val="16"/>
                  <w:szCs w:val="16"/>
                  <w:color w:val="4B4B4B"/>
                </w:rPr>
                <w:t>How many votes are required to approve each proposal?</w:t>
              </w:r>
            </w:hyperlink>
          </w:p>
        </w:tc>
        <w:tc>
          <w:tcPr>
            <w:tcW w:w="480" w:type="dxa"/>
            <w:vAlign w:val="bottom"/>
            <w:tcBorders>
              <w:top w:val="single" w:sz="8" w:color="4B4B4B"/>
            </w:tcBorders>
            <w:gridSpan w:val="3"/>
          </w:tcPr>
          <w:p>
            <w:pPr>
              <w:spacing w:after="0"/>
              <w:rPr>
                <w:sz w:val="20"/>
                <w:szCs w:val="20"/>
                <w:color w:val="auto"/>
              </w:rPr>
            </w:pPr>
          </w:p>
        </w:tc>
        <w:tc>
          <w:tcPr>
            <w:tcW w:w="5320" w:type="dxa"/>
            <w:vAlign w:val="bottom"/>
            <w:gridSpan w:val="12"/>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8">
              <w:r>
                <w:rPr>
                  <w:rFonts w:ascii="Arial" w:cs="Arial" w:eastAsia="Arial" w:hAnsi="Arial"/>
                  <w:sz w:val="16"/>
                  <w:szCs w:val="16"/>
                  <w:color w:val="4B4B4B"/>
                </w:rPr>
                <w:t>3</w:t>
              </w:r>
            </w:hyperlink>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500" w:type="dxa"/>
            <w:vAlign w:val="bottom"/>
            <w:tcBorders>
              <w:bottom w:val="single" w:sz="8" w:color="4B4B4B"/>
            </w:tcBorders>
            <w:gridSpan w:val="39"/>
          </w:tcPr>
          <w:p>
            <w:pPr>
              <w:spacing w:after="0"/>
              <w:rPr>
                <w:rFonts w:ascii="Arial" w:cs="Arial" w:eastAsia="Arial" w:hAnsi="Arial"/>
                <w:sz w:val="16"/>
                <w:szCs w:val="16"/>
                <w:color w:val="4B4B4B"/>
              </w:rPr>
            </w:pPr>
            <w:hyperlink w:anchor="page8">
              <w:r>
                <w:rPr>
                  <w:rFonts w:ascii="Arial" w:cs="Arial" w:eastAsia="Arial" w:hAnsi="Arial"/>
                  <w:sz w:val="16"/>
                  <w:szCs w:val="16"/>
                  <w:color w:val="4B4B4B"/>
                </w:rPr>
                <w:t>Why did I receive a notice in the mail regarding the Internet availability of proxy materials instead of a paper copy of proxy materials?</w:t>
              </w:r>
            </w:hyperlink>
          </w:p>
        </w:tc>
        <w:tc>
          <w:tcPr>
            <w:tcW w:w="380" w:type="dxa"/>
            <w:vAlign w:val="bottom"/>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8">
              <w:r>
                <w:rPr>
                  <w:rFonts w:ascii="Arial" w:cs="Arial" w:eastAsia="Arial" w:hAnsi="Arial"/>
                  <w:sz w:val="16"/>
                  <w:szCs w:val="16"/>
                  <w:color w:val="4B4B4B"/>
                </w:rPr>
                <w:t>4</w:t>
              </w:r>
            </w:hyperlink>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40"/>
          </w:tcPr>
          <w:p>
            <w:pPr>
              <w:spacing w:after="0"/>
              <w:rPr>
                <w:rFonts w:ascii="Arial" w:cs="Arial" w:eastAsia="Arial" w:hAnsi="Arial"/>
                <w:sz w:val="16"/>
                <w:szCs w:val="16"/>
                <w:color w:val="4B4B4B"/>
              </w:rPr>
            </w:pPr>
            <w:hyperlink w:anchor="page9">
              <w:r>
                <w:rPr>
                  <w:rFonts w:ascii="Arial" w:cs="Arial" w:eastAsia="Arial" w:hAnsi="Arial"/>
                  <w:sz w:val="16"/>
                  <w:szCs w:val="16"/>
                  <w:color w:val="4B4B4B"/>
                </w:rPr>
                <w:t>What does it mean if I receive more than one Notice and Access Card or more than one set of proxy materials?</w:t>
              </w:r>
            </w:hyperlink>
          </w:p>
        </w:tc>
        <w:tc>
          <w:tcPr>
            <w:tcW w:w="1080" w:type="dxa"/>
            <w:vAlign w:val="bottom"/>
          </w:tcPr>
          <w:p>
            <w:pPr>
              <w:jc w:val="center"/>
              <w:ind w:left="419"/>
              <w:spacing w:after="0"/>
              <w:rPr>
                <w:rFonts w:ascii="Arial" w:cs="Arial" w:eastAsia="Arial" w:hAnsi="Arial"/>
                <w:sz w:val="16"/>
                <w:szCs w:val="16"/>
                <w:color w:val="4B4B4B"/>
              </w:rPr>
            </w:pPr>
            <w:hyperlink w:anchor="page9">
              <w:r>
                <w:rPr>
                  <w:rFonts w:ascii="Arial" w:cs="Arial" w:eastAsia="Arial" w:hAnsi="Arial"/>
                  <w:sz w:val="16"/>
                  <w:szCs w:val="16"/>
                  <w:color w:val="4B4B4B"/>
                </w:rPr>
                <w:t>4</w:t>
              </w:r>
            </w:hyperlink>
          </w:p>
        </w:tc>
      </w:tr>
      <w:tr>
        <w:trPr>
          <w:trHeight w:val="236"/>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60" w:type="dxa"/>
            <w:vAlign w:val="bottom"/>
            <w:tcBorders>
              <w:top w:val="single" w:sz="8" w:color="4B4B4B"/>
              <w:bottom w:val="single" w:sz="8" w:color="4B4B4B"/>
            </w:tcBorders>
            <w:gridSpan w:val="31"/>
          </w:tcPr>
          <w:p>
            <w:pPr>
              <w:spacing w:after="0"/>
              <w:rPr>
                <w:rFonts w:ascii="Arial" w:cs="Arial" w:eastAsia="Arial" w:hAnsi="Arial"/>
                <w:sz w:val="16"/>
                <w:szCs w:val="16"/>
                <w:color w:val="4B4B4B"/>
              </w:rPr>
            </w:pPr>
            <w:hyperlink w:anchor="page9">
              <w:r>
                <w:rPr>
                  <w:rFonts w:ascii="Arial" w:cs="Arial" w:eastAsia="Arial" w:hAnsi="Arial"/>
                  <w:sz w:val="16"/>
                  <w:szCs w:val="16"/>
                  <w:color w:val="4B4B4B"/>
                </w:rPr>
                <w:t>Can I vote my shares by filling out and returning the Notice and Access Card?</w:t>
              </w:r>
            </w:hyperlink>
          </w:p>
        </w:tc>
        <w:tc>
          <w:tcPr>
            <w:tcW w:w="2380" w:type="dxa"/>
            <w:vAlign w:val="bottom"/>
            <w:tcBorders>
              <w:top w:val="single" w:sz="8" w:color="4B4B4B"/>
            </w:tcBorders>
            <w:gridSpan w:val="6"/>
          </w:tcPr>
          <w:p>
            <w:pPr>
              <w:spacing w:after="0"/>
              <w:rPr>
                <w:sz w:val="20"/>
                <w:szCs w:val="20"/>
                <w:color w:val="auto"/>
              </w:rPr>
            </w:pPr>
          </w:p>
        </w:tc>
        <w:tc>
          <w:tcPr>
            <w:tcW w:w="1940" w:type="dxa"/>
            <w:vAlign w:val="bottom"/>
            <w:gridSpan w:val="3"/>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9">
              <w:r>
                <w:rPr>
                  <w:rFonts w:ascii="Arial" w:cs="Arial" w:eastAsia="Arial" w:hAnsi="Arial"/>
                  <w:sz w:val="16"/>
                  <w:szCs w:val="16"/>
                  <w:color w:val="4B4B4B"/>
                </w:rPr>
                <w:t>4</w:t>
              </w:r>
            </w:hyperlink>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00" w:type="dxa"/>
            <w:vAlign w:val="bottom"/>
            <w:tcBorders>
              <w:bottom w:val="single" w:sz="8" w:color="4B4B4B"/>
            </w:tcBorders>
            <w:gridSpan w:val="16"/>
          </w:tcPr>
          <w:p>
            <w:pPr>
              <w:spacing w:after="0"/>
              <w:rPr>
                <w:rFonts w:ascii="Arial" w:cs="Arial" w:eastAsia="Arial" w:hAnsi="Arial"/>
                <w:sz w:val="16"/>
                <w:szCs w:val="16"/>
                <w:color w:val="4B4B4B"/>
              </w:rPr>
            </w:pPr>
            <w:hyperlink w:anchor="page9">
              <w:r>
                <w:rPr>
                  <w:rFonts w:ascii="Arial" w:cs="Arial" w:eastAsia="Arial" w:hAnsi="Arial"/>
                  <w:sz w:val="16"/>
                  <w:szCs w:val="16"/>
                  <w:color w:val="4B4B4B"/>
                </w:rPr>
                <w:t>Who is entitled to vote at the Annual Meeting?</w:t>
              </w:r>
            </w:hyperlink>
          </w:p>
        </w:tc>
        <w:tc>
          <w:tcPr>
            <w:tcW w:w="6580" w:type="dxa"/>
            <w:vAlign w:val="bottom"/>
            <w:gridSpan w:val="24"/>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9">
              <w:r>
                <w:rPr>
                  <w:rFonts w:ascii="Arial" w:cs="Arial" w:eastAsia="Arial" w:hAnsi="Arial"/>
                  <w:sz w:val="16"/>
                  <w:szCs w:val="16"/>
                  <w:color w:val="4B4B4B"/>
                </w:rPr>
                <w:t>4</w:t>
              </w:r>
            </w:hyperlink>
          </w:p>
        </w:tc>
      </w:tr>
      <w:tr>
        <w:trPr>
          <w:trHeight w:val="236"/>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80" w:type="dxa"/>
            <w:vAlign w:val="bottom"/>
            <w:tcBorders>
              <w:bottom w:val="single" w:sz="8" w:color="4B4B4B"/>
            </w:tcBorders>
            <w:gridSpan w:val="34"/>
          </w:tcPr>
          <w:p>
            <w:pPr>
              <w:spacing w:after="0"/>
              <w:rPr>
                <w:rFonts w:ascii="Arial" w:cs="Arial" w:eastAsia="Arial" w:hAnsi="Arial"/>
                <w:sz w:val="16"/>
                <w:szCs w:val="16"/>
                <w:color w:val="4B4B4B"/>
              </w:rPr>
            </w:pPr>
            <w:hyperlink w:anchor="page9">
              <w:r>
                <w:rPr>
                  <w:rFonts w:ascii="Arial" w:cs="Arial" w:eastAsia="Arial" w:hAnsi="Arial"/>
                  <w:sz w:val="16"/>
                  <w:szCs w:val="16"/>
                  <w:color w:val="4B4B4B"/>
                </w:rPr>
                <w:t>What is the difference between being a “record holder” and holding shares in “street name”?</w:t>
              </w:r>
            </w:hyperlink>
          </w:p>
        </w:tc>
        <w:tc>
          <w:tcPr>
            <w:tcW w:w="3300" w:type="dxa"/>
            <w:vAlign w:val="bottom"/>
            <w:gridSpan w:val="6"/>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9">
              <w:r>
                <w:rPr>
                  <w:rFonts w:ascii="Arial" w:cs="Arial" w:eastAsia="Arial" w:hAnsi="Arial"/>
                  <w:sz w:val="16"/>
                  <w:szCs w:val="16"/>
                  <w:color w:val="4B4B4B"/>
                </w:rPr>
                <w:t>5</w:t>
              </w:r>
            </w:hyperlink>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tcBorders>
              <w:bottom w:val="single" w:sz="8" w:color="4B4B4B"/>
            </w:tcBorders>
            <w:gridSpan w:val="21"/>
          </w:tcPr>
          <w:p>
            <w:pPr>
              <w:spacing w:after="0"/>
              <w:rPr>
                <w:rFonts w:ascii="Arial" w:cs="Arial" w:eastAsia="Arial" w:hAnsi="Arial"/>
                <w:sz w:val="16"/>
                <w:szCs w:val="16"/>
                <w:color w:val="4B4B4B"/>
              </w:rPr>
            </w:pPr>
            <w:hyperlink w:anchor="page10">
              <w:r>
                <w:rPr>
                  <w:rFonts w:ascii="Arial" w:cs="Arial" w:eastAsia="Arial" w:hAnsi="Arial"/>
                  <w:sz w:val="16"/>
                  <w:szCs w:val="16"/>
                  <w:color w:val="4B4B4B"/>
                </w:rPr>
                <w:t>What do I do if my shares are held in “street name”?</w:t>
              </w:r>
            </w:hyperlink>
          </w:p>
        </w:tc>
        <w:tc>
          <w:tcPr>
            <w:tcW w:w="6160" w:type="dxa"/>
            <w:vAlign w:val="bottom"/>
            <w:gridSpan w:val="19"/>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10">
              <w:r>
                <w:rPr>
                  <w:rFonts w:ascii="Arial" w:cs="Arial" w:eastAsia="Arial" w:hAnsi="Arial"/>
                  <w:sz w:val="16"/>
                  <w:szCs w:val="16"/>
                  <w:color w:val="4B4B4B"/>
                </w:rPr>
                <w:t>5</w:t>
              </w:r>
            </w:hyperlink>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40"/>
          </w:tcPr>
          <w:p>
            <w:pPr>
              <w:spacing w:after="0"/>
              <w:rPr>
                <w:rFonts w:ascii="Arial" w:cs="Arial" w:eastAsia="Arial" w:hAnsi="Arial"/>
                <w:sz w:val="16"/>
                <w:szCs w:val="16"/>
                <w:color w:val="4B4B4B"/>
              </w:rPr>
            </w:pPr>
            <w:hyperlink w:anchor="page10">
              <w:r>
                <w:rPr>
                  <w:rFonts w:ascii="Arial" w:cs="Arial" w:eastAsia="Arial" w:hAnsi="Arial"/>
                  <w:sz w:val="16"/>
                  <w:szCs w:val="16"/>
                  <w:color w:val="4B4B4B"/>
                </w:rPr>
                <w:t>How many shares must be present to hold the Annual Meeting?</w:t>
              </w:r>
            </w:hyperlink>
          </w:p>
        </w:tc>
        <w:tc>
          <w:tcPr>
            <w:tcW w:w="1080" w:type="dxa"/>
            <w:vAlign w:val="bottom"/>
          </w:tcPr>
          <w:p>
            <w:pPr>
              <w:jc w:val="center"/>
              <w:ind w:left="419"/>
              <w:spacing w:after="0"/>
              <w:rPr>
                <w:rFonts w:ascii="Arial" w:cs="Arial" w:eastAsia="Arial" w:hAnsi="Arial"/>
                <w:sz w:val="16"/>
                <w:szCs w:val="16"/>
                <w:color w:val="4B4B4B"/>
              </w:rPr>
            </w:pPr>
            <w:hyperlink w:anchor="page10">
              <w:r>
                <w:rPr>
                  <w:rFonts w:ascii="Arial" w:cs="Arial" w:eastAsia="Arial" w:hAnsi="Arial"/>
                  <w:sz w:val="16"/>
                  <w:szCs w:val="16"/>
                  <w:color w:val="4B4B4B"/>
                </w:rPr>
                <w:t>5</w:t>
              </w:r>
            </w:hyperlink>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tcBorders>
              <w:top w:val="single" w:sz="8" w:color="4B4B4B"/>
              <w:bottom w:val="single" w:sz="8" w:color="4B4B4B"/>
            </w:tcBorders>
            <w:gridSpan w:val="10"/>
          </w:tcPr>
          <w:p>
            <w:pPr>
              <w:spacing w:after="0"/>
              <w:rPr>
                <w:rFonts w:ascii="Arial" w:cs="Arial" w:eastAsia="Arial" w:hAnsi="Arial"/>
                <w:sz w:val="16"/>
                <w:szCs w:val="16"/>
                <w:color w:val="4B4B4B"/>
                <w:w w:val="99"/>
              </w:rPr>
            </w:pPr>
            <w:hyperlink w:anchor="page10">
              <w:r>
                <w:rPr>
                  <w:rFonts w:ascii="Arial" w:cs="Arial" w:eastAsia="Arial" w:hAnsi="Arial"/>
                  <w:sz w:val="16"/>
                  <w:szCs w:val="16"/>
                  <w:color w:val="4B4B4B"/>
                  <w:w w:val="99"/>
                </w:rPr>
                <w:t>What are “broker non-votes”?</w:t>
              </w:r>
            </w:hyperlink>
          </w:p>
        </w:tc>
        <w:tc>
          <w:tcPr>
            <w:tcW w:w="2440" w:type="dxa"/>
            <w:vAlign w:val="bottom"/>
            <w:tcBorders>
              <w:top w:val="single" w:sz="8" w:color="4B4B4B"/>
            </w:tcBorders>
            <w:gridSpan w:val="17"/>
          </w:tcPr>
          <w:p>
            <w:pPr>
              <w:spacing w:after="0"/>
              <w:rPr>
                <w:sz w:val="20"/>
                <w:szCs w:val="20"/>
                <w:color w:val="auto"/>
              </w:rPr>
            </w:pPr>
          </w:p>
        </w:tc>
        <w:tc>
          <w:tcPr>
            <w:tcW w:w="5340" w:type="dxa"/>
            <w:vAlign w:val="bottom"/>
            <w:gridSpan w:val="13"/>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10">
              <w:r>
                <w:rPr>
                  <w:rFonts w:ascii="Arial" w:cs="Arial" w:eastAsia="Arial" w:hAnsi="Arial"/>
                  <w:sz w:val="16"/>
                  <w:szCs w:val="16"/>
                  <w:color w:val="4B4B4B"/>
                </w:rPr>
                <w:t>5</w:t>
              </w:r>
            </w:hyperlink>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40"/>
          </w:tcPr>
          <w:p>
            <w:pPr>
              <w:spacing w:after="0"/>
              <w:rPr>
                <w:rFonts w:ascii="Arial" w:cs="Arial" w:eastAsia="Arial" w:hAnsi="Arial"/>
                <w:sz w:val="16"/>
                <w:szCs w:val="16"/>
                <w:color w:val="4B4B4B"/>
              </w:rPr>
            </w:pPr>
            <w:hyperlink w:anchor="page10">
              <w:r>
                <w:rPr>
                  <w:rFonts w:ascii="Arial" w:cs="Arial" w:eastAsia="Arial" w:hAnsi="Arial"/>
                  <w:sz w:val="16"/>
                  <w:szCs w:val="16"/>
                  <w:color w:val="4B4B4B"/>
                </w:rPr>
                <w:t>What if a quorum is not present at the Annual Meeting?</w:t>
              </w:r>
            </w:hyperlink>
          </w:p>
        </w:tc>
        <w:tc>
          <w:tcPr>
            <w:tcW w:w="1080" w:type="dxa"/>
            <w:vAlign w:val="bottom"/>
          </w:tcPr>
          <w:p>
            <w:pPr>
              <w:jc w:val="center"/>
              <w:ind w:left="419"/>
              <w:spacing w:after="0"/>
              <w:rPr>
                <w:rFonts w:ascii="Arial" w:cs="Arial" w:eastAsia="Arial" w:hAnsi="Arial"/>
                <w:sz w:val="16"/>
                <w:szCs w:val="16"/>
                <w:color w:val="4B4B4B"/>
              </w:rPr>
            </w:pPr>
            <w:hyperlink w:anchor="page10">
              <w:r>
                <w:rPr>
                  <w:rFonts w:ascii="Arial" w:cs="Arial" w:eastAsia="Arial" w:hAnsi="Arial"/>
                  <w:sz w:val="16"/>
                  <w:szCs w:val="16"/>
                  <w:color w:val="4B4B4B"/>
                </w:rPr>
                <w:t>5</w:t>
              </w:r>
            </w:hyperlink>
          </w:p>
        </w:tc>
      </w:tr>
      <w:tr>
        <w:trPr>
          <w:trHeight w:val="236"/>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tcBorders>
              <w:top w:val="single" w:sz="8" w:color="4B4B4B"/>
              <w:bottom w:val="single" w:sz="8" w:color="4B4B4B"/>
            </w:tcBorders>
            <w:gridSpan w:val="19"/>
          </w:tcPr>
          <w:p>
            <w:pPr>
              <w:spacing w:after="0"/>
              <w:rPr>
                <w:rFonts w:ascii="Arial" w:cs="Arial" w:eastAsia="Arial" w:hAnsi="Arial"/>
                <w:sz w:val="16"/>
                <w:szCs w:val="16"/>
                <w:color w:val="4B4B4B"/>
              </w:rPr>
            </w:pPr>
            <w:hyperlink w:anchor="page10">
              <w:r>
                <w:rPr>
                  <w:rFonts w:ascii="Arial" w:cs="Arial" w:eastAsia="Arial" w:hAnsi="Arial"/>
                  <w:sz w:val="16"/>
                  <w:szCs w:val="16"/>
                  <w:color w:val="4B4B4B"/>
                </w:rPr>
                <w:t>How can I attend and vote at the Annual Meeting?</w:t>
              </w:r>
            </w:hyperlink>
          </w:p>
        </w:tc>
        <w:tc>
          <w:tcPr>
            <w:tcW w:w="360" w:type="dxa"/>
            <w:vAlign w:val="bottom"/>
            <w:tcBorders>
              <w:top w:val="single" w:sz="8" w:color="4B4B4B"/>
            </w:tcBorders>
            <w:gridSpan w:val="3"/>
          </w:tcPr>
          <w:p>
            <w:pPr>
              <w:spacing w:after="0"/>
              <w:rPr>
                <w:sz w:val="20"/>
                <w:szCs w:val="20"/>
                <w:color w:val="auto"/>
              </w:rPr>
            </w:pPr>
          </w:p>
        </w:tc>
        <w:tc>
          <w:tcPr>
            <w:tcW w:w="5940" w:type="dxa"/>
            <w:vAlign w:val="bottom"/>
            <w:gridSpan w:val="18"/>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10">
              <w:r>
                <w:rPr>
                  <w:rFonts w:ascii="Arial" w:cs="Arial" w:eastAsia="Arial" w:hAnsi="Arial"/>
                  <w:sz w:val="16"/>
                  <w:szCs w:val="16"/>
                  <w:color w:val="4B4B4B"/>
                </w:rPr>
                <w:t>6</w:t>
              </w:r>
            </w:hyperlink>
          </w:p>
        </w:tc>
      </w:tr>
      <w:tr>
        <w:trPr>
          <w:trHeight w:val="236"/>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80" w:type="dxa"/>
            <w:vAlign w:val="bottom"/>
            <w:tcBorders>
              <w:bottom w:val="single" w:sz="8" w:color="4B4B4B"/>
            </w:tcBorders>
            <w:gridSpan w:val="29"/>
          </w:tcPr>
          <w:p>
            <w:pPr>
              <w:spacing w:after="0"/>
              <w:rPr>
                <w:rFonts w:ascii="Arial" w:cs="Arial" w:eastAsia="Arial" w:hAnsi="Arial"/>
                <w:sz w:val="16"/>
                <w:szCs w:val="16"/>
                <w:color w:val="4B4B4B"/>
              </w:rPr>
            </w:pPr>
            <w:hyperlink w:anchor="page11">
              <w:r>
                <w:rPr>
                  <w:rFonts w:ascii="Arial" w:cs="Arial" w:eastAsia="Arial" w:hAnsi="Arial"/>
                  <w:sz w:val="16"/>
                  <w:szCs w:val="16"/>
                  <w:color w:val="4B4B4B"/>
                </w:rPr>
                <w:t>Will there be a question and answer session during the Annual Meeting?</w:t>
              </w:r>
            </w:hyperlink>
          </w:p>
        </w:tc>
        <w:tc>
          <w:tcPr>
            <w:tcW w:w="4700" w:type="dxa"/>
            <w:vAlign w:val="bottom"/>
            <w:gridSpan w:val="11"/>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11">
              <w:r>
                <w:rPr>
                  <w:rFonts w:ascii="Arial" w:cs="Arial" w:eastAsia="Arial" w:hAnsi="Arial"/>
                  <w:sz w:val="16"/>
                  <w:szCs w:val="16"/>
                  <w:color w:val="4B4B4B"/>
                </w:rPr>
                <w:t>7</w:t>
              </w:r>
            </w:hyperlink>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Borders>
              <w:bottom w:val="single" w:sz="8" w:color="4B4B4B"/>
            </w:tcBorders>
            <w:gridSpan w:val="40"/>
          </w:tcPr>
          <w:p>
            <w:pPr>
              <w:spacing w:after="0"/>
              <w:rPr>
                <w:rFonts w:ascii="Arial" w:cs="Arial" w:eastAsia="Arial" w:hAnsi="Arial"/>
                <w:sz w:val="16"/>
                <w:szCs w:val="16"/>
                <w:color w:val="4B4B4B"/>
              </w:rPr>
            </w:pPr>
            <w:hyperlink w:anchor="page12">
              <w:r>
                <w:rPr>
                  <w:rFonts w:ascii="Arial" w:cs="Arial" w:eastAsia="Arial" w:hAnsi="Arial"/>
                  <w:sz w:val="16"/>
                  <w:szCs w:val="16"/>
                  <w:color w:val="4B4B4B"/>
                </w:rPr>
                <w:t>What if during the check-in time or during the Annual Meeting I have technical difficulties or trouble accessing the virtual meeting website?</w:t>
              </w:r>
            </w:hyperlink>
          </w:p>
        </w:tc>
        <w:tc>
          <w:tcPr>
            <w:tcW w:w="1080" w:type="dxa"/>
            <w:vAlign w:val="bottom"/>
          </w:tcPr>
          <w:p>
            <w:pPr>
              <w:jc w:val="center"/>
              <w:ind w:left="419"/>
              <w:spacing w:after="0"/>
              <w:rPr>
                <w:rFonts w:ascii="Arial" w:cs="Arial" w:eastAsia="Arial" w:hAnsi="Arial"/>
                <w:sz w:val="16"/>
                <w:szCs w:val="16"/>
                <w:color w:val="4B4B4B"/>
              </w:rPr>
            </w:pPr>
            <w:hyperlink w:anchor="page12">
              <w:r>
                <w:rPr>
                  <w:rFonts w:ascii="Arial" w:cs="Arial" w:eastAsia="Arial" w:hAnsi="Arial"/>
                  <w:sz w:val="16"/>
                  <w:szCs w:val="16"/>
                  <w:color w:val="4B4B4B"/>
                </w:rPr>
                <w:t>7</w:t>
              </w:r>
            </w:hyperlink>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0" w:type="dxa"/>
            <w:vAlign w:val="bottom"/>
            <w:tcBorders>
              <w:bottom w:val="single" w:sz="8" w:color="4B4B4B"/>
            </w:tcBorders>
            <w:gridSpan w:val="14"/>
          </w:tcPr>
          <w:p>
            <w:pPr>
              <w:spacing w:after="0"/>
              <w:rPr>
                <w:rFonts w:ascii="Arial" w:cs="Arial" w:eastAsia="Arial" w:hAnsi="Arial"/>
                <w:sz w:val="16"/>
                <w:szCs w:val="16"/>
                <w:color w:val="4B4B4B"/>
              </w:rPr>
            </w:pPr>
            <w:hyperlink w:anchor="page12">
              <w:r>
                <w:rPr>
                  <w:rFonts w:ascii="Arial" w:cs="Arial" w:eastAsia="Arial" w:hAnsi="Arial"/>
                  <w:sz w:val="16"/>
                  <w:szCs w:val="16"/>
                  <w:color w:val="4B4B4B"/>
                </w:rPr>
                <w:t>How does the Board recommend that I vote?</w:t>
              </w:r>
            </w:hyperlink>
          </w:p>
        </w:tc>
        <w:tc>
          <w:tcPr>
            <w:tcW w:w="6680" w:type="dxa"/>
            <w:vAlign w:val="bottom"/>
            <w:gridSpan w:val="26"/>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12">
              <w:r>
                <w:rPr>
                  <w:rFonts w:ascii="Arial" w:cs="Arial" w:eastAsia="Arial" w:hAnsi="Arial"/>
                  <w:sz w:val="16"/>
                  <w:szCs w:val="16"/>
                  <w:color w:val="4B4B4B"/>
                </w:rPr>
                <w:t>7</w:t>
              </w:r>
            </w:hyperlink>
          </w:p>
        </w:tc>
      </w:tr>
      <w:tr>
        <w:trPr>
          <w:trHeight w:val="236"/>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Borders>
              <w:bottom w:val="single" w:sz="8" w:color="4B4B4B"/>
            </w:tcBorders>
            <w:gridSpan w:val="23"/>
          </w:tcPr>
          <w:p>
            <w:pPr>
              <w:spacing w:after="0"/>
              <w:rPr>
                <w:rFonts w:ascii="Arial" w:cs="Arial" w:eastAsia="Arial" w:hAnsi="Arial"/>
                <w:sz w:val="16"/>
                <w:szCs w:val="16"/>
                <w:color w:val="4B4B4B"/>
              </w:rPr>
            </w:pPr>
            <w:hyperlink w:anchor="page12">
              <w:r>
                <w:rPr>
                  <w:rFonts w:ascii="Arial" w:cs="Arial" w:eastAsia="Arial" w:hAnsi="Arial"/>
                  <w:sz w:val="16"/>
                  <w:szCs w:val="16"/>
                  <w:color w:val="4B4B4B"/>
                </w:rPr>
                <w:t>What if I do not specify how my shares are to be voted?</w:t>
              </w:r>
            </w:hyperlink>
          </w:p>
        </w:tc>
        <w:tc>
          <w:tcPr>
            <w:tcW w:w="5900" w:type="dxa"/>
            <w:vAlign w:val="bottom"/>
            <w:gridSpan w:val="17"/>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12">
              <w:r>
                <w:rPr>
                  <w:rFonts w:ascii="Arial" w:cs="Arial" w:eastAsia="Arial" w:hAnsi="Arial"/>
                  <w:sz w:val="16"/>
                  <w:szCs w:val="16"/>
                  <w:color w:val="4B4B4B"/>
                </w:rPr>
                <w:t>8</w:t>
              </w:r>
            </w:hyperlink>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Borders>
              <w:bottom w:val="single" w:sz="8" w:color="4B4B4B"/>
            </w:tcBorders>
            <w:gridSpan w:val="7"/>
          </w:tcPr>
          <w:p>
            <w:pPr>
              <w:spacing w:after="0"/>
              <w:rPr>
                <w:rFonts w:ascii="Arial" w:cs="Arial" w:eastAsia="Arial" w:hAnsi="Arial"/>
                <w:sz w:val="16"/>
                <w:szCs w:val="16"/>
                <w:color w:val="4B4B4B"/>
                <w:w w:val="99"/>
              </w:rPr>
            </w:pPr>
            <w:hyperlink w:anchor="page13">
              <w:r>
                <w:rPr>
                  <w:rFonts w:ascii="Arial" w:cs="Arial" w:eastAsia="Arial" w:hAnsi="Arial"/>
                  <w:sz w:val="16"/>
                  <w:szCs w:val="16"/>
                  <w:color w:val="4B4B4B"/>
                  <w:w w:val="99"/>
                </w:rPr>
                <w:t>Who will count the votes?</w:t>
              </w:r>
            </w:hyperlink>
          </w:p>
        </w:tc>
        <w:tc>
          <w:tcPr>
            <w:tcW w:w="8060" w:type="dxa"/>
            <w:vAlign w:val="bottom"/>
            <w:gridSpan w:val="33"/>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13">
              <w:r>
                <w:rPr>
                  <w:rFonts w:ascii="Arial" w:cs="Arial" w:eastAsia="Arial" w:hAnsi="Arial"/>
                  <w:sz w:val="16"/>
                  <w:szCs w:val="16"/>
                  <w:color w:val="4B4B4B"/>
                </w:rPr>
                <w:t>8</w:t>
              </w:r>
            </w:hyperlink>
          </w:p>
        </w:tc>
      </w:tr>
      <w:tr>
        <w:trPr>
          <w:trHeight w:val="236"/>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60" w:type="dxa"/>
            <w:vAlign w:val="bottom"/>
            <w:tcBorders>
              <w:bottom w:val="single" w:sz="8" w:color="4B4B4B"/>
            </w:tcBorders>
            <w:gridSpan w:val="24"/>
          </w:tcPr>
          <w:p>
            <w:pPr>
              <w:spacing w:after="0"/>
              <w:rPr>
                <w:rFonts w:ascii="Arial" w:cs="Arial" w:eastAsia="Arial" w:hAnsi="Arial"/>
                <w:sz w:val="16"/>
                <w:szCs w:val="16"/>
                <w:color w:val="4B4B4B"/>
              </w:rPr>
            </w:pPr>
            <w:hyperlink w:anchor="page13">
              <w:r>
                <w:rPr>
                  <w:rFonts w:ascii="Arial" w:cs="Arial" w:eastAsia="Arial" w:hAnsi="Arial"/>
                  <w:sz w:val="16"/>
                  <w:szCs w:val="16"/>
                  <w:color w:val="4B4B4B"/>
                </w:rPr>
                <w:t>Can I revoke or change my vote after I submit my proxy?</w:t>
              </w:r>
            </w:hyperlink>
          </w:p>
        </w:tc>
        <w:tc>
          <w:tcPr>
            <w:tcW w:w="5820" w:type="dxa"/>
            <w:vAlign w:val="bottom"/>
            <w:gridSpan w:val="16"/>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13">
              <w:r>
                <w:rPr>
                  <w:rFonts w:ascii="Arial" w:cs="Arial" w:eastAsia="Arial" w:hAnsi="Arial"/>
                  <w:sz w:val="16"/>
                  <w:szCs w:val="16"/>
                  <w:color w:val="4B4B4B"/>
                </w:rPr>
                <w:t>8</w:t>
              </w:r>
            </w:hyperlink>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40"/>
          </w:tcPr>
          <w:p>
            <w:pPr>
              <w:spacing w:after="0"/>
              <w:rPr>
                <w:rFonts w:ascii="Arial" w:cs="Arial" w:eastAsia="Arial" w:hAnsi="Arial"/>
                <w:sz w:val="16"/>
                <w:szCs w:val="16"/>
                <w:color w:val="4B4B4B"/>
              </w:rPr>
            </w:pPr>
            <w:hyperlink w:anchor="page13">
              <w:r>
                <w:rPr>
                  <w:rFonts w:ascii="Arial" w:cs="Arial" w:eastAsia="Arial" w:hAnsi="Arial"/>
                  <w:sz w:val="16"/>
                  <w:szCs w:val="16"/>
                  <w:color w:val="4B4B4B"/>
                </w:rPr>
                <w:t>Who will pay for the cost of this proxy solicitation?</w:t>
              </w:r>
            </w:hyperlink>
          </w:p>
        </w:tc>
        <w:tc>
          <w:tcPr>
            <w:tcW w:w="1080" w:type="dxa"/>
            <w:vAlign w:val="bottom"/>
          </w:tcPr>
          <w:p>
            <w:pPr>
              <w:jc w:val="center"/>
              <w:ind w:left="419"/>
              <w:spacing w:after="0"/>
              <w:rPr>
                <w:rFonts w:ascii="Arial" w:cs="Arial" w:eastAsia="Arial" w:hAnsi="Arial"/>
                <w:sz w:val="16"/>
                <w:szCs w:val="16"/>
                <w:color w:val="4B4B4B"/>
              </w:rPr>
            </w:pPr>
            <w:hyperlink w:anchor="page13">
              <w:r>
                <w:rPr>
                  <w:rFonts w:ascii="Arial" w:cs="Arial" w:eastAsia="Arial" w:hAnsi="Arial"/>
                  <w:sz w:val="16"/>
                  <w:szCs w:val="16"/>
                  <w:color w:val="4B4B4B"/>
                </w:rPr>
                <w:t>8</w:t>
              </w:r>
            </w:hyperlink>
          </w:p>
        </w:tc>
      </w:tr>
      <w:tr>
        <w:trPr>
          <w:trHeight w:val="236"/>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tcBorders>
              <w:top w:val="single" w:sz="8" w:color="4B4B4B"/>
            </w:tcBorders>
            <w:gridSpan w:val="18"/>
          </w:tcPr>
          <w:p>
            <w:pPr>
              <w:spacing w:after="0"/>
              <w:rPr>
                <w:rFonts w:ascii="Arial" w:cs="Arial" w:eastAsia="Arial" w:hAnsi="Arial"/>
                <w:sz w:val="16"/>
                <w:szCs w:val="16"/>
                <w:color w:val="4B4B4B"/>
              </w:rPr>
            </w:pPr>
            <w:hyperlink w:anchor="page13">
              <w:r>
                <w:rPr>
                  <w:rFonts w:ascii="Arial" w:cs="Arial" w:eastAsia="Arial" w:hAnsi="Arial"/>
                  <w:sz w:val="16"/>
                  <w:szCs w:val="16"/>
                  <w:color w:val="4B4B4B"/>
                </w:rPr>
                <w:t>Why hold a virtual meeting?</w:t>
              </w:r>
            </w:hyperlink>
          </w:p>
        </w:tc>
        <w:tc>
          <w:tcPr>
            <w:tcW w:w="6340" w:type="dxa"/>
            <w:vAlign w:val="bottom"/>
            <w:gridSpan w:val="22"/>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13">
              <w:r>
                <w:rPr>
                  <w:rFonts w:ascii="Arial" w:cs="Arial" w:eastAsia="Arial" w:hAnsi="Arial"/>
                  <w:sz w:val="16"/>
                  <w:szCs w:val="16"/>
                  <w:color w:val="4B4B4B"/>
                </w:rPr>
                <w:t>8</w:t>
              </w:r>
            </w:hyperlink>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4B4B4B"/>
            </w:tcBorders>
          </w:tcPr>
          <w:p>
            <w:pPr>
              <w:spacing w:after="0" w:line="20" w:lineRule="exact"/>
              <w:rPr>
                <w:sz w:val="1"/>
                <w:szCs w:val="1"/>
                <w:color w:val="auto"/>
              </w:rPr>
            </w:pPr>
          </w:p>
        </w:tc>
        <w:tc>
          <w:tcPr>
            <w:tcW w:w="1320" w:type="dxa"/>
            <w:vAlign w:val="bottom"/>
            <w:shd w:val="clear" w:color="auto" w:fill="4B4B4B"/>
          </w:tcPr>
          <w:p>
            <w:pPr>
              <w:spacing w:after="0" w:line="20" w:lineRule="exact"/>
              <w:rPr>
                <w:sz w:val="1"/>
                <w:szCs w:val="1"/>
                <w:color w:val="auto"/>
              </w:rPr>
            </w:pPr>
          </w:p>
        </w:tc>
        <w:tc>
          <w:tcPr>
            <w:tcW w:w="220" w:type="dxa"/>
            <w:vAlign w:val="bottom"/>
            <w:shd w:val="clear" w:color="auto" w:fill="4B4B4B"/>
          </w:tcPr>
          <w:p>
            <w:pPr>
              <w:spacing w:after="0" w:line="20" w:lineRule="exact"/>
              <w:rPr>
                <w:sz w:val="1"/>
                <w:szCs w:val="1"/>
                <w:color w:val="auto"/>
              </w:rPr>
            </w:pPr>
          </w:p>
        </w:tc>
        <w:tc>
          <w:tcPr>
            <w:tcW w:w="80" w:type="dxa"/>
            <w:vAlign w:val="bottom"/>
            <w:shd w:val="clear" w:color="auto" w:fill="4B4B4B"/>
          </w:tcPr>
          <w:p>
            <w:pPr>
              <w:spacing w:after="0" w:line="20" w:lineRule="exact"/>
              <w:rPr>
                <w:sz w:val="1"/>
                <w:szCs w:val="1"/>
                <w:color w:val="auto"/>
              </w:rPr>
            </w:pPr>
          </w:p>
        </w:tc>
        <w:tc>
          <w:tcPr>
            <w:tcW w:w="100" w:type="dxa"/>
            <w:vAlign w:val="bottom"/>
            <w:shd w:val="clear" w:color="auto" w:fill="4B4B4B"/>
          </w:tcPr>
          <w:p>
            <w:pPr>
              <w:spacing w:after="0" w:line="20" w:lineRule="exact"/>
              <w:rPr>
                <w:sz w:val="1"/>
                <w:szCs w:val="1"/>
                <w:color w:val="auto"/>
              </w:rPr>
            </w:pPr>
          </w:p>
        </w:tc>
        <w:tc>
          <w:tcPr>
            <w:tcW w:w="20" w:type="dxa"/>
            <w:vAlign w:val="bottom"/>
            <w:shd w:val="clear" w:color="auto" w:fill="4B4B4B"/>
          </w:tcPr>
          <w:p>
            <w:pPr>
              <w:spacing w:after="0" w:line="20" w:lineRule="exact"/>
              <w:rPr>
                <w:sz w:val="1"/>
                <w:szCs w:val="1"/>
                <w:color w:val="auto"/>
              </w:rPr>
            </w:pPr>
          </w:p>
        </w:tc>
        <w:tc>
          <w:tcPr>
            <w:tcW w:w="60" w:type="dxa"/>
            <w:vAlign w:val="bottom"/>
            <w:shd w:val="clear" w:color="auto" w:fill="4B4B4B"/>
          </w:tcPr>
          <w:p>
            <w:pPr>
              <w:spacing w:after="0" w:line="20" w:lineRule="exact"/>
              <w:rPr>
                <w:sz w:val="1"/>
                <w:szCs w:val="1"/>
                <w:color w:val="auto"/>
              </w:rPr>
            </w:pPr>
          </w:p>
        </w:tc>
        <w:tc>
          <w:tcPr>
            <w:tcW w:w="180" w:type="dxa"/>
            <w:vAlign w:val="bottom"/>
            <w:tcBorders>
              <w:right w:val="single" w:sz="8" w:color="4B4B4B"/>
            </w:tcBorders>
            <w:gridSpan w:val="2"/>
            <w:shd w:val="clear" w:color="auto" w:fill="4B4B4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gridSpan w:val="11"/>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Borders>
              <w:bottom w:val="single" w:sz="8" w:color="58CC02"/>
            </w:tcBorders>
            <w:gridSpan w:val="16"/>
          </w:tcPr>
          <w:p>
            <w:pPr>
              <w:spacing w:after="0"/>
              <w:rPr>
                <w:rFonts w:ascii="Arial" w:cs="Arial" w:eastAsia="Arial" w:hAnsi="Arial"/>
                <w:sz w:val="16"/>
                <w:szCs w:val="16"/>
                <w:b w:val="1"/>
                <w:bCs w:val="1"/>
                <w:color w:val="58CC02"/>
              </w:rPr>
            </w:pPr>
            <w:hyperlink w:anchor="page13">
              <w:r>
                <w:rPr>
                  <w:rFonts w:ascii="Arial" w:cs="Arial" w:eastAsia="Arial" w:hAnsi="Arial"/>
                  <w:sz w:val="16"/>
                  <w:szCs w:val="16"/>
                  <w:b w:val="1"/>
                  <w:bCs w:val="1"/>
                  <w:color w:val="58CC02"/>
                </w:rPr>
                <w:t>PROPOSAL NO. 1 ELECTION OF DIRECTORS</w:t>
              </w:r>
            </w:hyperlink>
          </w:p>
        </w:tc>
        <w:tc>
          <w:tcPr>
            <w:tcW w:w="6600" w:type="dxa"/>
            <w:vAlign w:val="bottom"/>
            <w:gridSpan w:val="25"/>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13">
              <w:r>
                <w:rPr>
                  <w:rFonts w:ascii="Arial" w:cs="Arial" w:eastAsia="Arial" w:hAnsi="Arial"/>
                  <w:sz w:val="16"/>
                  <w:szCs w:val="16"/>
                  <w:color w:val="4B4B4B"/>
                </w:rPr>
                <w:t>9</w:t>
              </w:r>
            </w:hyperlink>
          </w:p>
        </w:tc>
      </w:tr>
      <w:tr>
        <w:trPr>
          <w:trHeight w:val="29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Borders>
              <w:bottom w:val="single" w:sz="8" w:color="4B4B4B"/>
            </w:tcBorders>
            <w:gridSpan w:val="6"/>
          </w:tcPr>
          <w:p>
            <w:pPr>
              <w:spacing w:after="0"/>
              <w:rPr>
                <w:rFonts w:ascii="Arial" w:cs="Arial" w:eastAsia="Arial" w:hAnsi="Arial"/>
                <w:sz w:val="16"/>
                <w:szCs w:val="16"/>
                <w:color w:val="4B4B4B"/>
                <w:w w:val="99"/>
              </w:rPr>
            </w:pPr>
            <w:hyperlink w:anchor="page14">
              <w:r>
                <w:rPr>
                  <w:rFonts w:ascii="Arial" w:cs="Arial" w:eastAsia="Arial" w:hAnsi="Arial"/>
                  <w:sz w:val="16"/>
                  <w:szCs w:val="16"/>
                  <w:color w:val="4B4B4B"/>
                  <w:w w:val="99"/>
                </w:rPr>
                <w:t>Board Size and Structure</w:t>
              </w:r>
            </w:hyperlink>
          </w:p>
        </w:tc>
        <w:tc>
          <w:tcPr>
            <w:tcW w:w="8080" w:type="dxa"/>
            <w:vAlign w:val="bottom"/>
            <w:gridSpan w:val="34"/>
          </w:tcPr>
          <w:p>
            <w:pPr>
              <w:spacing w:after="0"/>
              <w:rPr>
                <w:sz w:val="24"/>
                <w:szCs w:val="24"/>
                <w:color w:val="auto"/>
              </w:rPr>
            </w:pPr>
          </w:p>
        </w:tc>
        <w:tc>
          <w:tcPr>
            <w:tcW w:w="1080" w:type="dxa"/>
            <w:vAlign w:val="bottom"/>
          </w:tcPr>
          <w:p>
            <w:pPr>
              <w:jc w:val="center"/>
              <w:ind w:left="419"/>
              <w:spacing w:after="0"/>
              <w:rPr>
                <w:rFonts w:ascii="Arial" w:cs="Arial" w:eastAsia="Arial" w:hAnsi="Arial"/>
                <w:sz w:val="16"/>
                <w:szCs w:val="16"/>
                <w:color w:val="4B4B4B"/>
              </w:rPr>
            </w:pPr>
            <w:hyperlink w:anchor="page14">
              <w:r>
                <w:rPr>
                  <w:rFonts w:ascii="Arial" w:cs="Arial" w:eastAsia="Arial" w:hAnsi="Arial"/>
                  <w:sz w:val="16"/>
                  <w:szCs w:val="16"/>
                  <w:color w:val="4B4B4B"/>
                </w:rPr>
                <w:t>9</w:t>
              </w:r>
            </w:hyperlink>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40" w:type="dxa"/>
            <w:vAlign w:val="bottom"/>
            <w:tcBorders>
              <w:bottom w:val="single" w:sz="8" w:color="4B4B4B"/>
            </w:tcBorders>
            <w:gridSpan w:val="26"/>
          </w:tcPr>
          <w:p>
            <w:pPr>
              <w:spacing w:after="0"/>
              <w:rPr>
                <w:rFonts w:ascii="Arial" w:cs="Arial" w:eastAsia="Arial" w:hAnsi="Arial"/>
                <w:sz w:val="16"/>
                <w:szCs w:val="16"/>
                <w:color w:val="4B4B4B"/>
              </w:rPr>
            </w:pPr>
            <w:hyperlink w:anchor="page14">
              <w:r>
                <w:rPr>
                  <w:rFonts w:ascii="Arial" w:cs="Arial" w:eastAsia="Arial" w:hAnsi="Arial"/>
                  <w:sz w:val="16"/>
                  <w:szCs w:val="16"/>
                  <w:color w:val="4B4B4B"/>
                </w:rPr>
                <w:t>Information About Board Nominees and Continuing Directors</w:t>
              </w:r>
            </w:hyperlink>
          </w:p>
        </w:tc>
        <w:tc>
          <w:tcPr>
            <w:tcW w:w="5540" w:type="dxa"/>
            <w:vAlign w:val="bottom"/>
            <w:gridSpan w:val="14"/>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14">
              <w:r>
                <w:rPr>
                  <w:rFonts w:ascii="Arial" w:cs="Arial" w:eastAsia="Arial" w:hAnsi="Arial"/>
                  <w:sz w:val="16"/>
                  <w:szCs w:val="16"/>
                  <w:color w:val="4B4B4B"/>
                </w:rPr>
                <w:t>10</w:t>
              </w:r>
            </w:hyperlink>
          </w:p>
        </w:tc>
      </w:tr>
      <w:tr>
        <w:trPr>
          <w:trHeight w:val="236"/>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40"/>
          </w:tcPr>
          <w:p>
            <w:pPr>
              <w:spacing w:after="0"/>
              <w:rPr>
                <w:rFonts w:ascii="Arial" w:cs="Arial" w:eastAsia="Arial" w:hAnsi="Arial"/>
                <w:sz w:val="16"/>
                <w:szCs w:val="16"/>
                <w:color w:val="4B4B4B"/>
              </w:rPr>
            </w:pPr>
            <w:hyperlink w:anchor="page15">
              <w:r>
                <w:rPr>
                  <w:rFonts w:ascii="Arial" w:cs="Arial" w:eastAsia="Arial" w:hAnsi="Arial"/>
                  <w:sz w:val="16"/>
                  <w:szCs w:val="16"/>
                  <w:color w:val="4B4B4B"/>
                </w:rPr>
                <w:t>Nominees for Election to Three-Year Terms Expiring No Later than the 2025 Annual Meeting</w:t>
              </w:r>
            </w:hyperlink>
          </w:p>
        </w:tc>
        <w:tc>
          <w:tcPr>
            <w:tcW w:w="1080" w:type="dxa"/>
            <w:vAlign w:val="bottom"/>
          </w:tcPr>
          <w:p>
            <w:pPr>
              <w:jc w:val="center"/>
              <w:ind w:left="419"/>
              <w:spacing w:after="0"/>
              <w:rPr>
                <w:rFonts w:ascii="Arial" w:cs="Arial" w:eastAsia="Arial" w:hAnsi="Arial"/>
                <w:sz w:val="16"/>
                <w:szCs w:val="16"/>
                <w:color w:val="4B4B4B"/>
              </w:rPr>
            </w:pPr>
            <w:hyperlink w:anchor="page15">
              <w:r>
                <w:rPr>
                  <w:rFonts w:ascii="Arial" w:cs="Arial" w:eastAsia="Arial" w:hAnsi="Arial"/>
                  <w:sz w:val="16"/>
                  <w:szCs w:val="16"/>
                  <w:color w:val="4B4B4B"/>
                </w:rPr>
                <w:t>11</w:t>
              </w:r>
            </w:hyperlink>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80" w:type="dxa"/>
            <w:vAlign w:val="bottom"/>
            <w:tcBorders>
              <w:top w:val="single" w:sz="8" w:color="4B4B4B"/>
            </w:tcBorders>
            <w:gridSpan w:val="34"/>
          </w:tcPr>
          <w:p>
            <w:pPr>
              <w:spacing w:after="0"/>
              <w:rPr>
                <w:rFonts w:ascii="Arial" w:cs="Arial" w:eastAsia="Arial" w:hAnsi="Arial"/>
                <w:sz w:val="16"/>
                <w:szCs w:val="16"/>
                <w:color w:val="4B4B4B"/>
              </w:rPr>
            </w:pPr>
            <w:hyperlink w:anchor="page17">
              <w:r>
                <w:rPr>
                  <w:rFonts w:ascii="Arial" w:cs="Arial" w:eastAsia="Arial" w:hAnsi="Arial"/>
                  <w:sz w:val="16"/>
                  <w:szCs w:val="16"/>
                  <w:color w:val="4B4B4B"/>
                </w:rPr>
                <w:t>Class II Directors Whose Terms Expire at the 2023 Annual Meeting of Stockholders</w:t>
              </w:r>
            </w:hyperlink>
          </w:p>
        </w:tc>
        <w:tc>
          <w:tcPr>
            <w:tcW w:w="3300" w:type="dxa"/>
            <w:vAlign w:val="bottom"/>
            <w:gridSpan w:val="6"/>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17">
              <w:r>
                <w:rPr>
                  <w:rFonts w:ascii="Arial" w:cs="Arial" w:eastAsia="Arial" w:hAnsi="Arial"/>
                  <w:sz w:val="16"/>
                  <w:szCs w:val="16"/>
                  <w:color w:val="4B4B4B"/>
                </w:rPr>
                <w:t>12</w:t>
              </w:r>
            </w:hyperlink>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4B4B4B"/>
            </w:tcBorders>
          </w:tcPr>
          <w:p>
            <w:pPr>
              <w:spacing w:after="0" w:line="20" w:lineRule="exact"/>
              <w:rPr>
                <w:sz w:val="1"/>
                <w:szCs w:val="1"/>
                <w:color w:val="auto"/>
              </w:rPr>
            </w:pPr>
          </w:p>
        </w:tc>
        <w:tc>
          <w:tcPr>
            <w:tcW w:w="1320" w:type="dxa"/>
            <w:vAlign w:val="bottom"/>
            <w:shd w:val="clear" w:color="auto" w:fill="4B4B4B"/>
          </w:tcPr>
          <w:p>
            <w:pPr>
              <w:spacing w:after="0" w:line="20" w:lineRule="exact"/>
              <w:rPr>
                <w:sz w:val="1"/>
                <w:szCs w:val="1"/>
                <w:color w:val="auto"/>
              </w:rPr>
            </w:pPr>
          </w:p>
        </w:tc>
        <w:tc>
          <w:tcPr>
            <w:tcW w:w="220" w:type="dxa"/>
            <w:vAlign w:val="bottom"/>
            <w:shd w:val="clear" w:color="auto" w:fill="4B4B4B"/>
          </w:tcPr>
          <w:p>
            <w:pPr>
              <w:spacing w:after="0" w:line="20" w:lineRule="exact"/>
              <w:rPr>
                <w:sz w:val="1"/>
                <w:szCs w:val="1"/>
                <w:color w:val="auto"/>
              </w:rPr>
            </w:pPr>
          </w:p>
        </w:tc>
        <w:tc>
          <w:tcPr>
            <w:tcW w:w="80" w:type="dxa"/>
            <w:vAlign w:val="bottom"/>
            <w:shd w:val="clear" w:color="auto" w:fill="4B4B4B"/>
          </w:tcPr>
          <w:p>
            <w:pPr>
              <w:spacing w:after="0" w:line="20" w:lineRule="exact"/>
              <w:rPr>
                <w:sz w:val="1"/>
                <w:szCs w:val="1"/>
                <w:color w:val="auto"/>
              </w:rPr>
            </w:pPr>
          </w:p>
        </w:tc>
        <w:tc>
          <w:tcPr>
            <w:tcW w:w="100" w:type="dxa"/>
            <w:vAlign w:val="bottom"/>
            <w:shd w:val="clear" w:color="auto" w:fill="4B4B4B"/>
          </w:tcPr>
          <w:p>
            <w:pPr>
              <w:spacing w:after="0" w:line="20" w:lineRule="exact"/>
              <w:rPr>
                <w:sz w:val="1"/>
                <w:szCs w:val="1"/>
                <w:color w:val="auto"/>
              </w:rPr>
            </w:pPr>
          </w:p>
        </w:tc>
        <w:tc>
          <w:tcPr>
            <w:tcW w:w="20" w:type="dxa"/>
            <w:vAlign w:val="bottom"/>
            <w:shd w:val="clear" w:color="auto" w:fill="4B4B4B"/>
          </w:tcPr>
          <w:p>
            <w:pPr>
              <w:spacing w:after="0" w:line="20" w:lineRule="exact"/>
              <w:rPr>
                <w:sz w:val="1"/>
                <w:szCs w:val="1"/>
                <w:color w:val="auto"/>
              </w:rPr>
            </w:pPr>
          </w:p>
        </w:tc>
        <w:tc>
          <w:tcPr>
            <w:tcW w:w="240" w:type="dxa"/>
            <w:vAlign w:val="bottom"/>
            <w:tcBorders>
              <w:right w:val="single" w:sz="8" w:color="4B4B4B"/>
            </w:tcBorders>
            <w:gridSpan w:val="3"/>
            <w:shd w:val="clear" w:color="auto" w:fill="4B4B4B"/>
          </w:tcPr>
          <w:p>
            <w:pPr>
              <w:spacing w:after="0" w:line="20" w:lineRule="exact"/>
              <w:rPr>
                <w:sz w:val="1"/>
                <w:szCs w:val="1"/>
                <w:color w:val="auto"/>
              </w:rPr>
            </w:pPr>
          </w:p>
        </w:tc>
        <w:tc>
          <w:tcPr>
            <w:tcW w:w="20" w:type="dxa"/>
            <w:vAlign w:val="bottom"/>
            <w:shd w:val="clear" w:color="auto" w:fill="4B4B4B"/>
          </w:tcPr>
          <w:p>
            <w:pPr>
              <w:spacing w:after="0" w:line="20" w:lineRule="exact"/>
              <w:rPr>
                <w:sz w:val="1"/>
                <w:szCs w:val="1"/>
                <w:color w:val="auto"/>
              </w:rPr>
            </w:pPr>
          </w:p>
        </w:tc>
        <w:tc>
          <w:tcPr>
            <w:tcW w:w="440" w:type="dxa"/>
            <w:vAlign w:val="bottom"/>
            <w:gridSpan w:val="2"/>
            <w:shd w:val="clear" w:color="auto" w:fill="4B4B4B"/>
          </w:tcPr>
          <w:p>
            <w:pPr>
              <w:spacing w:after="0" w:line="20" w:lineRule="exact"/>
              <w:rPr>
                <w:sz w:val="1"/>
                <w:szCs w:val="1"/>
                <w:color w:val="auto"/>
              </w:rPr>
            </w:pPr>
          </w:p>
        </w:tc>
        <w:tc>
          <w:tcPr>
            <w:tcW w:w="280" w:type="dxa"/>
            <w:vAlign w:val="bottom"/>
            <w:shd w:val="clear" w:color="auto" w:fill="4B4B4B"/>
          </w:tcPr>
          <w:p>
            <w:pPr>
              <w:spacing w:after="0" w:line="20" w:lineRule="exact"/>
              <w:rPr>
                <w:sz w:val="1"/>
                <w:szCs w:val="1"/>
                <w:color w:val="auto"/>
              </w:rPr>
            </w:pPr>
          </w:p>
        </w:tc>
        <w:tc>
          <w:tcPr>
            <w:tcW w:w="440" w:type="dxa"/>
            <w:vAlign w:val="bottom"/>
            <w:shd w:val="clear" w:color="auto" w:fill="4B4B4B"/>
          </w:tcPr>
          <w:p>
            <w:pPr>
              <w:spacing w:after="0" w:line="20" w:lineRule="exact"/>
              <w:rPr>
                <w:sz w:val="1"/>
                <w:szCs w:val="1"/>
                <w:color w:val="auto"/>
              </w:rPr>
            </w:pPr>
          </w:p>
        </w:tc>
        <w:tc>
          <w:tcPr>
            <w:tcW w:w="2780" w:type="dxa"/>
            <w:vAlign w:val="bottom"/>
            <w:gridSpan w:val="19"/>
            <w:shd w:val="clear" w:color="auto" w:fill="4B4B4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40"/>
          </w:tcPr>
          <w:p>
            <w:pPr>
              <w:spacing w:after="0"/>
              <w:rPr>
                <w:rFonts w:ascii="Arial" w:cs="Arial" w:eastAsia="Arial" w:hAnsi="Arial"/>
                <w:sz w:val="16"/>
                <w:szCs w:val="16"/>
                <w:color w:val="4B4B4B"/>
              </w:rPr>
            </w:pPr>
            <w:hyperlink w:anchor="page18">
              <w:r>
                <w:rPr>
                  <w:rFonts w:ascii="Arial" w:cs="Arial" w:eastAsia="Arial" w:hAnsi="Arial"/>
                  <w:sz w:val="16"/>
                  <w:szCs w:val="16"/>
                  <w:color w:val="4B4B4B"/>
                </w:rPr>
                <w:t>Class III Directors Whose Terms Expire at the 2024 Annual Meeting of Stockholders</w:t>
              </w:r>
            </w:hyperlink>
          </w:p>
        </w:tc>
        <w:tc>
          <w:tcPr>
            <w:tcW w:w="1080" w:type="dxa"/>
            <w:vAlign w:val="bottom"/>
          </w:tcPr>
          <w:p>
            <w:pPr>
              <w:jc w:val="center"/>
              <w:ind w:left="419"/>
              <w:spacing w:after="0"/>
              <w:rPr>
                <w:rFonts w:ascii="Arial" w:cs="Arial" w:eastAsia="Arial" w:hAnsi="Arial"/>
                <w:sz w:val="16"/>
                <w:szCs w:val="16"/>
                <w:color w:val="4B4B4B"/>
              </w:rPr>
            </w:pPr>
            <w:hyperlink w:anchor="page18">
              <w:r>
                <w:rPr>
                  <w:rFonts w:ascii="Arial" w:cs="Arial" w:eastAsia="Arial" w:hAnsi="Arial"/>
                  <w:sz w:val="16"/>
                  <w:szCs w:val="16"/>
                  <w:color w:val="4B4B4B"/>
                </w:rPr>
                <w:t>13</w:t>
              </w:r>
            </w:hyperlink>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Borders>
              <w:top w:val="single" w:sz="8" w:color="4B4B4B"/>
              <w:bottom w:val="single" w:sz="8" w:color="4B4B4B"/>
            </w:tcBorders>
            <w:gridSpan w:val="5"/>
          </w:tcPr>
          <w:p>
            <w:pPr>
              <w:spacing w:after="0"/>
              <w:rPr>
                <w:rFonts w:ascii="Arial" w:cs="Arial" w:eastAsia="Arial" w:hAnsi="Arial"/>
                <w:sz w:val="16"/>
                <w:szCs w:val="16"/>
                <w:color w:val="4B4B4B"/>
                <w:w w:val="99"/>
              </w:rPr>
            </w:pPr>
            <w:hyperlink w:anchor="page19">
              <w:r>
                <w:rPr>
                  <w:rFonts w:ascii="Arial" w:cs="Arial" w:eastAsia="Arial" w:hAnsi="Arial"/>
                  <w:sz w:val="16"/>
                  <w:szCs w:val="16"/>
                  <w:color w:val="4B4B4B"/>
                  <w:w w:val="99"/>
                </w:rPr>
                <w:t>Board Recommendation</w:t>
              </w:r>
            </w:hyperlink>
          </w:p>
        </w:tc>
        <w:tc>
          <w:tcPr>
            <w:tcW w:w="4240" w:type="dxa"/>
            <w:vAlign w:val="bottom"/>
            <w:tcBorders>
              <w:top w:val="single" w:sz="8" w:color="4B4B4B"/>
            </w:tcBorders>
            <w:gridSpan w:val="28"/>
          </w:tcPr>
          <w:p>
            <w:pPr>
              <w:spacing w:after="0"/>
              <w:rPr>
                <w:sz w:val="20"/>
                <w:szCs w:val="20"/>
                <w:color w:val="auto"/>
              </w:rPr>
            </w:pPr>
          </w:p>
        </w:tc>
        <w:tc>
          <w:tcPr>
            <w:tcW w:w="3900" w:type="dxa"/>
            <w:vAlign w:val="bottom"/>
            <w:gridSpan w:val="7"/>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19">
              <w:r>
                <w:rPr>
                  <w:rFonts w:ascii="Arial" w:cs="Arial" w:eastAsia="Arial" w:hAnsi="Arial"/>
                  <w:sz w:val="16"/>
                  <w:szCs w:val="16"/>
                  <w:color w:val="4B4B4B"/>
                </w:rPr>
                <w:t>14</w:t>
              </w:r>
            </w:hyperlink>
          </w:p>
        </w:tc>
      </w:tr>
      <w:tr>
        <w:trPr>
          <w:trHeight w:val="236"/>
        </w:trPr>
        <w:tc>
          <w:tcPr>
            <w:tcW w:w="20" w:type="dxa"/>
            <w:vAlign w:val="bottom"/>
          </w:tcPr>
          <w:p>
            <w:pPr>
              <w:spacing w:after="0"/>
              <w:rPr>
                <w:sz w:val="20"/>
                <w:szCs w:val="20"/>
                <w:color w:val="auto"/>
              </w:rPr>
            </w:pPr>
          </w:p>
        </w:tc>
        <w:tc>
          <w:tcPr>
            <w:tcW w:w="10120" w:type="dxa"/>
            <w:vAlign w:val="bottom"/>
            <w:gridSpan w:val="41"/>
          </w:tcPr>
          <w:p>
            <w:pPr>
              <w:spacing w:after="0"/>
              <w:rPr>
                <w:rFonts w:ascii="Arial" w:cs="Arial" w:eastAsia="Arial" w:hAnsi="Arial"/>
                <w:sz w:val="16"/>
                <w:szCs w:val="16"/>
                <w:b w:val="1"/>
                <w:bCs w:val="1"/>
                <w:color w:val="58CC02"/>
              </w:rPr>
            </w:pPr>
            <w:hyperlink w:anchor="page19">
              <w:r>
                <w:rPr>
                  <w:rFonts w:ascii="Arial" w:cs="Arial" w:eastAsia="Arial" w:hAnsi="Arial"/>
                  <w:sz w:val="16"/>
                  <w:szCs w:val="16"/>
                  <w:b w:val="1"/>
                  <w:bCs w:val="1"/>
                  <w:color w:val="58CC02"/>
                </w:rPr>
                <w:t>PROPOSAL NO. 2 RATIFICATION OF APPOINTMENT OF INDEPENDENT REGISTERED PUBLIC ACCOUNTING FIRM</w:t>
              </w:r>
            </w:hyperlink>
          </w:p>
        </w:tc>
        <w:tc>
          <w:tcPr>
            <w:tcW w:w="1080" w:type="dxa"/>
            <w:vAlign w:val="bottom"/>
          </w:tcPr>
          <w:p>
            <w:pPr>
              <w:jc w:val="center"/>
              <w:ind w:left="419"/>
              <w:spacing w:after="0"/>
              <w:rPr>
                <w:rFonts w:ascii="Arial" w:cs="Arial" w:eastAsia="Arial" w:hAnsi="Arial"/>
                <w:sz w:val="16"/>
                <w:szCs w:val="16"/>
                <w:color w:val="4B4B4B"/>
              </w:rPr>
            </w:pPr>
            <w:hyperlink w:anchor="page19">
              <w:r>
                <w:rPr>
                  <w:rFonts w:ascii="Arial" w:cs="Arial" w:eastAsia="Arial" w:hAnsi="Arial"/>
                  <w:sz w:val="16"/>
                  <w:szCs w:val="16"/>
                  <w:color w:val="4B4B4B"/>
                </w:rPr>
                <w:t>15</w:t>
              </w:r>
            </w:hyperlink>
          </w:p>
        </w:tc>
      </w:tr>
      <w:tr>
        <w:trPr>
          <w:trHeight w:val="290"/>
        </w:trPr>
        <w:tc>
          <w:tcPr>
            <w:tcW w:w="20" w:type="dxa"/>
            <w:vAlign w:val="bottom"/>
          </w:tcPr>
          <w:p>
            <w:pPr>
              <w:spacing w:after="0"/>
              <w:rPr>
                <w:sz w:val="24"/>
                <w:szCs w:val="24"/>
                <w:color w:val="auto"/>
              </w:rPr>
            </w:pPr>
          </w:p>
        </w:tc>
        <w:tc>
          <w:tcPr>
            <w:tcW w:w="240" w:type="dxa"/>
            <w:vAlign w:val="bottom"/>
            <w:tcBorders>
              <w:top w:val="single" w:sz="8" w:color="58CC02"/>
            </w:tcBorders>
          </w:tcPr>
          <w:p>
            <w:pPr>
              <w:spacing w:after="0"/>
              <w:rPr>
                <w:sz w:val="24"/>
                <w:szCs w:val="24"/>
                <w:color w:val="auto"/>
              </w:rPr>
            </w:pPr>
          </w:p>
        </w:tc>
        <w:tc>
          <w:tcPr>
            <w:tcW w:w="8600" w:type="dxa"/>
            <w:vAlign w:val="bottom"/>
            <w:tcBorders>
              <w:top w:val="single" w:sz="8" w:color="58CC02"/>
            </w:tcBorders>
            <w:gridSpan w:val="38"/>
          </w:tcPr>
          <w:p>
            <w:pPr>
              <w:spacing w:after="0"/>
              <w:rPr>
                <w:rFonts w:ascii="Arial" w:cs="Arial" w:eastAsia="Arial" w:hAnsi="Arial"/>
                <w:sz w:val="16"/>
                <w:szCs w:val="16"/>
                <w:color w:val="4B4B4B"/>
              </w:rPr>
            </w:pPr>
            <w:hyperlink w:anchor="page20">
              <w:r>
                <w:rPr>
                  <w:rFonts w:ascii="Arial" w:cs="Arial" w:eastAsia="Arial" w:hAnsi="Arial"/>
                  <w:sz w:val="16"/>
                  <w:szCs w:val="16"/>
                  <w:color w:val="4B4B4B"/>
                </w:rPr>
                <w:t>Appointment of Independent Registered Public Accounting Firm</w:t>
              </w:r>
            </w:hyperlink>
          </w:p>
        </w:tc>
        <w:tc>
          <w:tcPr>
            <w:tcW w:w="1280" w:type="dxa"/>
            <w:vAlign w:val="bottom"/>
            <w:gridSpan w:val="2"/>
          </w:tcPr>
          <w:p>
            <w:pPr>
              <w:spacing w:after="0"/>
              <w:rPr>
                <w:sz w:val="24"/>
                <w:szCs w:val="24"/>
                <w:color w:val="auto"/>
              </w:rPr>
            </w:pPr>
          </w:p>
        </w:tc>
        <w:tc>
          <w:tcPr>
            <w:tcW w:w="1080" w:type="dxa"/>
            <w:vAlign w:val="bottom"/>
          </w:tcPr>
          <w:p>
            <w:pPr>
              <w:jc w:val="center"/>
              <w:ind w:left="419"/>
              <w:spacing w:after="0"/>
              <w:rPr>
                <w:rFonts w:ascii="Arial" w:cs="Arial" w:eastAsia="Arial" w:hAnsi="Arial"/>
                <w:sz w:val="16"/>
                <w:szCs w:val="16"/>
                <w:color w:val="4B4B4B"/>
              </w:rPr>
            </w:pPr>
            <w:hyperlink w:anchor="page20">
              <w:r>
                <w:rPr>
                  <w:rFonts w:ascii="Arial" w:cs="Arial" w:eastAsia="Arial" w:hAnsi="Arial"/>
                  <w:sz w:val="16"/>
                  <w:szCs w:val="16"/>
                  <w:color w:val="4B4B4B"/>
                </w:rPr>
                <w:t>15</w:t>
              </w:r>
            </w:hyperlink>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tcBorders>
              <w:top w:val="single" w:sz="8" w:color="4B4B4B"/>
            </w:tcBorders>
            <w:gridSpan w:val="27"/>
          </w:tcPr>
          <w:p>
            <w:pPr>
              <w:spacing w:after="0"/>
              <w:rPr>
                <w:rFonts w:ascii="Arial" w:cs="Arial" w:eastAsia="Arial" w:hAnsi="Arial"/>
                <w:sz w:val="16"/>
                <w:szCs w:val="16"/>
                <w:color w:val="4B4B4B"/>
              </w:rPr>
            </w:pPr>
            <w:hyperlink w:anchor="page20">
              <w:r>
                <w:rPr>
                  <w:rFonts w:ascii="Arial" w:cs="Arial" w:eastAsia="Arial" w:hAnsi="Arial"/>
                  <w:sz w:val="16"/>
                  <w:szCs w:val="16"/>
                  <w:color w:val="4B4B4B"/>
                </w:rPr>
                <w:t>Audit, Audit-Related, Tax and All Other Fees</w:t>
              </w:r>
            </w:hyperlink>
          </w:p>
        </w:tc>
        <w:tc>
          <w:tcPr>
            <w:tcW w:w="5340" w:type="dxa"/>
            <w:vAlign w:val="bottom"/>
            <w:gridSpan w:val="13"/>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20">
              <w:r>
                <w:rPr>
                  <w:rFonts w:ascii="Arial" w:cs="Arial" w:eastAsia="Arial" w:hAnsi="Arial"/>
                  <w:sz w:val="16"/>
                  <w:szCs w:val="16"/>
                  <w:color w:val="4B4B4B"/>
                </w:rPr>
                <w:t>15</w:t>
              </w:r>
            </w:hyperlink>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tcBorders>
              <w:top w:val="single" w:sz="8" w:color="4B4B4B"/>
              <w:bottom w:val="single" w:sz="8" w:color="4B4B4B"/>
            </w:tcBorders>
            <w:gridSpan w:val="12"/>
          </w:tcPr>
          <w:p>
            <w:pPr>
              <w:spacing w:after="0"/>
              <w:rPr>
                <w:rFonts w:ascii="Arial" w:cs="Arial" w:eastAsia="Arial" w:hAnsi="Arial"/>
                <w:sz w:val="16"/>
                <w:szCs w:val="16"/>
                <w:color w:val="4B4B4B"/>
                <w:w w:val="99"/>
              </w:rPr>
            </w:pPr>
            <w:hyperlink w:anchor="page21">
              <w:r>
                <w:rPr>
                  <w:rFonts w:ascii="Arial" w:cs="Arial" w:eastAsia="Arial" w:hAnsi="Arial"/>
                  <w:sz w:val="16"/>
                  <w:szCs w:val="16"/>
                  <w:color w:val="4B4B4B"/>
                  <w:w w:val="99"/>
                </w:rPr>
                <w:t>Pre-Approval Policies and Procedures</w:t>
              </w:r>
            </w:hyperlink>
          </w:p>
        </w:tc>
        <w:tc>
          <w:tcPr>
            <w:tcW w:w="440" w:type="dxa"/>
            <w:vAlign w:val="bottom"/>
            <w:tcBorders>
              <w:top w:val="single" w:sz="8" w:color="4B4B4B"/>
            </w:tcBorders>
          </w:tcPr>
          <w:p>
            <w:pPr>
              <w:spacing w:after="0"/>
              <w:rPr>
                <w:sz w:val="20"/>
                <w:szCs w:val="20"/>
                <w:color w:val="auto"/>
              </w:rPr>
            </w:pPr>
          </w:p>
        </w:tc>
        <w:tc>
          <w:tcPr>
            <w:tcW w:w="6720" w:type="dxa"/>
            <w:vAlign w:val="bottom"/>
            <w:gridSpan w:val="27"/>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21">
              <w:r>
                <w:rPr>
                  <w:rFonts w:ascii="Arial" w:cs="Arial" w:eastAsia="Arial" w:hAnsi="Arial"/>
                  <w:sz w:val="16"/>
                  <w:szCs w:val="16"/>
                  <w:color w:val="4B4B4B"/>
                </w:rPr>
                <w:t>16</w:t>
              </w:r>
            </w:hyperlink>
          </w:p>
        </w:tc>
      </w:tr>
      <w:tr>
        <w:trPr>
          <w:trHeight w:val="236"/>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Borders>
              <w:bottom w:val="single" w:sz="8" w:color="4B4B4B"/>
            </w:tcBorders>
            <w:gridSpan w:val="5"/>
          </w:tcPr>
          <w:p>
            <w:pPr>
              <w:spacing w:after="0"/>
              <w:rPr>
                <w:rFonts w:ascii="Arial" w:cs="Arial" w:eastAsia="Arial" w:hAnsi="Arial"/>
                <w:sz w:val="16"/>
                <w:szCs w:val="16"/>
                <w:color w:val="4B4B4B"/>
                <w:w w:val="99"/>
              </w:rPr>
            </w:pPr>
            <w:hyperlink w:anchor="page21">
              <w:r>
                <w:rPr>
                  <w:rFonts w:ascii="Arial" w:cs="Arial" w:eastAsia="Arial" w:hAnsi="Arial"/>
                  <w:sz w:val="16"/>
                  <w:szCs w:val="16"/>
                  <w:color w:val="4B4B4B"/>
                  <w:w w:val="99"/>
                </w:rPr>
                <w:t>Board Recommendation</w:t>
              </w:r>
            </w:hyperlink>
          </w:p>
        </w:tc>
        <w:tc>
          <w:tcPr>
            <w:tcW w:w="8140" w:type="dxa"/>
            <w:vAlign w:val="bottom"/>
            <w:gridSpan w:val="35"/>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21">
              <w:r>
                <w:rPr>
                  <w:rFonts w:ascii="Arial" w:cs="Arial" w:eastAsia="Arial" w:hAnsi="Arial"/>
                  <w:sz w:val="16"/>
                  <w:szCs w:val="16"/>
                  <w:color w:val="4B4B4B"/>
                </w:rPr>
                <w:t>16</w:t>
              </w:r>
            </w:hyperlink>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Borders>
              <w:bottom w:val="single" w:sz="8" w:color="4B4B4B"/>
            </w:tcBorders>
            <w:gridSpan w:val="4"/>
          </w:tcPr>
          <w:p>
            <w:pPr>
              <w:spacing w:after="0"/>
              <w:rPr>
                <w:rFonts w:ascii="Arial" w:cs="Arial" w:eastAsia="Arial" w:hAnsi="Arial"/>
                <w:sz w:val="16"/>
                <w:szCs w:val="16"/>
                <w:color w:val="4B4B4B"/>
                <w:w w:val="99"/>
              </w:rPr>
            </w:pPr>
            <w:hyperlink w:anchor="page21">
              <w:r>
                <w:rPr>
                  <w:rFonts w:ascii="Arial" w:cs="Arial" w:eastAsia="Arial" w:hAnsi="Arial"/>
                  <w:sz w:val="16"/>
                  <w:szCs w:val="16"/>
                  <w:color w:val="4B4B4B"/>
                  <w:w w:val="99"/>
                </w:rPr>
                <w:t>Audit Committee Report</w:t>
              </w:r>
            </w:hyperlink>
          </w:p>
        </w:tc>
        <w:tc>
          <w:tcPr>
            <w:tcW w:w="8160" w:type="dxa"/>
            <w:vAlign w:val="bottom"/>
            <w:gridSpan w:val="36"/>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21">
              <w:r>
                <w:rPr>
                  <w:rFonts w:ascii="Arial" w:cs="Arial" w:eastAsia="Arial" w:hAnsi="Arial"/>
                  <w:sz w:val="16"/>
                  <w:szCs w:val="16"/>
                  <w:color w:val="4B4B4B"/>
                </w:rPr>
                <w:t>17</w:t>
              </w:r>
            </w:hyperlink>
          </w:p>
        </w:tc>
      </w:tr>
      <w:tr>
        <w:trPr>
          <w:trHeight w:val="236"/>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20" w:type="dxa"/>
            <w:vAlign w:val="bottom"/>
            <w:tcBorders>
              <w:bottom w:val="single" w:sz="8" w:color="4B4B4B"/>
            </w:tcBorders>
            <w:gridSpan w:val="35"/>
          </w:tcPr>
          <w:p>
            <w:pPr>
              <w:spacing w:after="0"/>
              <w:rPr>
                <w:rFonts w:ascii="Arial" w:cs="Arial" w:eastAsia="Arial" w:hAnsi="Arial"/>
                <w:sz w:val="16"/>
                <w:szCs w:val="16"/>
                <w:color w:val="4B4B4B"/>
              </w:rPr>
            </w:pPr>
            <w:hyperlink w:anchor="page22">
              <w:r>
                <w:rPr>
                  <w:rFonts w:ascii="Arial" w:cs="Arial" w:eastAsia="Arial" w:hAnsi="Arial"/>
                  <w:sz w:val="16"/>
                  <w:szCs w:val="16"/>
                  <w:color w:val="4B4B4B"/>
                </w:rPr>
                <w:t>Submitted by the Audit, Risk and Compliance Committee of the Company’s Board of Directors</w:t>
              </w:r>
            </w:hyperlink>
          </w:p>
        </w:tc>
        <w:tc>
          <w:tcPr>
            <w:tcW w:w="3160" w:type="dxa"/>
            <w:vAlign w:val="bottom"/>
            <w:gridSpan w:val="5"/>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22">
              <w:r>
                <w:rPr>
                  <w:rFonts w:ascii="Arial" w:cs="Arial" w:eastAsia="Arial" w:hAnsi="Arial"/>
                  <w:sz w:val="16"/>
                  <w:szCs w:val="16"/>
                  <w:color w:val="4B4B4B"/>
                </w:rPr>
                <w:t>17</w:t>
              </w:r>
            </w:hyperlink>
          </w:p>
        </w:tc>
      </w:tr>
      <w:tr>
        <w:trPr>
          <w:trHeight w:val="237"/>
        </w:trPr>
        <w:tc>
          <w:tcPr>
            <w:tcW w:w="20" w:type="dxa"/>
            <w:vAlign w:val="bottom"/>
          </w:tcPr>
          <w:p>
            <w:pPr>
              <w:spacing w:after="0"/>
              <w:rPr>
                <w:sz w:val="20"/>
                <w:szCs w:val="20"/>
                <w:color w:val="auto"/>
              </w:rPr>
            </w:pPr>
          </w:p>
        </w:tc>
        <w:tc>
          <w:tcPr>
            <w:tcW w:w="10120" w:type="dxa"/>
            <w:vAlign w:val="bottom"/>
            <w:gridSpan w:val="41"/>
          </w:tcPr>
          <w:p>
            <w:pPr>
              <w:spacing w:after="0"/>
              <w:rPr>
                <w:rFonts w:ascii="Arial" w:cs="Arial" w:eastAsia="Arial" w:hAnsi="Arial"/>
                <w:sz w:val="16"/>
                <w:szCs w:val="16"/>
                <w:b w:val="1"/>
                <w:bCs w:val="1"/>
                <w:color w:val="58CC02"/>
              </w:rPr>
            </w:pPr>
            <w:hyperlink w:anchor="page22">
              <w:r>
                <w:rPr>
                  <w:rFonts w:ascii="Arial" w:cs="Arial" w:eastAsia="Arial" w:hAnsi="Arial"/>
                  <w:sz w:val="16"/>
                  <w:szCs w:val="16"/>
                  <w:b w:val="1"/>
                  <w:bCs w:val="1"/>
                  <w:color w:val="58CC02"/>
                </w:rPr>
                <w:t>EXECUTIVE OFFICERS</w:t>
              </w:r>
            </w:hyperlink>
          </w:p>
        </w:tc>
        <w:tc>
          <w:tcPr>
            <w:tcW w:w="1080" w:type="dxa"/>
            <w:vAlign w:val="bottom"/>
          </w:tcPr>
          <w:p>
            <w:pPr>
              <w:jc w:val="center"/>
              <w:ind w:left="419"/>
              <w:spacing w:after="0"/>
              <w:rPr>
                <w:rFonts w:ascii="Arial" w:cs="Arial" w:eastAsia="Arial" w:hAnsi="Arial"/>
                <w:sz w:val="16"/>
                <w:szCs w:val="16"/>
                <w:color w:val="4B4B4B"/>
              </w:rPr>
            </w:pPr>
            <w:hyperlink w:anchor="page22">
              <w:r>
                <w:rPr>
                  <w:rFonts w:ascii="Arial" w:cs="Arial" w:eastAsia="Arial" w:hAnsi="Arial"/>
                  <w:sz w:val="16"/>
                  <w:szCs w:val="16"/>
                  <w:color w:val="4B4B4B"/>
                </w:rPr>
                <w:t>18</w:t>
              </w:r>
            </w:hyperlink>
          </w:p>
        </w:tc>
      </w:tr>
      <w:tr>
        <w:trPr>
          <w:trHeight w:val="20"/>
        </w:trPr>
        <w:tc>
          <w:tcPr>
            <w:tcW w:w="20" w:type="dxa"/>
            <w:vAlign w:val="bottom"/>
          </w:tcPr>
          <w:p>
            <w:pPr>
              <w:spacing w:after="0" w:line="20" w:lineRule="exact"/>
              <w:rPr>
                <w:sz w:val="1"/>
                <w:szCs w:val="1"/>
                <w:color w:val="auto"/>
              </w:rPr>
            </w:pPr>
          </w:p>
        </w:tc>
        <w:tc>
          <w:tcPr>
            <w:tcW w:w="1560" w:type="dxa"/>
            <w:vAlign w:val="bottom"/>
            <w:gridSpan w:val="2"/>
            <w:shd w:val="clear" w:color="auto" w:fill="58CC02"/>
          </w:tcPr>
          <w:p>
            <w:pPr>
              <w:spacing w:after="0" w:line="20" w:lineRule="exact"/>
              <w:rPr>
                <w:sz w:val="1"/>
                <w:szCs w:val="1"/>
                <w:color w:val="auto"/>
              </w:rPr>
            </w:pPr>
          </w:p>
        </w:tc>
        <w:tc>
          <w:tcPr>
            <w:tcW w:w="220" w:type="dxa"/>
            <w:vAlign w:val="bottom"/>
            <w:shd w:val="clear" w:color="auto" w:fill="58CC0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40" w:type="dxa"/>
            <w:vAlign w:val="bottom"/>
            <w:gridSpan w:val="2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2240" w:type="dxa"/>
            <w:vAlign w:val="bottom"/>
            <w:tcBorders>
              <w:bottom w:val="single" w:sz="8" w:color="58CC02"/>
            </w:tcBorders>
            <w:gridSpan w:val="10"/>
          </w:tcPr>
          <w:p>
            <w:pPr>
              <w:spacing w:after="0"/>
              <w:rPr>
                <w:rFonts w:ascii="Arial" w:cs="Arial" w:eastAsia="Arial" w:hAnsi="Arial"/>
                <w:sz w:val="16"/>
                <w:szCs w:val="16"/>
                <w:b w:val="1"/>
                <w:bCs w:val="1"/>
                <w:color w:val="58CC02"/>
              </w:rPr>
            </w:pPr>
            <w:hyperlink w:anchor="page24">
              <w:r>
                <w:rPr>
                  <w:rFonts w:ascii="Arial" w:cs="Arial" w:eastAsia="Arial" w:hAnsi="Arial"/>
                  <w:sz w:val="16"/>
                  <w:szCs w:val="16"/>
                  <w:b w:val="1"/>
                  <w:bCs w:val="1"/>
                  <w:color w:val="58CC02"/>
                </w:rPr>
                <w:t>CORPORATE GOVERNANCE</w:t>
              </w:r>
            </w:hyperlink>
          </w:p>
        </w:tc>
        <w:tc>
          <w:tcPr>
            <w:tcW w:w="7880" w:type="dxa"/>
            <w:vAlign w:val="bottom"/>
            <w:gridSpan w:val="31"/>
          </w:tcPr>
          <w:p>
            <w:pPr>
              <w:spacing w:after="0"/>
              <w:rPr>
                <w:sz w:val="24"/>
                <w:szCs w:val="24"/>
                <w:color w:val="auto"/>
              </w:rPr>
            </w:pPr>
          </w:p>
        </w:tc>
        <w:tc>
          <w:tcPr>
            <w:tcW w:w="1080" w:type="dxa"/>
            <w:vAlign w:val="bottom"/>
          </w:tcPr>
          <w:p>
            <w:pPr>
              <w:jc w:val="center"/>
              <w:ind w:left="419"/>
              <w:spacing w:after="0"/>
              <w:rPr>
                <w:rFonts w:ascii="Arial" w:cs="Arial" w:eastAsia="Arial" w:hAnsi="Arial"/>
                <w:sz w:val="16"/>
                <w:szCs w:val="16"/>
                <w:color w:val="4B4B4B"/>
              </w:rPr>
            </w:pPr>
            <w:hyperlink w:anchor="page24">
              <w:r>
                <w:rPr>
                  <w:rFonts w:ascii="Arial" w:cs="Arial" w:eastAsia="Arial" w:hAnsi="Arial"/>
                  <w:sz w:val="16"/>
                  <w:szCs w:val="16"/>
                  <w:color w:val="4B4B4B"/>
                </w:rPr>
                <w:t>20</w:t>
              </w:r>
            </w:hyperlink>
          </w:p>
        </w:tc>
      </w:tr>
      <w:tr>
        <w:trPr>
          <w:trHeight w:val="29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tcBorders>
              <w:bottom w:val="single" w:sz="8" w:color="4B4B4B"/>
            </w:tcBorders>
            <w:gridSpan w:val="11"/>
          </w:tcPr>
          <w:p>
            <w:pPr>
              <w:spacing w:after="0"/>
              <w:rPr>
                <w:rFonts w:ascii="Arial" w:cs="Arial" w:eastAsia="Arial" w:hAnsi="Arial"/>
                <w:sz w:val="16"/>
                <w:szCs w:val="16"/>
                <w:color w:val="4B4B4B"/>
                <w:w w:val="99"/>
              </w:rPr>
            </w:pPr>
            <w:hyperlink w:anchor="page25">
              <w:r>
                <w:rPr>
                  <w:rFonts w:ascii="Arial" w:cs="Arial" w:eastAsia="Arial" w:hAnsi="Arial"/>
                  <w:sz w:val="16"/>
                  <w:szCs w:val="16"/>
                  <w:color w:val="4B4B4B"/>
                  <w:w w:val="99"/>
                </w:rPr>
                <w:t>Corporate Governance Guidelines</w:t>
              </w:r>
            </w:hyperlink>
          </w:p>
        </w:tc>
        <w:tc>
          <w:tcPr>
            <w:tcW w:w="7440" w:type="dxa"/>
            <w:vAlign w:val="bottom"/>
            <w:gridSpan w:val="29"/>
          </w:tcPr>
          <w:p>
            <w:pPr>
              <w:spacing w:after="0"/>
              <w:rPr>
                <w:sz w:val="24"/>
                <w:szCs w:val="24"/>
                <w:color w:val="auto"/>
              </w:rPr>
            </w:pPr>
          </w:p>
        </w:tc>
        <w:tc>
          <w:tcPr>
            <w:tcW w:w="1080" w:type="dxa"/>
            <w:vAlign w:val="bottom"/>
          </w:tcPr>
          <w:p>
            <w:pPr>
              <w:jc w:val="center"/>
              <w:ind w:left="419"/>
              <w:spacing w:after="0"/>
              <w:rPr>
                <w:rFonts w:ascii="Arial" w:cs="Arial" w:eastAsia="Arial" w:hAnsi="Arial"/>
                <w:sz w:val="16"/>
                <w:szCs w:val="16"/>
                <w:color w:val="4B4B4B"/>
              </w:rPr>
            </w:pPr>
            <w:hyperlink w:anchor="page25">
              <w:r>
                <w:rPr>
                  <w:rFonts w:ascii="Arial" w:cs="Arial" w:eastAsia="Arial" w:hAnsi="Arial"/>
                  <w:sz w:val="16"/>
                  <w:szCs w:val="16"/>
                  <w:color w:val="4B4B4B"/>
                </w:rPr>
                <w:t>20</w:t>
              </w:r>
            </w:hyperlink>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40"/>
          </w:tcPr>
          <w:p>
            <w:pPr>
              <w:spacing w:after="0"/>
              <w:rPr>
                <w:rFonts w:ascii="Arial" w:cs="Arial" w:eastAsia="Arial" w:hAnsi="Arial"/>
                <w:sz w:val="16"/>
                <w:szCs w:val="16"/>
                <w:color w:val="4B4B4B"/>
              </w:rPr>
            </w:pPr>
            <w:hyperlink w:anchor="page25">
              <w:r>
                <w:rPr>
                  <w:rFonts w:ascii="Arial" w:cs="Arial" w:eastAsia="Arial" w:hAnsi="Arial"/>
                  <w:sz w:val="16"/>
                  <w:szCs w:val="16"/>
                  <w:color w:val="4B4B4B"/>
                </w:rPr>
                <w:t>Board Leadership Structure</w:t>
              </w:r>
            </w:hyperlink>
          </w:p>
        </w:tc>
        <w:tc>
          <w:tcPr>
            <w:tcW w:w="1080" w:type="dxa"/>
            <w:vAlign w:val="bottom"/>
          </w:tcPr>
          <w:p>
            <w:pPr>
              <w:jc w:val="center"/>
              <w:ind w:left="419"/>
              <w:spacing w:after="0"/>
              <w:rPr>
                <w:rFonts w:ascii="Arial" w:cs="Arial" w:eastAsia="Arial" w:hAnsi="Arial"/>
                <w:sz w:val="16"/>
                <w:szCs w:val="16"/>
                <w:color w:val="4B4B4B"/>
              </w:rPr>
            </w:pPr>
            <w:hyperlink w:anchor="page25">
              <w:r>
                <w:rPr>
                  <w:rFonts w:ascii="Arial" w:cs="Arial" w:eastAsia="Arial" w:hAnsi="Arial"/>
                  <w:sz w:val="16"/>
                  <w:szCs w:val="16"/>
                  <w:color w:val="4B4B4B"/>
                </w:rPr>
                <w:t>20</w:t>
              </w:r>
            </w:hyperlink>
          </w:p>
        </w:tc>
      </w:tr>
      <w:tr>
        <w:trPr>
          <w:trHeight w:val="236"/>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Borders>
              <w:top w:val="single" w:sz="8" w:color="4B4B4B"/>
            </w:tcBorders>
            <w:gridSpan w:val="8"/>
          </w:tcPr>
          <w:p>
            <w:pPr>
              <w:spacing w:after="0"/>
              <w:rPr>
                <w:rFonts w:ascii="Arial" w:cs="Arial" w:eastAsia="Arial" w:hAnsi="Arial"/>
                <w:sz w:val="16"/>
                <w:szCs w:val="16"/>
                <w:color w:val="4B4B4B"/>
              </w:rPr>
            </w:pPr>
            <w:hyperlink w:anchor="page25">
              <w:r>
                <w:rPr>
                  <w:rFonts w:ascii="Arial" w:cs="Arial" w:eastAsia="Arial" w:hAnsi="Arial"/>
                  <w:sz w:val="16"/>
                  <w:szCs w:val="16"/>
                  <w:color w:val="4B4B4B"/>
                </w:rPr>
                <w:t>Director Independence</w:t>
              </w:r>
            </w:hyperlink>
          </w:p>
        </w:tc>
        <w:tc>
          <w:tcPr>
            <w:tcW w:w="7900" w:type="dxa"/>
            <w:vAlign w:val="bottom"/>
            <w:gridSpan w:val="32"/>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25">
              <w:r>
                <w:rPr>
                  <w:rFonts w:ascii="Arial" w:cs="Arial" w:eastAsia="Arial" w:hAnsi="Arial"/>
                  <w:sz w:val="16"/>
                  <w:szCs w:val="16"/>
                  <w:color w:val="4B4B4B"/>
                </w:rPr>
                <w:t>21</w:t>
              </w:r>
            </w:hyperlink>
          </w:p>
        </w:tc>
      </w:tr>
      <w:tr>
        <w:trPr>
          <w:trHeight w:val="236"/>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Borders>
              <w:top w:val="single" w:sz="8" w:color="4B4B4B"/>
            </w:tcBorders>
            <w:gridSpan w:val="3"/>
          </w:tcPr>
          <w:p>
            <w:pPr>
              <w:spacing w:after="0"/>
              <w:rPr>
                <w:rFonts w:ascii="Arial" w:cs="Arial" w:eastAsia="Arial" w:hAnsi="Arial"/>
                <w:sz w:val="16"/>
                <w:szCs w:val="16"/>
                <w:color w:val="4B4B4B"/>
              </w:rPr>
            </w:pPr>
            <w:hyperlink w:anchor="page26">
              <w:r>
                <w:rPr>
                  <w:rFonts w:ascii="Arial" w:cs="Arial" w:eastAsia="Arial" w:hAnsi="Arial"/>
                  <w:sz w:val="16"/>
                  <w:szCs w:val="16"/>
                  <w:color w:val="4B4B4B"/>
                </w:rPr>
                <w:t>Board Committees</w:t>
              </w:r>
            </w:hyperlink>
          </w:p>
        </w:tc>
        <w:tc>
          <w:tcPr>
            <w:tcW w:w="8260" w:type="dxa"/>
            <w:vAlign w:val="bottom"/>
            <w:gridSpan w:val="37"/>
          </w:tcPr>
          <w:p>
            <w:pPr>
              <w:spacing w:after="0"/>
              <w:rPr>
                <w:sz w:val="20"/>
                <w:szCs w:val="20"/>
                <w:color w:val="auto"/>
              </w:rPr>
            </w:pPr>
          </w:p>
        </w:tc>
        <w:tc>
          <w:tcPr>
            <w:tcW w:w="1080" w:type="dxa"/>
            <w:vAlign w:val="bottom"/>
          </w:tcPr>
          <w:p>
            <w:pPr>
              <w:jc w:val="center"/>
              <w:ind w:left="419"/>
              <w:spacing w:after="0"/>
              <w:rPr>
                <w:rFonts w:ascii="Arial" w:cs="Arial" w:eastAsia="Arial" w:hAnsi="Arial"/>
                <w:sz w:val="16"/>
                <w:szCs w:val="16"/>
                <w:color w:val="4B4B4B"/>
              </w:rPr>
            </w:pPr>
            <w:hyperlink w:anchor="page26">
              <w:r>
                <w:rPr>
                  <w:rFonts w:ascii="Arial" w:cs="Arial" w:eastAsia="Arial" w:hAnsi="Arial"/>
                  <w:sz w:val="16"/>
                  <w:szCs w:val="16"/>
                  <w:color w:val="4B4B4B"/>
                </w:rPr>
                <w:t>21</w:t>
              </w:r>
            </w:hyperlink>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4B4B4B"/>
            </w:tcBorders>
          </w:tcPr>
          <w:p>
            <w:pPr>
              <w:spacing w:after="0" w:line="20" w:lineRule="exact"/>
              <w:rPr>
                <w:sz w:val="1"/>
                <w:szCs w:val="1"/>
                <w:color w:val="auto"/>
              </w:rPr>
            </w:pPr>
          </w:p>
        </w:tc>
        <w:tc>
          <w:tcPr>
            <w:tcW w:w="1320" w:type="dxa"/>
            <w:vAlign w:val="bottom"/>
            <w:shd w:val="clear" w:color="auto" w:fill="4B4B4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ectPr>
          <w:pgSz w:w="11900" w:h="16838" w:orient="portrait"/>
          <w:cols w:equalWidth="0" w:num="1">
            <w:col w:w="11220"/>
          </w:cols>
          <w:pgMar w:left="320" w:top="1323" w:right="3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Borders>
              <w:bottom w:val="single" w:sz="8" w:color="4B4B4B"/>
            </w:tcBorders>
            <w:gridSpan w:val="3"/>
          </w:tcPr>
          <w:p>
            <w:pPr>
              <w:spacing w:after="0"/>
              <w:rPr>
                <w:rFonts w:ascii="Arial" w:cs="Arial" w:eastAsia="Arial" w:hAnsi="Arial"/>
                <w:sz w:val="16"/>
                <w:szCs w:val="16"/>
                <w:color w:val="4B4B4B"/>
                <w:w w:val="99"/>
              </w:rPr>
            </w:pPr>
            <w:hyperlink w:anchor="page26">
              <w:r>
                <w:rPr>
                  <w:rFonts w:ascii="Arial" w:cs="Arial" w:eastAsia="Arial" w:hAnsi="Arial"/>
                  <w:sz w:val="16"/>
                  <w:szCs w:val="16"/>
                  <w:color w:val="4B4B4B"/>
                  <w:w w:val="99"/>
                </w:rPr>
                <w:t>Audit Committee</w:t>
              </w:r>
            </w:hyperlink>
          </w:p>
        </w:tc>
        <w:tc>
          <w:tcPr>
            <w:tcW w:w="3560" w:type="dxa"/>
            <w:vAlign w:val="bottom"/>
            <w:gridSpan w:val="22"/>
          </w:tcPr>
          <w:p>
            <w:pPr>
              <w:spacing w:after="0"/>
              <w:rPr>
                <w:sz w:val="16"/>
                <w:szCs w:val="16"/>
                <w:color w:val="auto"/>
              </w:rPr>
            </w:pPr>
          </w:p>
        </w:tc>
        <w:tc>
          <w:tcPr>
            <w:tcW w:w="6020" w:type="dxa"/>
            <w:vAlign w:val="bottom"/>
          </w:tcPr>
          <w:p>
            <w:pPr>
              <w:jc w:val="right"/>
              <w:spacing w:after="0"/>
              <w:rPr>
                <w:rFonts w:ascii="Arial" w:cs="Arial" w:eastAsia="Arial" w:hAnsi="Arial"/>
                <w:sz w:val="16"/>
                <w:szCs w:val="16"/>
                <w:color w:val="4B4B4B"/>
              </w:rPr>
            </w:pPr>
            <w:hyperlink w:anchor="page26">
              <w:r>
                <w:rPr>
                  <w:rFonts w:ascii="Arial" w:cs="Arial" w:eastAsia="Arial" w:hAnsi="Arial"/>
                  <w:sz w:val="16"/>
                  <w:szCs w:val="16"/>
                  <w:color w:val="4B4B4B"/>
                </w:rPr>
                <w:t>22</w:t>
              </w:r>
            </w:hyperlink>
          </w:p>
        </w:tc>
      </w:tr>
      <w:tr>
        <w:trPr>
          <w:trHeight w:val="236"/>
        </w:trPr>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tcBorders>
              <w:bottom w:val="single" w:sz="8" w:color="4B4B4B"/>
            </w:tcBorders>
            <w:gridSpan w:val="7"/>
          </w:tcPr>
          <w:p>
            <w:pPr>
              <w:spacing w:after="0"/>
              <w:rPr>
                <w:rFonts w:ascii="Arial" w:cs="Arial" w:eastAsia="Arial" w:hAnsi="Arial"/>
                <w:sz w:val="16"/>
                <w:szCs w:val="16"/>
                <w:color w:val="4B4B4B"/>
              </w:rPr>
            </w:pPr>
            <w:hyperlink w:anchor="page27">
              <w:r>
                <w:rPr>
                  <w:rFonts w:ascii="Arial" w:cs="Arial" w:eastAsia="Arial" w:hAnsi="Arial"/>
                  <w:sz w:val="16"/>
                  <w:szCs w:val="16"/>
                  <w:color w:val="4B4B4B"/>
                </w:rPr>
                <w:t>Compensation Committee</w:t>
              </w:r>
            </w:hyperlink>
          </w:p>
        </w:tc>
        <w:tc>
          <w:tcPr>
            <w:tcW w:w="2880" w:type="dxa"/>
            <w:vAlign w:val="bottom"/>
            <w:gridSpan w:val="18"/>
          </w:tcPr>
          <w:p>
            <w:pPr>
              <w:spacing w:after="0"/>
              <w:rPr>
                <w:sz w:val="20"/>
                <w:szCs w:val="20"/>
                <w:color w:val="auto"/>
              </w:rPr>
            </w:pPr>
          </w:p>
        </w:tc>
        <w:tc>
          <w:tcPr>
            <w:tcW w:w="6020" w:type="dxa"/>
            <w:vAlign w:val="bottom"/>
          </w:tcPr>
          <w:p>
            <w:pPr>
              <w:jc w:val="right"/>
              <w:spacing w:after="0"/>
              <w:rPr>
                <w:rFonts w:ascii="Arial" w:cs="Arial" w:eastAsia="Arial" w:hAnsi="Arial"/>
                <w:sz w:val="16"/>
                <w:szCs w:val="16"/>
                <w:color w:val="4B4B4B"/>
              </w:rPr>
            </w:pPr>
            <w:hyperlink w:anchor="page27">
              <w:r>
                <w:rPr>
                  <w:rFonts w:ascii="Arial" w:cs="Arial" w:eastAsia="Arial" w:hAnsi="Arial"/>
                  <w:sz w:val="16"/>
                  <w:szCs w:val="16"/>
                  <w:color w:val="4B4B4B"/>
                </w:rPr>
                <w:t>23</w:t>
              </w:r>
            </w:hyperlink>
          </w:p>
        </w:tc>
      </w:tr>
      <w:tr>
        <w:trPr>
          <w:trHeight w:val="237"/>
        </w:trPr>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bottom w:val="single" w:sz="8" w:color="4B4B4B"/>
            </w:tcBorders>
            <w:gridSpan w:val="8"/>
          </w:tcPr>
          <w:p>
            <w:pPr>
              <w:ind w:left="20"/>
              <w:spacing w:after="0"/>
              <w:rPr>
                <w:rFonts w:ascii="Arial" w:cs="Arial" w:eastAsia="Arial" w:hAnsi="Arial"/>
                <w:sz w:val="16"/>
                <w:szCs w:val="16"/>
                <w:color w:val="4B4B4B"/>
                <w:w w:val="99"/>
              </w:rPr>
            </w:pPr>
            <w:hyperlink w:anchor="page28">
              <w:r>
                <w:rPr>
                  <w:rFonts w:ascii="Arial" w:cs="Arial" w:eastAsia="Arial" w:hAnsi="Arial"/>
                  <w:sz w:val="16"/>
                  <w:szCs w:val="16"/>
                  <w:color w:val="4B4B4B"/>
                  <w:w w:val="99"/>
                </w:rPr>
                <w:t>Compensation Consultants</w:t>
              </w:r>
            </w:hyperlink>
          </w:p>
        </w:tc>
        <w:tc>
          <w:tcPr>
            <w:tcW w:w="2700" w:type="dxa"/>
            <w:vAlign w:val="bottom"/>
            <w:gridSpan w:val="16"/>
          </w:tcPr>
          <w:p>
            <w:pPr>
              <w:spacing w:after="0"/>
              <w:rPr>
                <w:sz w:val="20"/>
                <w:szCs w:val="20"/>
                <w:color w:val="auto"/>
              </w:rPr>
            </w:pPr>
          </w:p>
        </w:tc>
        <w:tc>
          <w:tcPr>
            <w:tcW w:w="6020" w:type="dxa"/>
            <w:vAlign w:val="bottom"/>
          </w:tcPr>
          <w:p>
            <w:pPr>
              <w:jc w:val="right"/>
              <w:spacing w:after="0"/>
              <w:rPr>
                <w:rFonts w:ascii="Arial" w:cs="Arial" w:eastAsia="Arial" w:hAnsi="Arial"/>
                <w:sz w:val="16"/>
                <w:szCs w:val="16"/>
                <w:color w:val="4B4B4B"/>
              </w:rPr>
            </w:pPr>
            <w:hyperlink w:anchor="page28">
              <w:r>
                <w:rPr>
                  <w:rFonts w:ascii="Arial" w:cs="Arial" w:eastAsia="Arial" w:hAnsi="Arial"/>
                  <w:sz w:val="16"/>
                  <w:szCs w:val="16"/>
                  <w:color w:val="4B4B4B"/>
                </w:rPr>
                <w:t>24</w:t>
              </w:r>
            </w:hyperlink>
          </w:p>
        </w:tc>
      </w:tr>
      <w:tr>
        <w:trPr>
          <w:trHeight w:val="236"/>
        </w:trPr>
        <w:tc>
          <w:tcPr>
            <w:tcW w:w="160" w:type="dxa"/>
            <w:vAlign w:val="bottom"/>
          </w:tcPr>
          <w:p>
            <w:pPr>
              <w:spacing w:after="0"/>
              <w:rPr>
                <w:sz w:val="20"/>
                <w:szCs w:val="20"/>
                <w:color w:val="auto"/>
              </w:rPr>
            </w:pPr>
          </w:p>
        </w:tc>
        <w:tc>
          <w:tcPr>
            <w:tcW w:w="4820" w:type="dxa"/>
            <w:vAlign w:val="bottom"/>
            <w:gridSpan w:val="26"/>
          </w:tcPr>
          <w:p>
            <w:pPr>
              <w:spacing w:after="0"/>
              <w:rPr>
                <w:rFonts w:ascii="Arial" w:cs="Arial" w:eastAsia="Arial" w:hAnsi="Arial"/>
                <w:sz w:val="16"/>
                <w:szCs w:val="16"/>
                <w:color w:val="4B4B4B"/>
              </w:rPr>
            </w:pPr>
            <w:hyperlink w:anchor="page29">
              <w:r>
                <w:rPr>
                  <w:rFonts w:ascii="Arial" w:cs="Arial" w:eastAsia="Arial" w:hAnsi="Arial"/>
                  <w:sz w:val="16"/>
                  <w:szCs w:val="16"/>
                  <w:color w:val="4B4B4B"/>
                </w:rPr>
                <w:t>Nominating and Corporate Governance Committee</w:t>
              </w:r>
            </w:hyperlink>
          </w:p>
        </w:tc>
        <w:tc>
          <w:tcPr>
            <w:tcW w:w="6020" w:type="dxa"/>
            <w:vAlign w:val="bottom"/>
          </w:tcPr>
          <w:p>
            <w:pPr>
              <w:jc w:val="right"/>
              <w:spacing w:after="0"/>
              <w:rPr>
                <w:rFonts w:ascii="Arial" w:cs="Arial" w:eastAsia="Arial" w:hAnsi="Arial"/>
                <w:sz w:val="16"/>
                <w:szCs w:val="16"/>
                <w:color w:val="4B4B4B"/>
              </w:rPr>
            </w:pPr>
            <w:hyperlink w:anchor="page29">
              <w:r>
                <w:rPr>
                  <w:rFonts w:ascii="Arial" w:cs="Arial" w:eastAsia="Arial" w:hAnsi="Arial"/>
                  <w:sz w:val="16"/>
                  <w:szCs w:val="16"/>
                  <w:color w:val="4B4B4B"/>
                </w:rPr>
                <w:t>24</w:t>
              </w:r>
            </w:hyperlink>
          </w:p>
        </w:tc>
      </w:tr>
      <w:tr>
        <w:trPr>
          <w:trHeight w:val="20"/>
        </w:trPr>
        <w:tc>
          <w:tcPr>
            <w:tcW w:w="160" w:type="dxa"/>
            <w:vAlign w:val="bottom"/>
          </w:tcPr>
          <w:p>
            <w:pPr>
              <w:spacing w:after="0" w:line="20" w:lineRule="exact"/>
              <w:rPr>
                <w:sz w:val="1"/>
                <w:szCs w:val="1"/>
                <w:color w:val="auto"/>
              </w:rPr>
            </w:pPr>
          </w:p>
        </w:tc>
        <w:tc>
          <w:tcPr>
            <w:tcW w:w="1160" w:type="dxa"/>
            <w:vAlign w:val="bottom"/>
            <w:gridSpan w:val="3"/>
            <w:shd w:val="clear" w:color="auto" w:fill="4B4B4B"/>
          </w:tcPr>
          <w:p>
            <w:pPr>
              <w:spacing w:after="0" w:line="20" w:lineRule="exact"/>
              <w:rPr>
                <w:sz w:val="1"/>
                <w:szCs w:val="1"/>
                <w:color w:val="auto"/>
              </w:rPr>
            </w:pPr>
          </w:p>
        </w:tc>
        <w:tc>
          <w:tcPr>
            <w:tcW w:w="260" w:type="dxa"/>
            <w:vAlign w:val="bottom"/>
            <w:tcBorders>
              <w:left w:val="single" w:sz="8" w:color="4B4B4B"/>
            </w:tcBorders>
            <w:gridSpan w:val="2"/>
            <w:shd w:val="clear" w:color="auto" w:fill="4B4B4B"/>
          </w:tcPr>
          <w:p>
            <w:pPr>
              <w:spacing w:after="0" w:line="20" w:lineRule="exact"/>
              <w:rPr>
                <w:sz w:val="1"/>
                <w:szCs w:val="1"/>
                <w:color w:val="auto"/>
              </w:rPr>
            </w:pPr>
          </w:p>
        </w:tc>
        <w:tc>
          <w:tcPr>
            <w:tcW w:w="40" w:type="dxa"/>
            <w:vAlign w:val="bottom"/>
            <w:shd w:val="clear" w:color="auto" w:fill="4B4B4B"/>
          </w:tcPr>
          <w:p>
            <w:pPr>
              <w:spacing w:after="0" w:line="20" w:lineRule="exact"/>
              <w:rPr>
                <w:sz w:val="1"/>
                <w:szCs w:val="1"/>
                <w:color w:val="auto"/>
              </w:rPr>
            </w:pPr>
          </w:p>
        </w:tc>
        <w:tc>
          <w:tcPr>
            <w:tcW w:w="200" w:type="dxa"/>
            <w:vAlign w:val="bottom"/>
            <w:shd w:val="clear" w:color="auto" w:fill="4B4B4B"/>
          </w:tcPr>
          <w:p>
            <w:pPr>
              <w:spacing w:after="0" w:line="20" w:lineRule="exact"/>
              <w:rPr>
                <w:sz w:val="1"/>
                <w:szCs w:val="1"/>
                <w:color w:val="auto"/>
              </w:rPr>
            </w:pPr>
          </w:p>
        </w:tc>
        <w:tc>
          <w:tcPr>
            <w:tcW w:w="420" w:type="dxa"/>
            <w:vAlign w:val="bottom"/>
            <w:gridSpan w:val="2"/>
            <w:shd w:val="clear" w:color="auto" w:fill="4B4B4B"/>
          </w:tcPr>
          <w:p>
            <w:pPr>
              <w:spacing w:after="0" w:line="20" w:lineRule="exact"/>
              <w:rPr>
                <w:sz w:val="1"/>
                <w:szCs w:val="1"/>
                <w:color w:val="auto"/>
              </w:rPr>
            </w:pPr>
          </w:p>
        </w:tc>
        <w:tc>
          <w:tcPr>
            <w:tcW w:w="80" w:type="dxa"/>
            <w:vAlign w:val="bottom"/>
            <w:gridSpan w:val="2"/>
            <w:shd w:val="clear" w:color="auto" w:fill="4B4B4B"/>
          </w:tcPr>
          <w:p>
            <w:pPr>
              <w:spacing w:after="0" w:line="20" w:lineRule="exact"/>
              <w:rPr>
                <w:sz w:val="1"/>
                <w:szCs w:val="1"/>
                <w:color w:val="auto"/>
              </w:rPr>
            </w:pPr>
          </w:p>
        </w:tc>
        <w:tc>
          <w:tcPr>
            <w:tcW w:w="140" w:type="dxa"/>
            <w:vAlign w:val="bottom"/>
            <w:shd w:val="clear" w:color="auto" w:fill="4B4B4B"/>
          </w:tcPr>
          <w:p>
            <w:pPr>
              <w:spacing w:after="0" w:line="20" w:lineRule="exact"/>
              <w:rPr>
                <w:sz w:val="1"/>
                <w:szCs w:val="1"/>
                <w:color w:val="auto"/>
              </w:rPr>
            </w:pPr>
          </w:p>
        </w:tc>
        <w:tc>
          <w:tcPr>
            <w:tcW w:w="100" w:type="dxa"/>
            <w:vAlign w:val="bottom"/>
            <w:shd w:val="clear" w:color="auto" w:fill="4B4B4B"/>
          </w:tcPr>
          <w:p>
            <w:pPr>
              <w:spacing w:after="0" w:line="20" w:lineRule="exact"/>
              <w:rPr>
                <w:sz w:val="1"/>
                <w:szCs w:val="1"/>
                <w:color w:val="auto"/>
              </w:rPr>
            </w:pPr>
          </w:p>
        </w:tc>
        <w:tc>
          <w:tcPr>
            <w:tcW w:w="320" w:type="dxa"/>
            <w:vAlign w:val="bottom"/>
            <w:shd w:val="clear" w:color="auto" w:fill="4B4B4B"/>
          </w:tcPr>
          <w:p>
            <w:pPr>
              <w:spacing w:after="0" w:line="20" w:lineRule="exact"/>
              <w:rPr>
                <w:sz w:val="1"/>
                <w:szCs w:val="1"/>
                <w:color w:val="auto"/>
              </w:rPr>
            </w:pPr>
          </w:p>
        </w:tc>
        <w:tc>
          <w:tcPr>
            <w:tcW w:w="380" w:type="dxa"/>
            <w:vAlign w:val="bottom"/>
            <w:shd w:val="clear" w:color="auto" w:fill="4B4B4B"/>
          </w:tcPr>
          <w:p>
            <w:pPr>
              <w:spacing w:after="0" w:line="20" w:lineRule="exact"/>
              <w:rPr>
                <w:sz w:val="1"/>
                <w:szCs w:val="1"/>
                <w:color w:val="auto"/>
              </w:rPr>
            </w:pPr>
          </w:p>
        </w:tc>
        <w:tc>
          <w:tcPr>
            <w:tcW w:w="140" w:type="dxa"/>
            <w:vAlign w:val="bottom"/>
            <w:shd w:val="clear" w:color="auto" w:fill="4B4B4B"/>
          </w:tcPr>
          <w:p>
            <w:pPr>
              <w:spacing w:after="0" w:line="20" w:lineRule="exact"/>
              <w:rPr>
                <w:sz w:val="1"/>
                <w:szCs w:val="1"/>
                <w:color w:val="auto"/>
              </w:rPr>
            </w:pPr>
          </w:p>
        </w:tc>
        <w:tc>
          <w:tcPr>
            <w:tcW w:w="160" w:type="dxa"/>
            <w:vAlign w:val="bottom"/>
            <w:shd w:val="clear" w:color="auto" w:fill="4B4B4B"/>
          </w:tcPr>
          <w:p>
            <w:pPr>
              <w:spacing w:after="0" w:line="20" w:lineRule="exact"/>
              <w:rPr>
                <w:sz w:val="1"/>
                <w:szCs w:val="1"/>
                <w:color w:val="auto"/>
              </w:rPr>
            </w:pPr>
          </w:p>
        </w:tc>
        <w:tc>
          <w:tcPr>
            <w:tcW w:w="60" w:type="dxa"/>
            <w:vAlign w:val="bottom"/>
            <w:shd w:val="clear" w:color="auto" w:fill="4B4B4B"/>
          </w:tcPr>
          <w:p>
            <w:pPr>
              <w:spacing w:after="0" w:line="20" w:lineRule="exact"/>
              <w:rPr>
                <w:sz w:val="1"/>
                <w:szCs w:val="1"/>
                <w:color w:val="auto"/>
              </w:rPr>
            </w:pPr>
          </w:p>
        </w:tc>
        <w:tc>
          <w:tcPr>
            <w:tcW w:w="200" w:type="dxa"/>
            <w:vAlign w:val="bottom"/>
            <w:shd w:val="clear" w:color="auto" w:fill="4B4B4B"/>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4820" w:type="dxa"/>
            <w:vAlign w:val="bottom"/>
            <w:gridSpan w:val="26"/>
          </w:tcPr>
          <w:p>
            <w:pPr>
              <w:spacing w:after="0"/>
              <w:rPr>
                <w:rFonts w:ascii="Arial" w:cs="Arial" w:eastAsia="Arial" w:hAnsi="Arial"/>
                <w:sz w:val="16"/>
                <w:szCs w:val="16"/>
                <w:color w:val="4B4B4B"/>
              </w:rPr>
            </w:pPr>
            <w:hyperlink w:anchor="page29">
              <w:r>
                <w:rPr>
                  <w:rFonts w:ascii="Arial" w:cs="Arial" w:eastAsia="Arial" w:hAnsi="Arial"/>
                  <w:sz w:val="16"/>
                  <w:szCs w:val="16"/>
                  <w:color w:val="4B4B4B"/>
                </w:rPr>
                <w:t>Board and Board Committee Meetings and Attendance</w:t>
              </w:r>
            </w:hyperlink>
          </w:p>
        </w:tc>
        <w:tc>
          <w:tcPr>
            <w:tcW w:w="6020" w:type="dxa"/>
            <w:vAlign w:val="bottom"/>
          </w:tcPr>
          <w:p>
            <w:pPr>
              <w:jc w:val="right"/>
              <w:spacing w:after="0"/>
              <w:rPr>
                <w:rFonts w:ascii="Arial" w:cs="Arial" w:eastAsia="Arial" w:hAnsi="Arial"/>
                <w:sz w:val="16"/>
                <w:szCs w:val="16"/>
                <w:color w:val="4B4B4B"/>
              </w:rPr>
            </w:pPr>
            <w:hyperlink w:anchor="page29">
              <w:r>
                <w:rPr>
                  <w:rFonts w:ascii="Arial" w:cs="Arial" w:eastAsia="Arial" w:hAnsi="Arial"/>
                  <w:sz w:val="16"/>
                  <w:szCs w:val="16"/>
                  <w:color w:val="4B4B4B"/>
                </w:rPr>
                <w:t>24</w:t>
              </w:r>
            </w:hyperlink>
          </w:p>
        </w:tc>
      </w:tr>
      <w:tr>
        <w:trPr>
          <w:trHeight w:val="237"/>
        </w:trPr>
        <w:tc>
          <w:tcPr>
            <w:tcW w:w="160" w:type="dxa"/>
            <w:vAlign w:val="bottom"/>
          </w:tcPr>
          <w:p>
            <w:pPr>
              <w:spacing w:after="0"/>
              <w:rPr>
                <w:sz w:val="20"/>
                <w:szCs w:val="20"/>
                <w:color w:val="auto"/>
              </w:rPr>
            </w:pPr>
          </w:p>
        </w:tc>
        <w:tc>
          <w:tcPr>
            <w:tcW w:w="1420" w:type="dxa"/>
            <w:vAlign w:val="bottom"/>
            <w:tcBorders>
              <w:top w:val="single" w:sz="8" w:color="4B4B4B"/>
              <w:bottom w:val="single" w:sz="8" w:color="4B4B4B"/>
            </w:tcBorders>
            <w:gridSpan w:val="5"/>
          </w:tcPr>
          <w:p>
            <w:pPr>
              <w:spacing w:after="0"/>
              <w:rPr>
                <w:rFonts w:ascii="Arial" w:cs="Arial" w:eastAsia="Arial" w:hAnsi="Arial"/>
                <w:sz w:val="16"/>
                <w:szCs w:val="16"/>
                <w:color w:val="4B4B4B"/>
              </w:rPr>
            </w:pPr>
            <w:hyperlink w:anchor="page29">
              <w:r>
                <w:rPr>
                  <w:rFonts w:ascii="Arial" w:cs="Arial" w:eastAsia="Arial" w:hAnsi="Arial"/>
                  <w:sz w:val="16"/>
                  <w:szCs w:val="16"/>
                  <w:color w:val="4B4B4B"/>
                </w:rPr>
                <w:t>Executive Sessions</w:t>
              </w:r>
            </w:hyperlink>
          </w:p>
        </w:tc>
        <w:tc>
          <w:tcPr>
            <w:tcW w:w="2520" w:type="dxa"/>
            <w:vAlign w:val="bottom"/>
            <w:tcBorders>
              <w:top w:val="single" w:sz="8" w:color="4B4B4B"/>
            </w:tcBorders>
            <w:gridSpan w:val="15"/>
          </w:tcPr>
          <w:p>
            <w:pPr>
              <w:spacing w:after="0"/>
              <w:rPr>
                <w:sz w:val="20"/>
                <w:szCs w:val="20"/>
                <w:color w:val="auto"/>
              </w:rPr>
            </w:pPr>
          </w:p>
        </w:tc>
        <w:tc>
          <w:tcPr>
            <w:tcW w:w="880" w:type="dxa"/>
            <w:vAlign w:val="bottom"/>
            <w:gridSpan w:val="6"/>
          </w:tcPr>
          <w:p>
            <w:pPr>
              <w:spacing w:after="0"/>
              <w:rPr>
                <w:sz w:val="20"/>
                <w:szCs w:val="20"/>
                <w:color w:val="auto"/>
              </w:rPr>
            </w:pPr>
          </w:p>
        </w:tc>
        <w:tc>
          <w:tcPr>
            <w:tcW w:w="6020" w:type="dxa"/>
            <w:vAlign w:val="bottom"/>
          </w:tcPr>
          <w:p>
            <w:pPr>
              <w:jc w:val="right"/>
              <w:spacing w:after="0"/>
              <w:rPr>
                <w:rFonts w:ascii="Arial" w:cs="Arial" w:eastAsia="Arial" w:hAnsi="Arial"/>
                <w:sz w:val="16"/>
                <w:szCs w:val="16"/>
                <w:color w:val="4B4B4B"/>
              </w:rPr>
            </w:pPr>
            <w:hyperlink w:anchor="page29">
              <w:r>
                <w:rPr>
                  <w:rFonts w:ascii="Arial" w:cs="Arial" w:eastAsia="Arial" w:hAnsi="Arial"/>
                  <w:sz w:val="16"/>
                  <w:szCs w:val="16"/>
                  <w:color w:val="4B4B4B"/>
                </w:rPr>
                <w:t>24</w:t>
              </w:r>
            </w:hyperlink>
          </w:p>
        </w:tc>
      </w:tr>
      <w:tr>
        <w:trPr>
          <w:trHeight w:val="236"/>
        </w:trPr>
        <w:tc>
          <w:tcPr>
            <w:tcW w:w="160" w:type="dxa"/>
            <w:vAlign w:val="bottom"/>
          </w:tcPr>
          <w:p>
            <w:pPr>
              <w:spacing w:after="0"/>
              <w:rPr>
                <w:sz w:val="20"/>
                <w:szCs w:val="20"/>
                <w:color w:val="auto"/>
              </w:rPr>
            </w:pPr>
          </w:p>
        </w:tc>
        <w:tc>
          <w:tcPr>
            <w:tcW w:w="3960" w:type="dxa"/>
            <w:vAlign w:val="bottom"/>
            <w:tcBorders>
              <w:bottom w:val="single" w:sz="8" w:color="4B4B4B"/>
            </w:tcBorders>
            <w:gridSpan w:val="21"/>
          </w:tcPr>
          <w:p>
            <w:pPr>
              <w:spacing w:after="0"/>
              <w:rPr>
                <w:rFonts w:ascii="Arial" w:cs="Arial" w:eastAsia="Arial" w:hAnsi="Arial"/>
                <w:sz w:val="16"/>
                <w:szCs w:val="16"/>
                <w:color w:val="4B4B4B"/>
              </w:rPr>
            </w:pPr>
            <w:hyperlink w:anchor="page29">
              <w:r>
                <w:rPr>
                  <w:rFonts w:ascii="Arial" w:cs="Arial" w:eastAsia="Arial" w:hAnsi="Arial"/>
                  <w:sz w:val="16"/>
                  <w:szCs w:val="16"/>
                  <w:color w:val="4B4B4B"/>
                </w:rPr>
                <w:t>Director Attendance at Annual Meeting of Stockholders</w:t>
              </w:r>
            </w:hyperlink>
          </w:p>
        </w:tc>
        <w:tc>
          <w:tcPr>
            <w:tcW w:w="860" w:type="dxa"/>
            <w:vAlign w:val="bottom"/>
            <w:gridSpan w:val="5"/>
          </w:tcPr>
          <w:p>
            <w:pPr>
              <w:spacing w:after="0"/>
              <w:rPr>
                <w:sz w:val="20"/>
                <w:szCs w:val="20"/>
                <w:color w:val="auto"/>
              </w:rPr>
            </w:pPr>
          </w:p>
        </w:tc>
        <w:tc>
          <w:tcPr>
            <w:tcW w:w="6020" w:type="dxa"/>
            <w:vAlign w:val="bottom"/>
          </w:tcPr>
          <w:p>
            <w:pPr>
              <w:jc w:val="right"/>
              <w:spacing w:after="0"/>
              <w:rPr>
                <w:rFonts w:ascii="Arial" w:cs="Arial" w:eastAsia="Arial" w:hAnsi="Arial"/>
                <w:sz w:val="16"/>
                <w:szCs w:val="16"/>
                <w:color w:val="4B4B4B"/>
              </w:rPr>
            </w:pPr>
            <w:hyperlink w:anchor="page29">
              <w:r>
                <w:rPr>
                  <w:rFonts w:ascii="Arial" w:cs="Arial" w:eastAsia="Arial" w:hAnsi="Arial"/>
                  <w:sz w:val="16"/>
                  <w:szCs w:val="16"/>
                  <w:color w:val="4B4B4B"/>
                </w:rPr>
                <w:t>25</w:t>
              </w:r>
            </w:hyperlink>
          </w:p>
        </w:tc>
      </w:tr>
      <w:tr>
        <w:trPr>
          <w:trHeight w:val="237"/>
        </w:trPr>
        <w:tc>
          <w:tcPr>
            <w:tcW w:w="160" w:type="dxa"/>
            <w:vAlign w:val="bottom"/>
          </w:tcPr>
          <w:p>
            <w:pPr>
              <w:spacing w:after="0"/>
              <w:rPr>
                <w:sz w:val="20"/>
                <w:szCs w:val="20"/>
                <w:color w:val="auto"/>
              </w:rPr>
            </w:pPr>
          </w:p>
        </w:tc>
        <w:tc>
          <w:tcPr>
            <w:tcW w:w="2160" w:type="dxa"/>
            <w:vAlign w:val="bottom"/>
            <w:tcBorders>
              <w:bottom w:val="single" w:sz="8" w:color="4B4B4B"/>
            </w:tcBorders>
            <w:gridSpan w:val="11"/>
          </w:tcPr>
          <w:p>
            <w:pPr>
              <w:spacing w:after="0"/>
              <w:rPr>
                <w:rFonts w:ascii="Arial" w:cs="Arial" w:eastAsia="Arial" w:hAnsi="Arial"/>
                <w:sz w:val="16"/>
                <w:szCs w:val="16"/>
                <w:color w:val="4B4B4B"/>
              </w:rPr>
            </w:pPr>
            <w:hyperlink w:anchor="page30">
              <w:r>
                <w:rPr>
                  <w:rFonts w:ascii="Arial" w:cs="Arial" w:eastAsia="Arial" w:hAnsi="Arial"/>
                  <w:sz w:val="16"/>
                  <w:szCs w:val="16"/>
                  <w:color w:val="4B4B4B"/>
                </w:rPr>
                <w:t>Director Nominations Process</w:t>
              </w:r>
            </w:hyperlink>
          </w:p>
        </w:tc>
        <w:tc>
          <w:tcPr>
            <w:tcW w:w="2660" w:type="dxa"/>
            <w:vAlign w:val="bottom"/>
            <w:gridSpan w:val="15"/>
          </w:tcPr>
          <w:p>
            <w:pPr>
              <w:spacing w:after="0"/>
              <w:rPr>
                <w:sz w:val="20"/>
                <w:szCs w:val="20"/>
                <w:color w:val="auto"/>
              </w:rPr>
            </w:pPr>
          </w:p>
        </w:tc>
        <w:tc>
          <w:tcPr>
            <w:tcW w:w="6020" w:type="dxa"/>
            <w:vAlign w:val="bottom"/>
          </w:tcPr>
          <w:p>
            <w:pPr>
              <w:jc w:val="right"/>
              <w:spacing w:after="0"/>
              <w:rPr>
                <w:rFonts w:ascii="Arial" w:cs="Arial" w:eastAsia="Arial" w:hAnsi="Arial"/>
                <w:sz w:val="16"/>
                <w:szCs w:val="16"/>
                <w:color w:val="4B4B4B"/>
              </w:rPr>
            </w:pPr>
            <w:hyperlink w:anchor="page30">
              <w:r>
                <w:rPr>
                  <w:rFonts w:ascii="Arial" w:cs="Arial" w:eastAsia="Arial" w:hAnsi="Arial"/>
                  <w:sz w:val="16"/>
                  <w:szCs w:val="16"/>
                  <w:color w:val="4B4B4B"/>
                </w:rPr>
                <w:t>25</w:t>
              </w:r>
            </w:hyperlink>
          </w:p>
        </w:tc>
      </w:tr>
      <w:tr>
        <w:trPr>
          <w:trHeight w:val="236"/>
        </w:trPr>
        <w:tc>
          <w:tcPr>
            <w:tcW w:w="160" w:type="dxa"/>
            <w:vAlign w:val="bottom"/>
          </w:tcPr>
          <w:p>
            <w:pPr>
              <w:spacing w:after="0"/>
              <w:rPr>
                <w:sz w:val="20"/>
                <w:szCs w:val="20"/>
                <w:color w:val="auto"/>
              </w:rPr>
            </w:pPr>
          </w:p>
        </w:tc>
        <w:tc>
          <w:tcPr>
            <w:tcW w:w="4820" w:type="dxa"/>
            <w:vAlign w:val="bottom"/>
            <w:gridSpan w:val="26"/>
          </w:tcPr>
          <w:p>
            <w:pPr>
              <w:spacing w:after="0"/>
              <w:rPr>
                <w:rFonts w:ascii="Arial" w:cs="Arial" w:eastAsia="Arial" w:hAnsi="Arial"/>
                <w:sz w:val="16"/>
                <w:szCs w:val="16"/>
                <w:color w:val="4B4B4B"/>
              </w:rPr>
            </w:pPr>
            <w:hyperlink w:anchor="page31">
              <w:r>
                <w:rPr>
                  <w:rFonts w:ascii="Arial" w:cs="Arial" w:eastAsia="Arial" w:hAnsi="Arial"/>
                  <w:sz w:val="16"/>
                  <w:szCs w:val="16"/>
                  <w:color w:val="4B4B4B"/>
                </w:rPr>
                <w:t>Board Role in Risk Oversight</w:t>
              </w:r>
            </w:hyperlink>
          </w:p>
        </w:tc>
        <w:tc>
          <w:tcPr>
            <w:tcW w:w="6020" w:type="dxa"/>
            <w:vAlign w:val="bottom"/>
          </w:tcPr>
          <w:p>
            <w:pPr>
              <w:jc w:val="right"/>
              <w:spacing w:after="0"/>
              <w:rPr>
                <w:rFonts w:ascii="Arial" w:cs="Arial" w:eastAsia="Arial" w:hAnsi="Arial"/>
                <w:sz w:val="16"/>
                <w:szCs w:val="16"/>
                <w:color w:val="4B4B4B"/>
              </w:rPr>
            </w:pPr>
            <w:hyperlink w:anchor="page31">
              <w:r>
                <w:rPr>
                  <w:rFonts w:ascii="Arial" w:cs="Arial" w:eastAsia="Arial" w:hAnsi="Arial"/>
                  <w:sz w:val="16"/>
                  <w:szCs w:val="16"/>
                  <w:color w:val="4B4B4B"/>
                </w:rPr>
                <w:t>26</w:t>
              </w:r>
            </w:hyperlink>
          </w:p>
        </w:tc>
      </w:tr>
      <w:tr>
        <w:trPr>
          <w:trHeight w:val="20"/>
        </w:trPr>
        <w:tc>
          <w:tcPr>
            <w:tcW w:w="160" w:type="dxa"/>
            <w:vAlign w:val="bottom"/>
          </w:tcPr>
          <w:p>
            <w:pPr>
              <w:spacing w:after="0" w:line="20" w:lineRule="exact"/>
              <w:rPr>
                <w:sz w:val="1"/>
                <w:szCs w:val="1"/>
                <w:color w:val="auto"/>
              </w:rPr>
            </w:pPr>
          </w:p>
        </w:tc>
        <w:tc>
          <w:tcPr>
            <w:tcW w:w="1160" w:type="dxa"/>
            <w:vAlign w:val="bottom"/>
            <w:gridSpan w:val="3"/>
            <w:shd w:val="clear" w:color="auto" w:fill="4B4B4B"/>
          </w:tcPr>
          <w:p>
            <w:pPr>
              <w:spacing w:after="0" w:line="20" w:lineRule="exact"/>
              <w:rPr>
                <w:sz w:val="1"/>
                <w:szCs w:val="1"/>
                <w:color w:val="auto"/>
              </w:rPr>
            </w:pPr>
          </w:p>
        </w:tc>
        <w:tc>
          <w:tcPr>
            <w:tcW w:w="260" w:type="dxa"/>
            <w:vAlign w:val="bottom"/>
            <w:tcBorders>
              <w:left w:val="single" w:sz="8" w:color="4B4B4B"/>
            </w:tcBorders>
            <w:gridSpan w:val="2"/>
            <w:shd w:val="clear" w:color="auto" w:fill="4B4B4B"/>
          </w:tcPr>
          <w:p>
            <w:pPr>
              <w:spacing w:after="0" w:line="20" w:lineRule="exact"/>
              <w:rPr>
                <w:sz w:val="1"/>
                <w:szCs w:val="1"/>
                <w:color w:val="auto"/>
              </w:rPr>
            </w:pPr>
          </w:p>
        </w:tc>
        <w:tc>
          <w:tcPr>
            <w:tcW w:w="40" w:type="dxa"/>
            <w:vAlign w:val="bottom"/>
            <w:shd w:val="clear" w:color="auto" w:fill="4B4B4B"/>
          </w:tcPr>
          <w:p>
            <w:pPr>
              <w:spacing w:after="0" w:line="20" w:lineRule="exact"/>
              <w:rPr>
                <w:sz w:val="1"/>
                <w:szCs w:val="1"/>
                <w:color w:val="auto"/>
              </w:rPr>
            </w:pPr>
          </w:p>
        </w:tc>
        <w:tc>
          <w:tcPr>
            <w:tcW w:w="200" w:type="dxa"/>
            <w:vAlign w:val="bottom"/>
            <w:shd w:val="clear" w:color="auto" w:fill="4B4B4B"/>
          </w:tcPr>
          <w:p>
            <w:pPr>
              <w:spacing w:after="0" w:line="20" w:lineRule="exact"/>
              <w:rPr>
                <w:sz w:val="1"/>
                <w:szCs w:val="1"/>
                <w:color w:val="auto"/>
              </w:rPr>
            </w:pPr>
          </w:p>
        </w:tc>
        <w:tc>
          <w:tcPr>
            <w:tcW w:w="420" w:type="dxa"/>
            <w:vAlign w:val="bottom"/>
            <w:gridSpan w:val="2"/>
            <w:shd w:val="clear" w:color="auto" w:fill="4B4B4B"/>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4280" w:type="dxa"/>
            <w:vAlign w:val="bottom"/>
            <w:tcBorders>
              <w:bottom w:val="single" w:sz="8" w:color="4B4B4B"/>
            </w:tcBorders>
            <w:gridSpan w:val="23"/>
          </w:tcPr>
          <w:p>
            <w:pPr>
              <w:spacing w:after="0"/>
              <w:rPr>
                <w:rFonts w:ascii="Arial" w:cs="Arial" w:eastAsia="Arial" w:hAnsi="Arial"/>
                <w:sz w:val="16"/>
                <w:szCs w:val="16"/>
                <w:color w:val="4B4B4B"/>
              </w:rPr>
            </w:pPr>
            <w:hyperlink w:anchor="page31">
              <w:r>
                <w:rPr>
                  <w:rFonts w:ascii="Arial" w:cs="Arial" w:eastAsia="Arial" w:hAnsi="Arial"/>
                  <w:sz w:val="16"/>
                  <w:szCs w:val="16"/>
                  <w:color w:val="4B4B4B"/>
                </w:rPr>
                <w:t>Committee Charters and Corporate Governance Guidelines</w:t>
              </w:r>
            </w:hyperlink>
          </w:p>
        </w:tc>
        <w:tc>
          <w:tcPr>
            <w:tcW w:w="540" w:type="dxa"/>
            <w:vAlign w:val="bottom"/>
            <w:gridSpan w:val="3"/>
          </w:tcPr>
          <w:p>
            <w:pPr>
              <w:spacing w:after="0"/>
              <w:rPr>
                <w:sz w:val="20"/>
                <w:szCs w:val="20"/>
                <w:color w:val="auto"/>
              </w:rPr>
            </w:pPr>
          </w:p>
        </w:tc>
        <w:tc>
          <w:tcPr>
            <w:tcW w:w="6020" w:type="dxa"/>
            <w:vAlign w:val="bottom"/>
          </w:tcPr>
          <w:p>
            <w:pPr>
              <w:jc w:val="right"/>
              <w:spacing w:after="0"/>
              <w:rPr>
                <w:rFonts w:ascii="Arial" w:cs="Arial" w:eastAsia="Arial" w:hAnsi="Arial"/>
                <w:sz w:val="16"/>
                <w:szCs w:val="16"/>
                <w:color w:val="4B4B4B"/>
              </w:rPr>
            </w:pPr>
            <w:hyperlink w:anchor="page31">
              <w:r>
                <w:rPr>
                  <w:rFonts w:ascii="Arial" w:cs="Arial" w:eastAsia="Arial" w:hAnsi="Arial"/>
                  <w:sz w:val="16"/>
                  <w:szCs w:val="16"/>
                  <w:color w:val="4B4B4B"/>
                </w:rPr>
                <w:t>27</w:t>
              </w:r>
            </w:hyperlink>
          </w:p>
        </w:tc>
      </w:tr>
      <w:tr>
        <w:trPr>
          <w:trHeight w:val="237"/>
        </w:trPr>
        <w:tc>
          <w:tcPr>
            <w:tcW w:w="160" w:type="dxa"/>
            <w:vAlign w:val="bottom"/>
          </w:tcPr>
          <w:p>
            <w:pPr>
              <w:spacing w:after="0"/>
              <w:rPr>
                <w:sz w:val="20"/>
                <w:szCs w:val="20"/>
                <w:color w:val="auto"/>
              </w:rPr>
            </w:pPr>
          </w:p>
        </w:tc>
        <w:tc>
          <w:tcPr>
            <w:tcW w:w="4820" w:type="dxa"/>
            <w:vAlign w:val="bottom"/>
            <w:gridSpan w:val="26"/>
          </w:tcPr>
          <w:p>
            <w:pPr>
              <w:spacing w:after="0"/>
              <w:rPr>
                <w:rFonts w:ascii="Arial" w:cs="Arial" w:eastAsia="Arial" w:hAnsi="Arial"/>
                <w:sz w:val="16"/>
                <w:szCs w:val="16"/>
                <w:color w:val="4B4B4B"/>
              </w:rPr>
            </w:pPr>
            <w:hyperlink w:anchor="page32">
              <w:r>
                <w:rPr>
                  <w:rFonts w:ascii="Arial" w:cs="Arial" w:eastAsia="Arial" w:hAnsi="Arial"/>
                  <w:sz w:val="16"/>
                  <w:szCs w:val="16"/>
                  <w:color w:val="4B4B4B"/>
                </w:rPr>
                <w:t>Code of Business Conduct and Ethics</w:t>
              </w:r>
            </w:hyperlink>
          </w:p>
        </w:tc>
        <w:tc>
          <w:tcPr>
            <w:tcW w:w="6020" w:type="dxa"/>
            <w:vAlign w:val="bottom"/>
          </w:tcPr>
          <w:p>
            <w:pPr>
              <w:jc w:val="right"/>
              <w:spacing w:after="0"/>
              <w:rPr>
                <w:rFonts w:ascii="Arial" w:cs="Arial" w:eastAsia="Arial" w:hAnsi="Arial"/>
                <w:sz w:val="16"/>
                <w:szCs w:val="16"/>
                <w:color w:val="4B4B4B"/>
              </w:rPr>
            </w:pPr>
            <w:hyperlink w:anchor="page32">
              <w:r>
                <w:rPr>
                  <w:rFonts w:ascii="Arial" w:cs="Arial" w:eastAsia="Arial" w:hAnsi="Arial"/>
                  <w:sz w:val="16"/>
                  <w:szCs w:val="16"/>
                  <w:color w:val="4B4B4B"/>
                </w:rPr>
                <w:t>27</w:t>
              </w:r>
            </w:hyperlink>
          </w:p>
        </w:tc>
      </w:tr>
      <w:tr>
        <w:trPr>
          <w:trHeight w:val="236"/>
        </w:trPr>
        <w:tc>
          <w:tcPr>
            <w:tcW w:w="160" w:type="dxa"/>
            <w:vAlign w:val="bottom"/>
          </w:tcPr>
          <w:p>
            <w:pPr>
              <w:spacing w:after="0"/>
              <w:rPr>
                <w:sz w:val="20"/>
                <w:szCs w:val="20"/>
                <w:color w:val="auto"/>
              </w:rPr>
            </w:pPr>
          </w:p>
        </w:tc>
        <w:tc>
          <w:tcPr>
            <w:tcW w:w="2720" w:type="dxa"/>
            <w:vAlign w:val="bottom"/>
            <w:tcBorders>
              <w:top w:val="single" w:sz="8" w:color="4B4B4B"/>
            </w:tcBorders>
            <w:gridSpan w:val="14"/>
          </w:tcPr>
          <w:p>
            <w:pPr>
              <w:spacing w:after="0"/>
              <w:rPr>
                <w:rFonts w:ascii="Arial" w:cs="Arial" w:eastAsia="Arial" w:hAnsi="Arial"/>
                <w:sz w:val="16"/>
                <w:szCs w:val="16"/>
                <w:color w:val="4B4B4B"/>
              </w:rPr>
            </w:pPr>
            <w:hyperlink w:anchor="page32">
              <w:r>
                <w:rPr>
                  <w:rFonts w:ascii="Arial" w:cs="Arial" w:eastAsia="Arial" w:hAnsi="Arial"/>
                  <w:sz w:val="16"/>
                  <w:szCs w:val="16"/>
                  <w:color w:val="4B4B4B"/>
                </w:rPr>
                <w:t>Anti-Hedging Policy</w:t>
              </w:r>
            </w:hyperlink>
          </w:p>
        </w:tc>
        <w:tc>
          <w:tcPr>
            <w:tcW w:w="2100" w:type="dxa"/>
            <w:vAlign w:val="bottom"/>
            <w:gridSpan w:val="12"/>
          </w:tcPr>
          <w:p>
            <w:pPr>
              <w:spacing w:after="0"/>
              <w:rPr>
                <w:sz w:val="20"/>
                <w:szCs w:val="20"/>
                <w:color w:val="auto"/>
              </w:rPr>
            </w:pPr>
          </w:p>
        </w:tc>
        <w:tc>
          <w:tcPr>
            <w:tcW w:w="6020" w:type="dxa"/>
            <w:vAlign w:val="bottom"/>
          </w:tcPr>
          <w:p>
            <w:pPr>
              <w:jc w:val="right"/>
              <w:spacing w:after="0"/>
              <w:rPr>
                <w:rFonts w:ascii="Arial" w:cs="Arial" w:eastAsia="Arial" w:hAnsi="Arial"/>
                <w:sz w:val="16"/>
                <w:szCs w:val="16"/>
                <w:color w:val="4B4B4B"/>
              </w:rPr>
            </w:pPr>
            <w:hyperlink w:anchor="page32">
              <w:r>
                <w:rPr>
                  <w:rFonts w:ascii="Arial" w:cs="Arial" w:eastAsia="Arial" w:hAnsi="Arial"/>
                  <w:sz w:val="16"/>
                  <w:szCs w:val="16"/>
                  <w:color w:val="4B4B4B"/>
                </w:rPr>
                <w:t>27</w:t>
              </w:r>
            </w:hyperlink>
          </w:p>
        </w:tc>
      </w:tr>
      <w:tr>
        <w:trPr>
          <w:trHeight w:val="20"/>
        </w:trPr>
        <w:tc>
          <w:tcPr>
            <w:tcW w:w="160" w:type="dxa"/>
            <w:vAlign w:val="bottom"/>
          </w:tcPr>
          <w:p>
            <w:pPr>
              <w:spacing w:after="0" w:line="20" w:lineRule="exact"/>
              <w:rPr>
                <w:sz w:val="1"/>
                <w:szCs w:val="1"/>
                <w:color w:val="auto"/>
              </w:rPr>
            </w:pPr>
          </w:p>
        </w:tc>
        <w:tc>
          <w:tcPr>
            <w:tcW w:w="1160" w:type="dxa"/>
            <w:vAlign w:val="bottom"/>
            <w:gridSpan w:val="3"/>
            <w:shd w:val="clear" w:color="auto" w:fill="4B4B4B"/>
          </w:tcPr>
          <w:p>
            <w:pPr>
              <w:spacing w:after="0" w:line="20" w:lineRule="exact"/>
              <w:rPr>
                <w:sz w:val="1"/>
                <w:szCs w:val="1"/>
                <w:color w:val="auto"/>
              </w:rPr>
            </w:pPr>
          </w:p>
        </w:tc>
        <w:tc>
          <w:tcPr>
            <w:tcW w:w="260" w:type="dxa"/>
            <w:vAlign w:val="bottom"/>
            <w:tcBorders>
              <w:left w:val="single" w:sz="8" w:color="4B4B4B"/>
            </w:tcBorders>
            <w:gridSpan w:val="2"/>
            <w:shd w:val="clear" w:color="auto" w:fill="4B4B4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2300" w:type="dxa"/>
            <w:vAlign w:val="bottom"/>
            <w:tcBorders>
              <w:bottom w:val="single" w:sz="8" w:color="4B4B4B"/>
            </w:tcBorders>
            <w:gridSpan w:val="12"/>
          </w:tcPr>
          <w:p>
            <w:pPr>
              <w:spacing w:after="0"/>
              <w:rPr>
                <w:rFonts w:ascii="Arial" w:cs="Arial" w:eastAsia="Arial" w:hAnsi="Arial"/>
                <w:sz w:val="16"/>
                <w:szCs w:val="16"/>
                <w:color w:val="4B4B4B"/>
              </w:rPr>
            </w:pPr>
            <w:hyperlink w:anchor="page32">
              <w:r>
                <w:rPr>
                  <w:rFonts w:ascii="Arial" w:cs="Arial" w:eastAsia="Arial" w:hAnsi="Arial"/>
                  <w:sz w:val="16"/>
                  <w:szCs w:val="16"/>
                  <w:color w:val="4B4B4B"/>
                </w:rPr>
                <w:t>Communications with the Board</w:t>
              </w:r>
            </w:hyperlink>
          </w:p>
        </w:tc>
        <w:tc>
          <w:tcPr>
            <w:tcW w:w="2520" w:type="dxa"/>
            <w:vAlign w:val="bottom"/>
            <w:gridSpan w:val="14"/>
          </w:tcPr>
          <w:p>
            <w:pPr>
              <w:spacing w:after="0"/>
              <w:rPr>
                <w:sz w:val="20"/>
                <w:szCs w:val="20"/>
                <w:color w:val="auto"/>
              </w:rPr>
            </w:pPr>
          </w:p>
        </w:tc>
        <w:tc>
          <w:tcPr>
            <w:tcW w:w="6020" w:type="dxa"/>
            <w:vAlign w:val="bottom"/>
          </w:tcPr>
          <w:p>
            <w:pPr>
              <w:jc w:val="right"/>
              <w:spacing w:after="0"/>
              <w:rPr>
                <w:rFonts w:ascii="Arial" w:cs="Arial" w:eastAsia="Arial" w:hAnsi="Arial"/>
                <w:sz w:val="16"/>
                <w:szCs w:val="16"/>
                <w:color w:val="4B4B4B"/>
              </w:rPr>
            </w:pPr>
            <w:hyperlink w:anchor="page32">
              <w:r>
                <w:rPr>
                  <w:rFonts w:ascii="Arial" w:cs="Arial" w:eastAsia="Arial" w:hAnsi="Arial"/>
                  <w:sz w:val="16"/>
                  <w:szCs w:val="16"/>
                  <w:color w:val="4B4B4B"/>
                </w:rPr>
                <w:t>28</w:t>
              </w:r>
            </w:hyperlink>
          </w:p>
        </w:tc>
      </w:tr>
      <w:tr>
        <w:trPr>
          <w:trHeight w:val="236"/>
        </w:trPr>
        <w:tc>
          <w:tcPr>
            <w:tcW w:w="4980" w:type="dxa"/>
            <w:vAlign w:val="bottom"/>
            <w:gridSpan w:val="27"/>
          </w:tcPr>
          <w:p>
            <w:pPr>
              <w:spacing w:after="0"/>
              <w:rPr>
                <w:rFonts w:ascii="Arial" w:cs="Arial" w:eastAsia="Arial" w:hAnsi="Arial"/>
                <w:sz w:val="16"/>
                <w:szCs w:val="16"/>
                <w:b w:val="1"/>
                <w:bCs w:val="1"/>
                <w:color w:val="58CC02"/>
              </w:rPr>
            </w:pPr>
            <w:hyperlink w:anchor="page33">
              <w:r>
                <w:rPr>
                  <w:rFonts w:ascii="Arial" w:cs="Arial" w:eastAsia="Arial" w:hAnsi="Arial"/>
                  <w:sz w:val="16"/>
                  <w:szCs w:val="16"/>
                  <w:b w:val="1"/>
                  <w:bCs w:val="1"/>
                  <w:color w:val="58CC02"/>
                </w:rPr>
                <w:t>EXECUTIVE AND DIRECTOR COMPENSATION</w:t>
              </w:r>
            </w:hyperlink>
          </w:p>
        </w:tc>
        <w:tc>
          <w:tcPr>
            <w:tcW w:w="6020" w:type="dxa"/>
            <w:vAlign w:val="bottom"/>
          </w:tcPr>
          <w:p>
            <w:pPr>
              <w:jc w:val="right"/>
              <w:spacing w:after="0"/>
              <w:rPr>
                <w:rFonts w:ascii="Arial" w:cs="Arial" w:eastAsia="Arial" w:hAnsi="Arial"/>
                <w:sz w:val="16"/>
                <w:szCs w:val="16"/>
                <w:color w:val="4B4B4B"/>
              </w:rPr>
            </w:pPr>
            <w:hyperlink w:anchor="page33">
              <w:r>
                <w:rPr>
                  <w:rFonts w:ascii="Arial" w:cs="Arial" w:eastAsia="Arial" w:hAnsi="Arial"/>
                  <w:sz w:val="16"/>
                  <w:szCs w:val="16"/>
                  <w:color w:val="4B4B4B"/>
                </w:rPr>
                <w:t>29</w:t>
              </w:r>
            </w:hyperlink>
          </w:p>
        </w:tc>
      </w:tr>
      <w:tr>
        <w:trPr>
          <w:trHeight w:val="291"/>
        </w:trPr>
        <w:tc>
          <w:tcPr>
            <w:tcW w:w="160" w:type="dxa"/>
            <w:vAlign w:val="bottom"/>
            <w:tcBorders>
              <w:top w:val="single" w:sz="8" w:color="58CC02"/>
            </w:tcBorders>
          </w:tcPr>
          <w:p>
            <w:pPr>
              <w:spacing w:after="0"/>
              <w:rPr>
                <w:sz w:val="24"/>
                <w:szCs w:val="24"/>
                <w:color w:val="auto"/>
              </w:rPr>
            </w:pPr>
          </w:p>
        </w:tc>
        <w:tc>
          <w:tcPr>
            <w:tcW w:w="3400" w:type="dxa"/>
            <w:vAlign w:val="bottom"/>
            <w:tcBorders>
              <w:top w:val="single" w:sz="8" w:color="58CC02"/>
            </w:tcBorders>
            <w:gridSpan w:val="17"/>
          </w:tcPr>
          <w:p>
            <w:pPr>
              <w:spacing w:after="0"/>
              <w:rPr>
                <w:rFonts w:ascii="Arial" w:cs="Arial" w:eastAsia="Arial" w:hAnsi="Arial"/>
                <w:sz w:val="16"/>
                <w:szCs w:val="16"/>
                <w:color w:val="4B4B4B"/>
              </w:rPr>
            </w:pPr>
            <w:hyperlink w:anchor="page34">
              <w:r>
                <w:rPr>
                  <w:rFonts w:ascii="Arial" w:cs="Arial" w:eastAsia="Arial" w:hAnsi="Arial"/>
                  <w:sz w:val="16"/>
                  <w:szCs w:val="16"/>
                  <w:color w:val="4B4B4B"/>
                </w:rPr>
                <w:t>Narrative Disclosure to Compensation Tables</w:t>
              </w:r>
            </w:hyperlink>
          </w:p>
        </w:tc>
        <w:tc>
          <w:tcPr>
            <w:tcW w:w="1420" w:type="dxa"/>
            <w:vAlign w:val="bottom"/>
            <w:gridSpan w:val="9"/>
          </w:tcPr>
          <w:p>
            <w:pPr>
              <w:spacing w:after="0"/>
              <w:rPr>
                <w:sz w:val="24"/>
                <w:szCs w:val="24"/>
                <w:color w:val="auto"/>
              </w:rPr>
            </w:pPr>
          </w:p>
        </w:tc>
        <w:tc>
          <w:tcPr>
            <w:tcW w:w="6020" w:type="dxa"/>
            <w:vAlign w:val="bottom"/>
          </w:tcPr>
          <w:p>
            <w:pPr>
              <w:jc w:val="right"/>
              <w:spacing w:after="0"/>
              <w:rPr>
                <w:rFonts w:ascii="Arial" w:cs="Arial" w:eastAsia="Arial" w:hAnsi="Arial"/>
                <w:sz w:val="16"/>
                <w:szCs w:val="16"/>
                <w:color w:val="4B4B4B"/>
              </w:rPr>
            </w:pPr>
            <w:hyperlink w:anchor="page34">
              <w:r>
                <w:rPr>
                  <w:rFonts w:ascii="Arial" w:cs="Arial" w:eastAsia="Arial" w:hAnsi="Arial"/>
                  <w:sz w:val="16"/>
                  <w:szCs w:val="16"/>
                  <w:color w:val="4B4B4B"/>
                </w:rPr>
                <w:t>30</w:t>
              </w:r>
            </w:hyperlink>
          </w:p>
        </w:tc>
      </w:tr>
      <w:tr>
        <w:trPr>
          <w:trHeight w:val="237"/>
        </w:trPr>
        <w:tc>
          <w:tcPr>
            <w:tcW w:w="160" w:type="dxa"/>
            <w:vAlign w:val="bottom"/>
          </w:tcPr>
          <w:p>
            <w:pPr>
              <w:spacing w:after="0"/>
              <w:rPr>
                <w:sz w:val="20"/>
                <w:szCs w:val="20"/>
                <w:color w:val="auto"/>
              </w:rPr>
            </w:pPr>
          </w:p>
        </w:tc>
        <w:tc>
          <w:tcPr>
            <w:tcW w:w="60" w:type="dxa"/>
            <w:vAlign w:val="bottom"/>
            <w:tcBorders>
              <w:top w:val="single" w:sz="8" w:color="4B4B4B"/>
            </w:tcBorders>
          </w:tcPr>
          <w:p>
            <w:pPr>
              <w:spacing w:after="0"/>
              <w:rPr>
                <w:sz w:val="20"/>
                <w:szCs w:val="20"/>
                <w:color w:val="auto"/>
              </w:rPr>
            </w:pPr>
          </w:p>
        </w:tc>
        <w:tc>
          <w:tcPr>
            <w:tcW w:w="100" w:type="dxa"/>
            <w:vAlign w:val="bottom"/>
            <w:tcBorders>
              <w:top w:val="single" w:sz="8" w:color="4B4B4B"/>
            </w:tcBorders>
          </w:tcPr>
          <w:p>
            <w:pPr>
              <w:spacing w:after="0"/>
              <w:rPr>
                <w:sz w:val="20"/>
                <w:szCs w:val="20"/>
                <w:color w:val="auto"/>
              </w:rPr>
            </w:pPr>
          </w:p>
        </w:tc>
        <w:tc>
          <w:tcPr>
            <w:tcW w:w="3080" w:type="dxa"/>
            <w:vAlign w:val="bottom"/>
            <w:tcBorders>
              <w:top w:val="single" w:sz="8" w:color="4B4B4B"/>
            </w:tcBorders>
            <w:gridSpan w:val="14"/>
          </w:tcPr>
          <w:p>
            <w:pPr>
              <w:ind w:left="20"/>
              <w:spacing w:after="0"/>
              <w:rPr>
                <w:rFonts w:ascii="Arial" w:cs="Arial" w:eastAsia="Arial" w:hAnsi="Arial"/>
                <w:sz w:val="16"/>
                <w:szCs w:val="16"/>
                <w:color w:val="4B4B4B"/>
              </w:rPr>
            </w:pPr>
            <w:hyperlink w:anchor="page35">
              <w:r>
                <w:rPr>
                  <w:rFonts w:ascii="Arial" w:cs="Arial" w:eastAsia="Arial" w:hAnsi="Arial"/>
                  <w:sz w:val="16"/>
                  <w:szCs w:val="16"/>
                  <w:color w:val="4B4B4B"/>
                </w:rPr>
                <w:t>2021 Salaries</w:t>
              </w:r>
            </w:hyperlink>
          </w:p>
        </w:tc>
        <w:tc>
          <w:tcPr>
            <w:tcW w:w="1580" w:type="dxa"/>
            <w:vAlign w:val="bottom"/>
            <w:gridSpan w:val="10"/>
          </w:tcPr>
          <w:p>
            <w:pPr>
              <w:spacing w:after="0"/>
              <w:rPr>
                <w:sz w:val="20"/>
                <w:szCs w:val="20"/>
                <w:color w:val="auto"/>
              </w:rPr>
            </w:pPr>
          </w:p>
        </w:tc>
        <w:tc>
          <w:tcPr>
            <w:tcW w:w="6020" w:type="dxa"/>
            <w:vAlign w:val="bottom"/>
          </w:tcPr>
          <w:p>
            <w:pPr>
              <w:jc w:val="right"/>
              <w:spacing w:after="0"/>
              <w:rPr>
                <w:rFonts w:ascii="Arial" w:cs="Arial" w:eastAsia="Arial" w:hAnsi="Arial"/>
                <w:sz w:val="16"/>
                <w:szCs w:val="16"/>
                <w:color w:val="4B4B4B"/>
              </w:rPr>
            </w:pPr>
            <w:hyperlink w:anchor="page35">
              <w:r>
                <w:rPr>
                  <w:rFonts w:ascii="Arial" w:cs="Arial" w:eastAsia="Arial" w:hAnsi="Arial"/>
                  <w:sz w:val="16"/>
                  <w:szCs w:val="16"/>
                  <w:color w:val="4B4B4B"/>
                </w:rPr>
                <w:t>30</w:t>
              </w:r>
            </w:hyperlink>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4B4B4B"/>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gridSpan w:val="24"/>
          </w:tcPr>
          <w:p>
            <w:pPr>
              <w:ind w:left="20"/>
              <w:spacing w:after="0"/>
              <w:rPr>
                <w:rFonts w:ascii="Arial" w:cs="Arial" w:eastAsia="Arial" w:hAnsi="Arial"/>
                <w:sz w:val="16"/>
                <w:szCs w:val="16"/>
                <w:color w:val="4B4B4B"/>
              </w:rPr>
            </w:pPr>
            <w:hyperlink w:anchor="page35">
              <w:r>
                <w:rPr>
                  <w:rFonts w:ascii="Arial" w:cs="Arial" w:eastAsia="Arial" w:hAnsi="Arial"/>
                  <w:sz w:val="16"/>
                  <w:szCs w:val="16"/>
                  <w:color w:val="4B4B4B"/>
                </w:rPr>
                <w:t>2021 Bonuses</w:t>
              </w:r>
            </w:hyperlink>
          </w:p>
        </w:tc>
        <w:tc>
          <w:tcPr>
            <w:tcW w:w="6020" w:type="dxa"/>
            <w:vAlign w:val="bottom"/>
          </w:tcPr>
          <w:p>
            <w:pPr>
              <w:jc w:val="right"/>
              <w:spacing w:after="0"/>
              <w:rPr>
                <w:rFonts w:ascii="Arial" w:cs="Arial" w:eastAsia="Arial" w:hAnsi="Arial"/>
                <w:sz w:val="16"/>
                <w:szCs w:val="16"/>
                <w:color w:val="4B4B4B"/>
              </w:rPr>
            </w:pPr>
            <w:hyperlink w:anchor="page35">
              <w:r>
                <w:rPr>
                  <w:rFonts w:ascii="Arial" w:cs="Arial" w:eastAsia="Arial" w:hAnsi="Arial"/>
                  <w:sz w:val="16"/>
                  <w:szCs w:val="16"/>
                  <w:color w:val="4B4B4B"/>
                </w:rPr>
                <w:t>30</w:t>
              </w:r>
            </w:hyperlink>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4B4B4B"/>
          </w:tcPr>
          <w:p>
            <w:pPr>
              <w:spacing w:after="0" w:line="20" w:lineRule="exact"/>
              <w:rPr>
                <w:sz w:val="1"/>
                <w:szCs w:val="1"/>
                <w:color w:val="auto"/>
              </w:rPr>
            </w:pPr>
          </w:p>
        </w:tc>
        <w:tc>
          <w:tcPr>
            <w:tcW w:w="300" w:type="dxa"/>
            <w:vAlign w:val="bottom"/>
            <w:tcBorders>
              <w:left w:val="single" w:sz="8" w:color="4B4B4B"/>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tcBorders>
              <w:bottom w:val="single" w:sz="8" w:color="4B4B4B"/>
            </w:tcBorders>
            <w:gridSpan w:val="13"/>
          </w:tcPr>
          <w:p>
            <w:pPr>
              <w:ind w:left="20"/>
              <w:spacing w:after="0"/>
              <w:rPr>
                <w:rFonts w:ascii="Arial" w:cs="Arial" w:eastAsia="Arial" w:hAnsi="Arial"/>
                <w:sz w:val="16"/>
                <w:szCs w:val="16"/>
                <w:color w:val="4B4B4B"/>
              </w:rPr>
            </w:pPr>
            <w:hyperlink w:anchor="page35">
              <w:r>
                <w:rPr>
                  <w:rFonts w:ascii="Arial" w:cs="Arial" w:eastAsia="Arial" w:hAnsi="Arial"/>
                  <w:sz w:val="16"/>
                  <w:szCs w:val="16"/>
                  <w:color w:val="4B4B4B"/>
                </w:rPr>
                <w:t>Fiscal 2021 Equity-Based Compensation</w:t>
              </w:r>
            </w:hyperlink>
          </w:p>
        </w:tc>
        <w:tc>
          <w:tcPr>
            <w:tcW w:w="1720" w:type="dxa"/>
            <w:vAlign w:val="bottom"/>
            <w:gridSpan w:val="11"/>
          </w:tcPr>
          <w:p>
            <w:pPr>
              <w:spacing w:after="0"/>
              <w:rPr>
                <w:sz w:val="20"/>
                <w:szCs w:val="20"/>
                <w:color w:val="auto"/>
              </w:rPr>
            </w:pPr>
          </w:p>
        </w:tc>
        <w:tc>
          <w:tcPr>
            <w:tcW w:w="6020" w:type="dxa"/>
            <w:vAlign w:val="bottom"/>
          </w:tcPr>
          <w:p>
            <w:pPr>
              <w:jc w:val="right"/>
              <w:spacing w:after="0"/>
              <w:rPr>
                <w:rFonts w:ascii="Arial" w:cs="Arial" w:eastAsia="Arial" w:hAnsi="Arial"/>
                <w:sz w:val="16"/>
                <w:szCs w:val="16"/>
                <w:color w:val="4B4B4B"/>
              </w:rPr>
            </w:pPr>
            <w:hyperlink w:anchor="page35">
              <w:r>
                <w:rPr>
                  <w:rFonts w:ascii="Arial" w:cs="Arial" w:eastAsia="Arial" w:hAnsi="Arial"/>
                  <w:sz w:val="16"/>
                  <w:szCs w:val="16"/>
                  <w:color w:val="4B4B4B"/>
                </w:rPr>
                <w:t>30</w:t>
              </w:r>
            </w:hyperlink>
          </w:p>
        </w:tc>
      </w:tr>
      <w:tr>
        <w:trPr>
          <w:trHeight w:val="236"/>
        </w:trPr>
        <w:tc>
          <w:tcPr>
            <w:tcW w:w="160" w:type="dxa"/>
            <w:vAlign w:val="bottom"/>
          </w:tcPr>
          <w:p>
            <w:pPr>
              <w:spacing w:after="0"/>
              <w:rPr>
                <w:sz w:val="20"/>
                <w:szCs w:val="20"/>
                <w:color w:val="auto"/>
              </w:rPr>
            </w:pPr>
          </w:p>
        </w:tc>
        <w:tc>
          <w:tcPr>
            <w:tcW w:w="4820" w:type="dxa"/>
            <w:vAlign w:val="bottom"/>
            <w:gridSpan w:val="26"/>
          </w:tcPr>
          <w:p>
            <w:pPr>
              <w:spacing w:after="0"/>
              <w:rPr>
                <w:rFonts w:ascii="Arial" w:cs="Arial" w:eastAsia="Arial" w:hAnsi="Arial"/>
                <w:sz w:val="16"/>
                <w:szCs w:val="16"/>
                <w:color w:val="4B4B4B"/>
              </w:rPr>
            </w:pPr>
            <w:hyperlink w:anchor="page39">
              <w:r>
                <w:rPr>
                  <w:rFonts w:ascii="Arial" w:cs="Arial" w:eastAsia="Arial" w:hAnsi="Arial"/>
                  <w:sz w:val="16"/>
                  <w:szCs w:val="16"/>
                  <w:color w:val="4B4B4B"/>
                </w:rPr>
                <w:t>Director Compensation</w:t>
              </w:r>
            </w:hyperlink>
          </w:p>
        </w:tc>
        <w:tc>
          <w:tcPr>
            <w:tcW w:w="6020" w:type="dxa"/>
            <w:vAlign w:val="bottom"/>
          </w:tcPr>
          <w:p>
            <w:pPr>
              <w:jc w:val="right"/>
              <w:spacing w:after="0"/>
              <w:rPr>
                <w:rFonts w:ascii="Arial" w:cs="Arial" w:eastAsia="Arial" w:hAnsi="Arial"/>
                <w:sz w:val="16"/>
                <w:szCs w:val="16"/>
                <w:color w:val="4B4B4B"/>
              </w:rPr>
            </w:pPr>
            <w:hyperlink w:anchor="page39">
              <w:r>
                <w:rPr>
                  <w:rFonts w:ascii="Arial" w:cs="Arial" w:eastAsia="Arial" w:hAnsi="Arial"/>
                  <w:sz w:val="16"/>
                  <w:szCs w:val="16"/>
                  <w:color w:val="4B4B4B"/>
                </w:rPr>
                <w:t>34</w:t>
              </w:r>
            </w:hyperlink>
          </w:p>
        </w:tc>
      </w:tr>
      <w:tr>
        <w:trPr>
          <w:trHeight w:val="20"/>
        </w:trPr>
        <w:tc>
          <w:tcPr>
            <w:tcW w:w="160" w:type="dxa"/>
            <w:vAlign w:val="bottom"/>
          </w:tcPr>
          <w:p>
            <w:pPr>
              <w:spacing w:after="0" w:line="20" w:lineRule="exact"/>
              <w:rPr>
                <w:sz w:val="1"/>
                <w:szCs w:val="1"/>
                <w:color w:val="auto"/>
              </w:rPr>
            </w:pPr>
          </w:p>
        </w:tc>
        <w:tc>
          <w:tcPr>
            <w:tcW w:w="1160" w:type="dxa"/>
            <w:vAlign w:val="bottom"/>
            <w:gridSpan w:val="3"/>
            <w:shd w:val="clear" w:color="auto" w:fill="4B4B4B"/>
          </w:tcPr>
          <w:p>
            <w:pPr>
              <w:spacing w:after="0" w:line="20" w:lineRule="exact"/>
              <w:rPr>
                <w:sz w:val="1"/>
                <w:szCs w:val="1"/>
                <w:color w:val="auto"/>
              </w:rPr>
            </w:pPr>
          </w:p>
        </w:tc>
        <w:tc>
          <w:tcPr>
            <w:tcW w:w="300" w:type="dxa"/>
            <w:vAlign w:val="bottom"/>
            <w:tcBorders>
              <w:left w:val="single" w:sz="8" w:color="4B4B4B"/>
            </w:tcBorders>
            <w:gridSpan w:val="3"/>
            <w:shd w:val="clear" w:color="auto" w:fill="4B4B4B"/>
          </w:tcPr>
          <w:p>
            <w:pPr>
              <w:spacing w:after="0" w:line="20" w:lineRule="exact"/>
              <w:rPr>
                <w:sz w:val="1"/>
                <w:szCs w:val="1"/>
                <w:color w:val="auto"/>
              </w:rPr>
            </w:pPr>
          </w:p>
        </w:tc>
        <w:tc>
          <w:tcPr>
            <w:tcW w:w="200" w:type="dxa"/>
            <w:vAlign w:val="bottom"/>
            <w:shd w:val="clear" w:color="auto" w:fill="4B4B4B"/>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37"/>
        </w:trPr>
        <w:tc>
          <w:tcPr>
            <w:tcW w:w="4980" w:type="dxa"/>
            <w:vAlign w:val="bottom"/>
            <w:gridSpan w:val="27"/>
          </w:tcPr>
          <w:p>
            <w:pPr>
              <w:spacing w:after="0"/>
              <w:rPr>
                <w:rFonts w:ascii="Arial" w:cs="Arial" w:eastAsia="Arial" w:hAnsi="Arial"/>
                <w:sz w:val="16"/>
                <w:szCs w:val="16"/>
                <w:b w:val="1"/>
                <w:bCs w:val="1"/>
                <w:color w:val="58CC02"/>
              </w:rPr>
            </w:pPr>
            <w:hyperlink w:anchor="page42">
              <w:r>
                <w:rPr>
                  <w:rFonts w:ascii="Arial" w:cs="Arial" w:eastAsia="Arial" w:hAnsi="Arial"/>
                  <w:sz w:val="16"/>
                  <w:szCs w:val="16"/>
                  <w:b w:val="1"/>
                  <w:bCs w:val="1"/>
                  <w:color w:val="58CC02"/>
                </w:rPr>
                <w:t>EQUITY COMPENSATION PLAN INFORMATION</w:t>
              </w:r>
            </w:hyperlink>
          </w:p>
        </w:tc>
        <w:tc>
          <w:tcPr>
            <w:tcW w:w="6020" w:type="dxa"/>
            <w:vAlign w:val="bottom"/>
          </w:tcPr>
          <w:p>
            <w:pPr>
              <w:jc w:val="right"/>
              <w:spacing w:after="0"/>
              <w:rPr>
                <w:rFonts w:ascii="Arial" w:cs="Arial" w:eastAsia="Arial" w:hAnsi="Arial"/>
                <w:sz w:val="16"/>
                <w:szCs w:val="16"/>
                <w:color w:val="4B4B4B"/>
              </w:rPr>
            </w:pPr>
            <w:hyperlink w:anchor="page42">
              <w:r>
                <w:rPr>
                  <w:rFonts w:ascii="Arial" w:cs="Arial" w:eastAsia="Arial" w:hAnsi="Arial"/>
                  <w:sz w:val="16"/>
                  <w:szCs w:val="16"/>
                  <w:color w:val="4B4B4B"/>
                </w:rPr>
                <w:t>38</w:t>
              </w:r>
            </w:hyperlink>
          </w:p>
        </w:tc>
      </w:tr>
      <w:tr>
        <w:trPr>
          <w:trHeight w:val="290"/>
        </w:trPr>
        <w:tc>
          <w:tcPr>
            <w:tcW w:w="1620" w:type="dxa"/>
            <w:vAlign w:val="bottom"/>
            <w:tcBorders>
              <w:top w:val="single" w:sz="8" w:color="58CC02"/>
              <w:bottom w:val="single" w:sz="8" w:color="58CC02"/>
            </w:tcBorders>
            <w:gridSpan w:val="7"/>
          </w:tcPr>
          <w:p>
            <w:pPr>
              <w:spacing w:after="0"/>
              <w:rPr>
                <w:rFonts w:ascii="Arial" w:cs="Arial" w:eastAsia="Arial" w:hAnsi="Arial"/>
                <w:sz w:val="16"/>
                <w:szCs w:val="16"/>
                <w:b w:val="1"/>
                <w:bCs w:val="1"/>
                <w:color w:val="58CC02"/>
              </w:rPr>
            </w:pPr>
            <w:hyperlink w:anchor="page43">
              <w:r>
                <w:rPr>
                  <w:rFonts w:ascii="Arial" w:cs="Arial" w:eastAsia="Arial" w:hAnsi="Arial"/>
                  <w:sz w:val="16"/>
                  <w:szCs w:val="16"/>
                  <w:b w:val="1"/>
                  <w:bCs w:val="1"/>
                  <w:color w:val="58CC02"/>
                </w:rPr>
                <w:t>STOCK OWNERSHIP</w:t>
              </w:r>
            </w:hyperlink>
          </w:p>
        </w:tc>
        <w:tc>
          <w:tcPr>
            <w:tcW w:w="2000" w:type="dxa"/>
            <w:vAlign w:val="bottom"/>
            <w:tcBorders>
              <w:top w:val="single" w:sz="8" w:color="58CC02"/>
            </w:tcBorders>
            <w:gridSpan w:val="12"/>
          </w:tcPr>
          <w:p>
            <w:pPr>
              <w:spacing w:after="0"/>
              <w:rPr>
                <w:sz w:val="24"/>
                <w:szCs w:val="24"/>
                <w:color w:val="auto"/>
              </w:rPr>
            </w:pPr>
          </w:p>
        </w:tc>
        <w:tc>
          <w:tcPr>
            <w:tcW w:w="1360" w:type="dxa"/>
            <w:vAlign w:val="bottom"/>
            <w:gridSpan w:val="8"/>
          </w:tcPr>
          <w:p>
            <w:pPr>
              <w:spacing w:after="0"/>
              <w:rPr>
                <w:sz w:val="24"/>
                <w:szCs w:val="24"/>
                <w:color w:val="auto"/>
              </w:rPr>
            </w:pPr>
          </w:p>
        </w:tc>
        <w:tc>
          <w:tcPr>
            <w:tcW w:w="6020" w:type="dxa"/>
            <w:vAlign w:val="bottom"/>
          </w:tcPr>
          <w:p>
            <w:pPr>
              <w:jc w:val="right"/>
              <w:spacing w:after="0"/>
              <w:rPr>
                <w:rFonts w:ascii="Arial" w:cs="Arial" w:eastAsia="Arial" w:hAnsi="Arial"/>
                <w:sz w:val="16"/>
                <w:szCs w:val="16"/>
                <w:color w:val="4B4B4B"/>
              </w:rPr>
            </w:pPr>
            <w:hyperlink w:anchor="page43">
              <w:r>
                <w:rPr>
                  <w:rFonts w:ascii="Arial" w:cs="Arial" w:eastAsia="Arial" w:hAnsi="Arial"/>
                  <w:sz w:val="16"/>
                  <w:szCs w:val="16"/>
                  <w:color w:val="4B4B4B"/>
                </w:rPr>
                <w:t>39</w:t>
              </w:r>
            </w:hyperlink>
          </w:p>
        </w:tc>
      </w:tr>
      <w:tr>
        <w:trPr>
          <w:trHeight w:val="290"/>
        </w:trPr>
        <w:tc>
          <w:tcPr>
            <w:tcW w:w="160" w:type="dxa"/>
            <w:vAlign w:val="bottom"/>
          </w:tcPr>
          <w:p>
            <w:pPr>
              <w:spacing w:after="0"/>
              <w:rPr>
                <w:sz w:val="24"/>
                <w:szCs w:val="24"/>
                <w:color w:val="auto"/>
              </w:rPr>
            </w:pPr>
          </w:p>
        </w:tc>
        <w:tc>
          <w:tcPr>
            <w:tcW w:w="4820" w:type="dxa"/>
            <w:vAlign w:val="bottom"/>
            <w:tcBorders>
              <w:bottom w:val="single" w:sz="8" w:color="4B4B4B"/>
            </w:tcBorders>
            <w:gridSpan w:val="26"/>
          </w:tcPr>
          <w:p>
            <w:pPr>
              <w:spacing w:after="0"/>
              <w:rPr>
                <w:rFonts w:ascii="Arial" w:cs="Arial" w:eastAsia="Arial" w:hAnsi="Arial"/>
                <w:sz w:val="16"/>
                <w:szCs w:val="16"/>
                <w:color w:val="4B4B4B"/>
              </w:rPr>
            </w:pPr>
            <w:hyperlink w:anchor="page44">
              <w:r>
                <w:rPr>
                  <w:rFonts w:ascii="Arial" w:cs="Arial" w:eastAsia="Arial" w:hAnsi="Arial"/>
                  <w:sz w:val="16"/>
                  <w:szCs w:val="16"/>
                  <w:color w:val="4B4B4B"/>
                </w:rPr>
                <w:t>Security Ownership of Certain Beneficial Owners and Management</w:t>
              </w:r>
            </w:hyperlink>
          </w:p>
        </w:tc>
        <w:tc>
          <w:tcPr>
            <w:tcW w:w="6020" w:type="dxa"/>
            <w:vAlign w:val="bottom"/>
          </w:tcPr>
          <w:p>
            <w:pPr>
              <w:jc w:val="right"/>
              <w:spacing w:after="0"/>
              <w:rPr>
                <w:rFonts w:ascii="Arial" w:cs="Arial" w:eastAsia="Arial" w:hAnsi="Arial"/>
                <w:sz w:val="16"/>
                <w:szCs w:val="16"/>
                <w:color w:val="4B4B4B"/>
              </w:rPr>
            </w:pPr>
            <w:hyperlink w:anchor="page44">
              <w:r>
                <w:rPr>
                  <w:rFonts w:ascii="Arial" w:cs="Arial" w:eastAsia="Arial" w:hAnsi="Arial"/>
                  <w:sz w:val="16"/>
                  <w:szCs w:val="16"/>
                  <w:color w:val="4B4B4B"/>
                </w:rPr>
                <w:t>39</w:t>
              </w:r>
            </w:hyperlink>
          </w:p>
        </w:tc>
      </w:tr>
      <w:tr>
        <w:trPr>
          <w:trHeight w:val="237"/>
        </w:trPr>
        <w:tc>
          <w:tcPr>
            <w:tcW w:w="160" w:type="dxa"/>
            <w:vAlign w:val="bottom"/>
          </w:tcPr>
          <w:p>
            <w:pPr>
              <w:spacing w:after="0"/>
              <w:rPr>
                <w:sz w:val="20"/>
                <w:szCs w:val="20"/>
                <w:color w:val="auto"/>
              </w:rPr>
            </w:pPr>
          </w:p>
        </w:tc>
        <w:tc>
          <w:tcPr>
            <w:tcW w:w="4820" w:type="dxa"/>
            <w:vAlign w:val="bottom"/>
            <w:gridSpan w:val="26"/>
          </w:tcPr>
          <w:p>
            <w:pPr>
              <w:spacing w:after="0"/>
              <w:rPr>
                <w:rFonts w:ascii="Arial" w:cs="Arial" w:eastAsia="Arial" w:hAnsi="Arial"/>
                <w:sz w:val="16"/>
                <w:szCs w:val="16"/>
                <w:color w:val="4B4B4B"/>
              </w:rPr>
            </w:pPr>
            <w:hyperlink w:anchor="page47">
              <w:r>
                <w:rPr>
                  <w:rFonts w:ascii="Arial" w:cs="Arial" w:eastAsia="Arial" w:hAnsi="Arial"/>
                  <w:sz w:val="16"/>
                  <w:szCs w:val="16"/>
                  <w:color w:val="4B4B4B"/>
                </w:rPr>
                <w:t>Delinquent Section 16(a) Reports</w:t>
              </w:r>
            </w:hyperlink>
          </w:p>
        </w:tc>
        <w:tc>
          <w:tcPr>
            <w:tcW w:w="6020" w:type="dxa"/>
            <w:vAlign w:val="bottom"/>
          </w:tcPr>
          <w:p>
            <w:pPr>
              <w:jc w:val="right"/>
              <w:spacing w:after="0"/>
              <w:rPr>
                <w:rFonts w:ascii="Arial" w:cs="Arial" w:eastAsia="Arial" w:hAnsi="Arial"/>
                <w:sz w:val="16"/>
                <w:szCs w:val="16"/>
                <w:color w:val="4B4B4B"/>
              </w:rPr>
            </w:pPr>
            <w:hyperlink w:anchor="page47">
              <w:r>
                <w:rPr>
                  <w:rFonts w:ascii="Arial" w:cs="Arial" w:eastAsia="Arial" w:hAnsi="Arial"/>
                  <w:sz w:val="16"/>
                  <w:szCs w:val="16"/>
                  <w:color w:val="4B4B4B"/>
                </w:rPr>
                <w:t>42</w:t>
              </w:r>
            </w:hyperlink>
          </w:p>
        </w:tc>
      </w:tr>
      <w:tr>
        <w:trPr>
          <w:trHeight w:val="20"/>
        </w:trPr>
        <w:tc>
          <w:tcPr>
            <w:tcW w:w="160" w:type="dxa"/>
            <w:vAlign w:val="bottom"/>
          </w:tcPr>
          <w:p>
            <w:pPr>
              <w:spacing w:after="0" w:line="20" w:lineRule="exact"/>
              <w:rPr>
                <w:sz w:val="1"/>
                <w:szCs w:val="1"/>
                <w:color w:val="auto"/>
              </w:rPr>
            </w:pPr>
          </w:p>
        </w:tc>
        <w:tc>
          <w:tcPr>
            <w:tcW w:w="1160" w:type="dxa"/>
            <w:vAlign w:val="bottom"/>
            <w:gridSpan w:val="3"/>
            <w:shd w:val="clear" w:color="auto" w:fill="4B4B4B"/>
          </w:tcPr>
          <w:p>
            <w:pPr>
              <w:spacing w:after="0" w:line="20" w:lineRule="exact"/>
              <w:rPr>
                <w:sz w:val="1"/>
                <w:szCs w:val="1"/>
                <w:color w:val="auto"/>
              </w:rPr>
            </w:pPr>
          </w:p>
        </w:tc>
        <w:tc>
          <w:tcPr>
            <w:tcW w:w="500" w:type="dxa"/>
            <w:vAlign w:val="bottom"/>
            <w:tcBorders>
              <w:left w:val="single" w:sz="8" w:color="4B4B4B"/>
            </w:tcBorders>
            <w:gridSpan w:val="4"/>
            <w:shd w:val="clear" w:color="auto" w:fill="4B4B4B"/>
          </w:tcPr>
          <w:p>
            <w:pPr>
              <w:spacing w:after="0" w:line="20" w:lineRule="exact"/>
              <w:rPr>
                <w:sz w:val="1"/>
                <w:szCs w:val="1"/>
                <w:color w:val="auto"/>
              </w:rPr>
            </w:pPr>
          </w:p>
        </w:tc>
        <w:tc>
          <w:tcPr>
            <w:tcW w:w="740" w:type="dxa"/>
            <w:vAlign w:val="bottom"/>
            <w:gridSpan w:val="6"/>
            <w:shd w:val="clear" w:color="auto" w:fill="4B4B4B"/>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36"/>
        </w:trPr>
        <w:tc>
          <w:tcPr>
            <w:tcW w:w="4140" w:type="dxa"/>
            <w:vAlign w:val="bottom"/>
            <w:tcBorders>
              <w:bottom w:val="single" w:sz="8" w:color="58CC02"/>
            </w:tcBorders>
            <w:gridSpan w:val="23"/>
          </w:tcPr>
          <w:p>
            <w:pPr>
              <w:spacing w:after="0"/>
              <w:rPr>
                <w:rFonts w:ascii="Arial" w:cs="Arial" w:eastAsia="Arial" w:hAnsi="Arial"/>
                <w:sz w:val="16"/>
                <w:szCs w:val="16"/>
                <w:b w:val="1"/>
                <w:bCs w:val="1"/>
                <w:color w:val="58CC02"/>
              </w:rPr>
            </w:pPr>
            <w:hyperlink w:anchor="page47">
              <w:r>
                <w:rPr>
                  <w:rFonts w:ascii="Arial" w:cs="Arial" w:eastAsia="Arial" w:hAnsi="Arial"/>
                  <w:sz w:val="16"/>
                  <w:szCs w:val="16"/>
                  <w:b w:val="1"/>
                  <w:bCs w:val="1"/>
                  <w:color w:val="58CC02"/>
                </w:rPr>
                <w:t>CERTAIN TRANSACTIONS WITH RELATED PERSONS</w:t>
              </w:r>
            </w:hyperlink>
          </w:p>
        </w:tc>
        <w:tc>
          <w:tcPr>
            <w:tcW w:w="840" w:type="dxa"/>
            <w:vAlign w:val="bottom"/>
            <w:gridSpan w:val="4"/>
          </w:tcPr>
          <w:p>
            <w:pPr>
              <w:spacing w:after="0"/>
              <w:rPr>
                <w:sz w:val="20"/>
                <w:szCs w:val="20"/>
                <w:color w:val="auto"/>
              </w:rPr>
            </w:pPr>
          </w:p>
        </w:tc>
        <w:tc>
          <w:tcPr>
            <w:tcW w:w="6020" w:type="dxa"/>
            <w:vAlign w:val="bottom"/>
          </w:tcPr>
          <w:p>
            <w:pPr>
              <w:jc w:val="right"/>
              <w:spacing w:after="0"/>
              <w:rPr>
                <w:rFonts w:ascii="Arial" w:cs="Arial" w:eastAsia="Arial" w:hAnsi="Arial"/>
                <w:sz w:val="16"/>
                <w:szCs w:val="16"/>
                <w:color w:val="4B4B4B"/>
              </w:rPr>
            </w:pPr>
            <w:hyperlink w:anchor="page47">
              <w:r>
                <w:rPr>
                  <w:rFonts w:ascii="Arial" w:cs="Arial" w:eastAsia="Arial" w:hAnsi="Arial"/>
                  <w:sz w:val="16"/>
                  <w:szCs w:val="16"/>
                  <w:color w:val="4B4B4B"/>
                </w:rPr>
                <w:t>43</w:t>
              </w:r>
            </w:hyperlink>
          </w:p>
        </w:tc>
      </w:tr>
      <w:tr>
        <w:trPr>
          <w:trHeight w:val="290"/>
        </w:trPr>
        <w:tc>
          <w:tcPr>
            <w:tcW w:w="160" w:type="dxa"/>
            <w:vAlign w:val="bottom"/>
          </w:tcPr>
          <w:p>
            <w:pPr>
              <w:spacing w:after="0"/>
              <w:rPr>
                <w:sz w:val="24"/>
                <w:szCs w:val="24"/>
                <w:color w:val="auto"/>
              </w:rPr>
            </w:pPr>
          </w:p>
        </w:tc>
        <w:tc>
          <w:tcPr>
            <w:tcW w:w="4820" w:type="dxa"/>
            <w:vAlign w:val="bottom"/>
            <w:gridSpan w:val="26"/>
          </w:tcPr>
          <w:p>
            <w:pPr>
              <w:spacing w:after="0"/>
              <w:rPr>
                <w:rFonts w:ascii="Arial" w:cs="Arial" w:eastAsia="Arial" w:hAnsi="Arial"/>
                <w:sz w:val="16"/>
                <w:szCs w:val="16"/>
                <w:color w:val="4B4B4B"/>
              </w:rPr>
            </w:pPr>
            <w:hyperlink w:anchor="page48">
              <w:r>
                <w:rPr>
                  <w:rFonts w:ascii="Arial" w:cs="Arial" w:eastAsia="Arial" w:hAnsi="Arial"/>
                  <w:sz w:val="16"/>
                  <w:szCs w:val="16"/>
                  <w:color w:val="4B4B4B"/>
                </w:rPr>
                <w:t>Policies and Procedures on Transactions with Related Persons</w:t>
              </w:r>
            </w:hyperlink>
          </w:p>
        </w:tc>
        <w:tc>
          <w:tcPr>
            <w:tcW w:w="6020" w:type="dxa"/>
            <w:vAlign w:val="bottom"/>
          </w:tcPr>
          <w:p>
            <w:pPr>
              <w:jc w:val="right"/>
              <w:spacing w:after="0"/>
              <w:rPr>
                <w:rFonts w:ascii="Arial" w:cs="Arial" w:eastAsia="Arial" w:hAnsi="Arial"/>
                <w:sz w:val="16"/>
                <w:szCs w:val="16"/>
                <w:color w:val="4B4B4B"/>
              </w:rPr>
            </w:pPr>
            <w:hyperlink w:anchor="page48">
              <w:r>
                <w:rPr>
                  <w:rFonts w:ascii="Arial" w:cs="Arial" w:eastAsia="Arial" w:hAnsi="Arial"/>
                  <w:sz w:val="16"/>
                  <w:szCs w:val="16"/>
                  <w:color w:val="4B4B4B"/>
                </w:rPr>
                <w:t>43</w:t>
              </w:r>
            </w:hyperlink>
          </w:p>
        </w:tc>
      </w:tr>
      <w:tr>
        <w:trPr>
          <w:trHeight w:val="20"/>
        </w:trPr>
        <w:tc>
          <w:tcPr>
            <w:tcW w:w="160" w:type="dxa"/>
            <w:vAlign w:val="bottom"/>
          </w:tcPr>
          <w:p>
            <w:pPr>
              <w:spacing w:after="0" w:line="20" w:lineRule="exact"/>
              <w:rPr>
                <w:sz w:val="1"/>
                <w:szCs w:val="1"/>
                <w:color w:val="auto"/>
              </w:rPr>
            </w:pPr>
          </w:p>
        </w:tc>
        <w:tc>
          <w:tcPr>
            <w:tcW w:w="1160" w:type="dxa"/>
            <w:vAlign w:val="bottom"/>
            <w:gridSpan w:val="3"/>
            <w:shd w:val="clear" w:color="auto" w:fill="4B4B4B"/>
          </w:tcPr>
          <w:p>
            <w:pPr>
              <w:spacing w:after="0" w:line="20" w:lineRule="exact"/>
              <w:rPr>
                <w:sz w:val="1"/>
                <w:szCs w:val="1"/>
                <w:color w:val="auto"/>
              </w:rPr>
            </w:pPr>
          </w:p>
        </w:tc>
        <w:tc>
          <w:tcPr>
            <w:tcW w:w="500" w:type="dxa"/>
            <w:vAlign w:val="bottom"/>
            <w:tcBorders>
              <w:left w:val="single" w:sz="8" w:color="4B4B4B"/>
            </w:tcBorders>
            <w:gridSpan w:val="4"/>
            <w:shd w:val="clear" w:color="auto" w:fill="4B4B4B"/>
          </w:tcPr>
          <w:p>
            <w:pPr>
              <w:spacing w:after="0" w:line="20" w:lineRule="exact"/>
              <w:rPr>
                <w:sz w:val="1"/>
                <w:szCs w:val="1"/>
                <w:color w:val="auto"/>
              </w:rPr>
            </w:pPr>
          </w:p>
        </w:tc>
        <w:tc>
          <w:tcPr>
            <w:tcW w:w="2860" w:type="dxa"/>
            <w:vAlign w:val="bottom"/>
            <w:gridSpan w:val="17"/>
            <w:shd w:val="clear" w:color="auto" w:fill="4B4B4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37"/>
        </w:trPr>
        <w:tc>
          <w:tcPr>
            <w:tcW w:w="4980" w:type="dxa"/>
            <w:vAlign w:val="bottom"/>
            <w:gridSpan w:val="27"/>
          </w:tcPr>
          <w:p>
            <w:pPr>
              <w:spacing w:after="0"/>
              <w:rPr>
                <w:rFonts w:ascii="Arial" w:cs="Arial" w:eastAsia="Arial" w:hAnsi="Arial"/>
                <w:sz w:val="16"/>
                <w:szCs w:val="16"/>
                <w:b w:val="1"/>
                <w:bCs w:val="1"/>
                <w:color w:val="58CC02"/>
              </w:rPr>
            </w:pPr>
            <w:hyperlink w:anchor="page49">
              <w:r>
                <w:rPr>
                  <w:rFonts w:ascii="Arial" w:cs="Arial" w:eastAsia="Arial" w:hAnsi="Arial"/>
                  <w:sz w:val="16"/>
                  <w:szCs w:val="16"/>
                  <w:b w:val="1"/>
                  <w:bCs w:val="1"/>
                  <w:color w:val="58CC02"/>
                </w:rPr>
                <w:t>STOCKHOLDER PROPOSALS AND DIRECTOR NOMINATIONS</w:t>
              </w:r>
            </w:hyperlink>
          </w:p>
        </w:tc>
        <w:tc>
          <w:tcPr>
            <w:tcW w:w="6020" w:type="dxa"/>
            <w:vAlign w:val="bottom"/>
          </w:tcPr>
          <w:p>
            <w:pPr>
              <w:jc w:val="right"/>
              <w:spacing w:after="0"/>
              <w:rPr>
                <w:rFonts w:ascii="Arial" w:cs="Arial" w:eastAsia="Arial" w:hAnsi="Arial"/>
                <w:sz w:val="16"/>
                <w:szCs w:val="16"/>
                <w:color w:val="4B4B4B"/>
              </w:rPr>
            </w:pPr>
            <w:hyperlink w:anchor="page49">
              <w:r>
                <w:rPr>
                  <w:rFonts w:ascii="Arial" w:cs="Arial" w:eastAsia="Arial" w:hAnsi="Arial"/>
                  <w:sz w:val="16"/>
                  <w:szCs w:val="16"/>
                  <w:color w:val="4B4B4B"/>
                </w:rPr>
                <w:t>45</w:t>
              </w:r>
            </w:hyperlink>
          </w:p>
        </w:tc>
      </w:tr>
      <w:tr>
        <w:trPr>
          <w:trHeight w:val="290"/>
        </w:trPr>
        <w:tc>
          <w:tcPr>
            <w:tcW w:w="4780" w:type="dxa"/>
            <w:vAlign w:val="bottom"/>
            <w:tcBorders>
              <w:top w:val="single" w:sz="8" w:color="58CC02"/>
            </w:tcBorders>
            <w:gridSpan w:val="26"/>
          </w:tcPr>
          <w:p>
            <w:pPr>
              <w:spacing w:after="0"/>
              <w:rPr>
                <w:rFonts w:ascii="Arial" w:cs="Arial" w:eastAsia="Arial" w:hAnsi="Arial"/>
                <w:sz w:val="16"/>
                <w:szCs w:val="16"/>
                <w:b w:val="1"/>
                <w:bCs w:val="1"/>
                <w:color w:val="58CC02"/>
              </w:rPr>
            </w:pPr>
            <w:hyperlink w:anchor="page50">
              <w:r>
                <w:rPr>
                  <w:rFonts w:ascii="Arial" w:cs="Arial" w:eastAsia="Arial" w:hAnsi="Arial"/>
                  <w:sz w:val="16"/>
                  <w:szCs w:val="16"/>
                  <w:b w:val="1"/>
                  <w:bCs w:val="1"/>
                  <w:color w:val="58CC02"/>
                </w:rPr>
                <w:t>HOUSEHOLDING</w:t>
              </w:r>
            </w:hyperlink>
          </w:p>
        </w:tc>
        <w:tc>
          <w:tcPr>
            <w:tcW w:w="200" w:type="dxa"/>
            <w:vAlign w:val="bottom"/>
          </w:tcPr>
          <w:p>
            <w:pPr>
              <w:spacing w:after="0"/>
              <w:rPr>
                <w:sz w:val="24"/>
                <w:szCs w:val="24"/>
                <w:color w:val="auto"/>
              </w:rPr>
            </w:pPr>
          </w:p>
        </w:tc>
        <w:tc>
          <w:tcPr>
            <w:tcW w:w="6020" w:type="dxa"/>
            <w:vAlign w:val="bottom"/>
          </w:tcPr>
          <w:p>
            <w:pPr>
              <w:jc w:val="right"/>
              <w:spacing w:after="0"/>
              <w:rPr>
                <w:rFonts w:ascii="Arial" w:cs="Arial" w:eastAsia="Arial" w:hAnsi="Arial"/>
                <w:sz w:val="16"/>
                <w:szCs w:val="16"/>
                <w:color w:val="4B4B4B"/>
              </w:rPr>
            </w:pPr>
            <w:hyperlink w:anchor="page50">
              <w:r>
                <w:rPr>
                  <w:rFonts w:ascii="Arial" w:cs="Arial" w:eastAsia="Arial" w:hAnsi="Arial"/>
                  <w:sz w:val="16"/>
                  <w:szCs w:val="16"/>
                  <w:color w:val="4B4B4B"/>
                </w:rPr>
                <w:t>46</w:t>
              </w:r>
            </w:hyperlink>
          </w:p>
        </w:tc>
      </w:tr>
      <w:tr>
        <w:trPr>
          <w:trHeight w:val="20"/>
        </w:trPr>
        <w:tc>
          <w:tcPr>
            <w:tcW w:w="1320" w:type="dxa"/>
            <w:vAlign w:val="bottom"/>
            <w:gridSpan w:val="4"/>
            <w:shd w:val="clear" w:color="auto" w:fill="58CC0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160" w:type="dxa"/>
            <w:vAlign w:val="bottom"/>
            <w:gridSpan w:val="19"/>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90"/>
        </w:trPr>
        <w:tc>
          <w:tcPr>
            <w:tcW w:w="1820" w:type="dxa"/>
            <w:vAlign w:val="bottom"/>
            <w:tcBorders>
              <w:bottom w:val="single" w:sz="8" w:color="58CC02"/>
            </w:tcBorders>
            <w:gridSpan w:val="8"/>
          </w:tcPr>
          <w:p>
            <w:pPr>
              <w:spacing w:after="0"/>
              <w:rPr>
                <w:rFonts w:ascii="Arial" w:cs="Arial" w:eastAsia="Arial" w:hAnsi="Arial"/>
                <w:sz w:val="16"/>
                <w:szCs w:val="16"/>
                <w:b w:val="1"/>
                <w:bCs w:val="1"/>
                <w:color w:val="58CC02"/>
              </w:rPr>
            </w:pPr>
            <w:hyperlink w:anchor="page51">
              <w:r>
                <w:rPr>
                  <w:rFonts w:ascii="Arial" w:cs="Arial" w:eastAsia="Arial" w:hAnsi="Arial"/>
                  <w:sz w:val="16"/>
                  <w:szCs w:val="16"/>
                  <w:b w:val="1"/>
                  <w:bCs w:val="1"/>
                  <w:color w:val="58CC02"/>
                </w:rPr>
                <w:t>2021 ANNUAL REPORT</w:t>
              </w:r>
            </w:hyperlink>
          </w:p>
        </w:tc>
        <w:tc>
          <w:tcPr>
            <w:tcW w:w="3160" w:type="dxa"/>
            <w:vAlign w:val="bottom"/>
            <w:gridSpan w:val="19"/>
          </w:tcPr>
          <w:p>
            <w:pPr>
              <w:spacing w:after="0"/>
              <w:rPr>
                <w:sz w:val="24"/>
                <w:szCs w:val="24"/>
                <w:color w:val="auto"/>
              </w:rPr>
            </w:pPr>
          </w:p>
        </w:tc>
        <w:tc>
          <w:tcPr>
            <w:tcW w:w="6020" w:type="dxa"/>
            <w:vAlign w:val="bottom"/>
          </w:tcPr>
          <w:p>
            <w:pPr>
              <w:jc w:val="right"/>
              <w:spacing w:after="0"/>
              <w:rPr>
                <w:rFonts w:ascii="Arial" w:cs="Arial" w:eastAsia="Arial" w:hAnsi="Arial"/>
                <w:sz w:val="16"/>
                <w:szCs w:val="16"/>
                <w:color w:val="4B4B4B"/>
              </w:rPr>
            </w:pPr>
            <w:hyperlink w:anchor="page51">
              <w:r>
                <w:rPr>
                  <w:rFonts w:ascii="Arial" w:cs="Arial" w:eastAsia="Arial" w:hAnsi="Arial"/>
                  <w:sz w:val="16"/>
                  <w:szCs w:val="16"/>
                  <w:color w:val="4B4B4B"/>
                </w:rPr>
                <w:t>47</w:t>
              </w:r>
            </w:hyperlink>
          </w:p>
        </w:tc>
      </w:tr>
    </w:tbl>
    <w:p>
      <w:pPr>
        <w:sectPr>
          <w:pgSz w:w="11900" w:h="16838" w:orient="portrait"/>
          <w:cols w:equalWidth="0" w:num="1">
            <w:col w:w="11000"/>
          </w:cols>
          <w:pgMar w:left="340" w:top="1373" w:right="5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1785620</wp:posOffset>
            </wp:positionH>
            <wp:positionV relativeFrom="page">
              <wp:posOffset>851535</wp:posOffset>
            </wp:positionV>
            <wp:extent cx="3977640" cy="934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97764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4B4B4B"/>
        </w:rPr>
        <w:t>Duolingo, Inc.</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4B4B4B"/>
        </w:rPr>
        <w:t>5900 Penn Avenue</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4B4B4B"/>
        </w:rPr>
        <w:t>Pittsburgh, Pennsylvania 15205</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4B4B4B"/>
        </w:rPr>
        <w:t>PROXY STATEMENT</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4B4B4B"/>
        </w:rPr>
        <w:t>FOR THE ANNUAL MEETING OF STOCKHOLDERS</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4B4B4B"/>
        </w:rPr>
        <w:t>TO BE HELD ON JUNE 9, 2022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proxy statement (the “Proxy Statement”) and our annual report for the fiscal year ended December 31, 2021 (the “Annual Report” and, together with this Proxy Statement, the “proxy materials”) are being furnished by and on behalf of the board of directors (the “Board” or “Board of Directors”) of Duolingo, Inc. (the “Company,” “Duolingo,” “we,” “us,” or “our”), in connection with our 2022 annual meeting of stockholders (the “Annual Meeting”). The Notice of Annual Meeting and this Proxy Statement are first being distributed or made available, as the case may be, on or about April 22, 2022.</w:t>
      </w:r>
    </w:p>
    <w:p>
      <w:pPr>
        <w:sectPr>
          <w:pgSz w:w="11900" w:h="16838" w:orient="portrait"/>
          <w:cols w:equalWidth="0" w:num="1">
            <w:col w:w="11160"/>
          </w:cols>
          <w:pgMar w:left="320" w:top="1440" w:right="419" w:bottom="1440" w:gutter="0" w:footer="0" w:header="0"/>
        </w:sectPr>
      </w:pPr>
    </w:p>
    <w:bookmarkStart w:id="6" w:name="page7"/>
    <w:bookmarkEnd w:id="6"/>
    <w:p>
      <w:pPr>
        <w:spacing w:after="0"/>
        <w:rPr>
          <w:sz w:val="20"/>
          <w:szCs w:val="20"/>
          <w:color w:val="auto"/>
        </w:rPr>
      </w:pPr>
      <w:r>
        <w:rPr>
          <w:rFonts w:ascii="Arial" w:cs="Arial" w:eastAsia="Arial" w:hAnsi="Arial"/>
          <w:sz w:val="36"/>
          <w:szCs w:val="36"/>
          <w:b w:val="1"/>
          <w:bCs w:val="1"/>
          <w:color w:val="4B4B4B"/>
        </w:rPr>
        <w:t>General Information About the Annual Meeting and Voting</w:t>
      </w:r>
    </w:p>
    <w:p>
      <w:pPr>
        <w:spacing w:after="0" w:line="326"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Meeting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4B4B4B"/>
        </w:rPr>
        <w:t xml:space="preserve">Date: </w:t>
      </w:r>
      <w:r>
        <w:rPr>
          <w:rFonts w:ascii="Arial" w:cs="Arial" w:eastAsia="Arial" w:hAnsi="Arial"/>
          <w:sz w:val="18"/>
          <w:szCs w:val="18"/>
          <w:color w:val="4B4B4B"/>
        </w:rPr>
        <w:t>Thursday, June 9, 2022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4B4B4B"/>
        </w:rPr>
        <w:t xml:space="preserve">Time: </w:t>
      </w:r>
      <w:r>
        <w:rPr>
          <w:rFonts w:ascii="Arial" w:cs="Arial" w:eastAsia="Arial" w:hAnsi="Arial"/>
          <w:sz w:val="18"/>
          <w:szCs w:val="18"/>
          <w:color w:val="4B4B4B"/>
        </w:rPr>
        <w:t>11:30 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4B4B4B"/>
        </w:rPr>
        <w:t xml:space="preserve">Location: </w:t>
      </w:r>
      <w:r>
        <w:rPr>
          <w:rFonts w:ascii="Arial" w:cs="Arial" w:eastAsia="Arial" w:hAnsi="Arial"/>
          <w:sz w:val="18"/>
          <w:szCs w:val="18"/>
          <w:color w:val="4B4B4B"/>
        </w:rPr>
        <w:t>Virtual-only</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When and where will the Annual Meeting be held?</w:t>
      </w:r>
    </w:p>
    <w:p>
      <w:pPr>
        <w:spacing w:after="0" w:line="200" w:lineRule="exact"/>
        <w:rPr>
          <w:sz w:val="20"/>
          <w:szCs w:val="20"/>
          <w:color w:val="auto"/>
        </w:rPr>
      </w:pPr>
    </w:p>
    <w:p>
      <w:pPr>
        <w:spacing w:after="0" w:line="287" w:lineRule="exact"/>
        <w:rPr>
          <w:sz w:val="20"/>
          <w:szCs w:val="20"/>
          <w:color w:val="auto"/>
        </w:rPr>
      </w:pPr>
    </w:p>
    <w:p>
      <w:pPr>
        <w:ind w:left="20"/>
        <w:spacing w:after="0" w:line="268" w:lineRule="auto"/>
        <w:rPr>
          <w:sz w:val="20"/>
          <w:szCs w:val="20"/>
          <w:color w:val="auto"/>
        </w:rPr>
      </w:pPr>
      <w:r>
        <w:rPr>
          <w:rFonts w:ascii="Arial" w:cs="Arial" w:eastAsia="Arial" w:hAnsi="Arial"/>
          <w:sz w:val="18"/>
          <w:szCs w:val="18"/>
          <w:color w:val="4B4B4B"/>
        </w:rPr>
        <w:t>The Annual Meeting will be held on Thursday, June 9, 2022 at 11:30 a.m., Eastern Time. The Annual Meeting will be a completely virtual meeting, which will be conducted via live webcast. You will be able to attend the Annual Meeting online and submit your questions during the meeting by visiting www.virtualshareholdermeeting.com/DUOL2022 and entering your 16-digit control number included in your Notice of Internet Availability of Proxy Materials, on your proxy card or on the instructions that accompanied your proxy materials. If you lose your 16-digit control number, you may join the Annual Meeting as a “Guest” but you will not be able to vote, ask questions or access the list of stockholders as of the as of the close of business on April 12, 2022 (the “Record Date”).</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What are the purposes of the Annual Meeting?</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color w:val="4B4B4B"/>
        </w:rPr>
        <w:t>The purpose of the Annual Meeting is to vote on the following items described in this Proxy Statement:</w:t>
      </w:r>
    </w:p>
    <w:p>
      <w:pPr>
        <w:spacing w:after="0" w:line="185" w:lineRule="exact"/>
        <w:rPr>
          <w:sz w:val="20"/>
          <w:szCs w:val="20"/>
          <w:color w:val="auto"/>
        </w:rPr>
      </w:pPr>
    </w:p>
    <w:p>
      <w:pPr>
        <w:ind w:left="260" w:hanging="234"/>
        <w:spacing w:after="0"/>
        <w:tabs>
          <w:tab w:leader="none" w:pos="260" w:val="left"/>
        </w:tabs>
        <w:numPr>
          <w:ilvl w:val="0"/>
          <w:numId w:val="6"/>
        </w:numPr>
        <w:rPr>
          <w:rFonts w:ascii="Arial" w:cs="Arial" w:eastAsia="Arial" w:hAnsi="Arial"/>
          <w:sz w:val="18"/>
          <w:szCs w:val="18"/>
          <w:color w:val="4B4B4B"/>
        </w:rPr>
      </w:pPr>
      <w:r>
        <w:rPr>
          <w:rFonts w:ascii="Arial" w:cs="Arial" w:eastAsia="Arial" w:hAnsi="Arial"/>
          <w:sz w:val="18"/>
          <w:szCs w:val="18"/>
          <w:color w:val="4B4B4B"/>
        </w:rPr>
        <w:t>Proposal No. 1: Election of the director nominees listed in this Proxy Statement.</w:t>
      </w:r>
    </w:p>
    <w:p>
      <w:pPr>
        <w:spacing w:after="0" w:line="184" w:lineRule="exact"/>
        <w:rPr>
          <w:rFonts w:ascii="Arial" w:cs="Arial" w:eastAsia="Arial" w:hAnsi="Arial"/>
          <w:sz w:val="18"/>
          <w:szCs w:val="18"/>
          <w:color w:val="4B4B4B"/>
        </w:rPr>
      </w:pPr>
    </w:p>
    <w:p>
      <w:pPr>
        <w:ind w:left="260" w:hanging="234"/>
        <w:spacing w:after="0"/>
        <w:tabs>
          <w:tab w:leader="none" w:pos="260" w:val="left"/>
        </w:tabs>
        <w:numPr>
          <w:ilvl w:val="0"/>
          <w:numId w:val="6"/>
        </w:numPr>
        <w:rPr>
          <w:rFonts w:ascii="Arial" w:cs="Arial" w:eastAsia="Arial" w:hAnsi="Arial"/>
          <w:sz w:val="18"/>
          <w:szCs w:val="18"/>
          <w:color w:val="4B4B4B"/>
        </w:rPr>
      </w:pPr>
      <w:r>
        <w:rPr>
          <w:rFonts w:ascii="Arial" w:cs="Arial" w:eastAsia="Arial" w:hAnsi="Arial"/>
          <w:sz w:val="18"/>
          <w:szCs w:val="18"/>
          <w:color w:val="4B4B4B"/>
        </w:rPr>
        <w:t>Proposal No. 2: Ratification of the appointment of Deloitte &amp; Touche LLP as our independent registered public accounting firm for 2022.</w:t>
      </w:r>
    </w:p>
    <w:p>
      <w:pPr>
        <w:spacing w:after="0" w:line="324" w:lineRule="exact"/>
        <w:rPr>
          <w:sz w:val="20"/>
          <w:szCs w:val="20"/>
          <w:color w:val="auto"/>
        </w:rPr>
      </w:pPr>
    </w:p>
    <w:p>
      <w:pPr>
        <w:ind w:left="20" w:right="780"/>
        <w:spacing w:after="0" w:line="310" w:lineRule="auto"/>
        <w:rPr>
          <w:sz w:val="20"/>
          <w:szCs w:val="20"/>
          <w:color w:val="auto"/>
        </w:rPr>
      </w:pPr>
      <w:r>
        <w:rPr>
          <w:rFonts w:ascii="Arial" w:cs="Arial" w:eastAsia="Arial" w:hAnsi="Arial"/>
          <w:sz w:val="23"/>
          <w:szCs w:val="23"/>
          <w:b w:val="1"/>
          <w:bCs w:val="1"/>
          <w:color w:val="4B4B4B"/>
        </w:rPr>
        <w:t>Are there any matters to be voted on at the Annual Meeting that are not included in this Proxy Statement?</w:t>
      </w:r>
    </w:p>
    <w:p>
      <w:pPr>
        <w:spacing w:after="0" w:line="366" w:lineRule="exact"/>
        <w:rPr>
          <w:sz w:val="20"/>
          <w:szCs w:val="20"/>
          <w:color w:val="auto"/>
        </w:rPr>
      </w:pPr>
    </w:p>
    <w:p>
      <w:pPr>
        <w:ind w:left="20" w:right="220"/>
        <w:spacing w:after="0" w:line="269" w:lineRule="auto"/>
        <w:rPr>
          <w:sz w:val="20"/>
          <w:szCs w:val="20"/>
          <w:color w:val="auto"/>
        </w:rPr>
      </w:pPr>
      <w:r>
        <w:rPr>
          <w:rFonts w:ascii="Arial" w:cs="Arial" w:eastAsia="Arial" w:hAnsi="Arial"/>
          <w:sz w:val="18"/>
          <w:szCs w:val="18"/>
          <w:color w:val="4B4B4B"/>
        </w:rPr>
        <w:t>At the date this Proxy Statement went to press, we did not know of any matters to be properly presented at the Annual Meeting other than those referred to in this Proxy Statement. If other matters are properly presented at the meeting or any adjournment or postponement thereof for consideration, and you are a stockholder of record and have submitted a proxy card, the persons named in your proxy card will have the discretion to vote on those matters for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782955</wp:posOffset>
            </wp:positionV>
            <wp:extent cx="7106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4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20" w:type="dxa"/>
            <w:vAlign w:val="bottom"/>
          </w:tcPr>
          <w:p>
            <w:pPr>
              <w:jc w:val="right"/>
              <w:spacing w:after="0"/>
              <w:rPr>
                <w:sz w:val="20"/>
                <w:szCs w:val="20"/>
                <w:color w:val="auto"/>
              </w:rPr>
            </w:pPr>
            <w:r>
              <w:rPr>
                <w:rFonts w:ascii="Arial" w:cs="Arial" w:eastAsia="Arial" w:hAnsi="Arial"/>
                <w:sz w:val="14"/>
                <w:szCs w:val="14"/>
                <w:b w:val="1"/>
                <w:bCs w:val="1"/>
                <w:color w:val="AFAFAF"/>
              </w:rPr>
              <w:t>2</w:t>
            </w:r>
          </w:p>
        </w:tc>
      </w:tr>
    </w:tbl>
    <w:p>
      <w:pPr>
        <w:sectPr>
          <w:pgSz w:w="11900" w:h="16838" w:orient="portrait"/>
          <w:cols w:equalWidth="0" w:num="1">
            <w:col w:w="11200"/>
          </w:cols>
          <w:pgMar w:left="320" w:top="1307" w:right="379" w:bottom="1440" w:gutter="0" w:footer="0" w:header="0"/>
        </w:sectPr>
      </w:pPr>
    </w:p>
    <w:bookmarkStart w:id="7" w:name="page8"/>
    <w:bookmarkEnd w:id="7"/>
    <w:p>
      <w:pPr>
        <w:ind w:left="20"/>
        <w:spacing w:after="0"/>
        <w:rPr>
          <w:sz w:val="20"/>
          <w:szCs w:val="20"/>
          <w:color w:val="auto"/>
        </w:rPr>
      </w:pPr>
      <w:r>
        <w:rPr>
          <w:rFonts w:ascii="Arial" w:cs="Arial" w:eastAsia="Arial" w:hAnsi="Arial"/>
          <w:sz w:val="23"/>
          <w:szCs w:val="23"/>
          <w:b w:val="1"/>
          <w:bCs w:val="1"/>
          <w:color w:val="4B4B4B"/>
        </w:rPr>
        <w:t>How do I vote my shares without attending the Annual Meeting?</w:t>
      </w:r>
    </w:p>
    <w:p>
      <w:pPr>
        <w:spacing w:after="0" w:line="200" w:lineRule="exact"/>
        <w:rPr>
          <w:sz w:val="20"/>
          <w:szCs w:val="20"/>
          <w:color w:val="auto"/>
        </w:rPr>
      </w:pPr>
    </w:p>
    <w:p>
      <w:pPr>
        <w:spacing w:after="0" w:line="287" w:lineRule="exact"/>
        <w:rPr>
          <w:sz w:val="20"/>
          <w:szCs w:val="20"/>
          <w:color w:val="auto"/>
        </w:rPr>
      </w:pPr>
    </w:p>
    <w:p>
      <w:pPr>
        <w:ind w:left="20" w:right="860"/>
        <w:spacing w:after="0" w:line="277" w:lineRule="auto"/>
        <w:rPr>
          <w:sz w:val="20"/>
          <w:szCs w:val="20"/>
          <w:color w:val="auto"/>
        </w:rPr>
      </w:pPr>
      <w:r>
        <w:rPr>
          <w:rFonts w:ascii="Arial" w:cs="Arial" w:eastAsia="Arial" w:hAnsi="Arial"/>
          <w:sz w:val="18"/>
          <w:szCs w:val="18"/>
          <w:color w:val="4B4B4B"/>
        </w:rPr>
        <w:t>We recommend that stockholders vote by proxy even if they plan to attend the Annual Meeting and vote electronically. If you are a stockholder of record, there are three ways to vote by proxy:</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4B4B4B"/>
        </w:rPr>
        <w:t>By Internet:</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4B4B4B"/>
        </w:rPr>
        <w:t>You can vote over the Internet at www.proxyvote.com by following the instructions on the Notice and Access Card or proxy card;</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4B4B4B"/>
        </w:rPr>
        <w:t>By Telephone:</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4B4B4B"/>
        </w:rPr>
        <w:t>You can vote by telephone by calling 1-800-690-6903 and following the instructions on the proxy card; or</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4B4B4B"/>
        </w:rPr>
        <w:t>By Mail:</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4B4B4B"/>
        </w:rPr>
        <w:t>You can vote by mail by signing, dating and mailing the proxy card, which you may have received by mail.</w:t>
      </w:r>
    </w:p>
    <w:p>
      <w:pPr>
        <w:spacing w:after="0" w:line="185" w:lineRule="exact"/>
        <w:rPr>
          <w:sz w:val="20"/>
          <w:szCs w:val="20"/>
          <w:color w:val="auto"/>
        </w:rPr>
      </w:pPr>
    </w:p>
    <w:p>
      <w:pPr>
        <w:ind w:left="20" w:right="60"/>
        <w:spacing w:after="0" w:line="277" w:lineRule="auto"/>
        <w:rPr>
          <w:sz w:val="20"/>
          <w:szCs w:val="20"/>
          <w:color w:val="auto"/>
        </w:rPr>
      </w:pPr>
      <w:r>
        <w:rPr>
          <w:rFonts w:ascii="Arial" w:cs="Arial" w:eastAsia="Arial" w:hAnsi="Arial"/>
          <w:sz w:val="18"/>
          <w:szCs w:val="18"/>
          <w:color w:val="4B4B4B"/>
        </w:rPr>
        <w:t>Internet and Telephone voting facilities for stockholders of record will be available 24 hours a day and will close at 11:59 p.m., Eastern Time, on June 8, 2022.</w:t>
      </w:r>
    </w:p>
    <w:p>
      <w:pPr>
        <w:spacing w:after="0" w:line="143" w:lineRule="exact"/>
        <w:rPr>
          <w:sz w:val="20"/>
          <w:szCs w:val="20"/>
          <w:color w:val="auto"/>
        </w:rPr>
      </w:pPr>
    </w:p>
    <w:p>
      <w:pPr>
        <w:ind w:left="20" w:right="340"/>
        <w:spacing w:after="0" w:line="308" w:lineRule="auto"/>
        <w:rPr>
          <w:sz w:val="20"/>
          <w:szCs w:val="20"/>
          <w:color w:val="auto"/>
        </w:rPr>
      </w:pPr>
      <w:r>
        <w:rPr>
          <w:rFonts w:ascii="Arial" w:cs="Arial" w:eastAsia="Arial" w:hAnsi="Arial"/>
          <w:sz w:val="17"/>
          <w:szCs w:val="17"/>
          <w:color w:val="4B4B4B"/>
        </w:rPr>
        <w:t>If your shares are held in the name of a bank, broker or other holder of record, you will receive instructions on how to vote from the bank, broker or holder of record. You must follow the instructions of such bank, broker or holder of record in order for your shares to be voted.</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How many votes are required to approve each proposal?</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color w:val="4B4B4B"/>
        </w:rPr>
        <w:t>The table below summarizes the proposals that will be voted on, the vote required to approve each item and how votes are counted: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80" w:type="dxa"/>
            <w:vAlign w:val="bottom"/>
            <w:shd w:val="clear" w:color="auto" w:fill="F7F7F7"/>
          </w:tcPr>
          <w:p>
            <w:pPr>
              <w:spacing w:after="0"/>
              <w:rPr>
                <w:sz w:val="18"/>
                <w:szCs w:val="18"/>
                <w:color w:val="auto"/>
              </w:rPr>
            </w:pPr>
          </w:p>
        </w:tc>
        <w:tc>
          <w:tcPr>
            <w:tcW w:w="3880" w:type="dxa"/>
            <w:vAlign w:val="bottom"/>
            <w:shd w:val="clear" w:color="auto" w:fill="F7F7F7"/>
          </w:tcPr>
          <w:p>
            <w:pPr>
              <w:spacing w:after="0"/>
              <w:rPr>
                <w:sz w:val="18"/>
                <w:szCs w:val="18"/>
                <w:color w:val="auto"/>
              </w:rPr>
            </w:pPr>
          </w:p>
        </w:tc>
        <w:tc>
          <w:tcPr>
            <w:tcW w:w="1760" w:type="dxa"/>
            <w:vAlign w:val="bottom"/>
            <w:shd w:val="clear" w:color="auto" w:fill="F7F7F7"/>
          </w:tcPr>
          <w:p>
            <w:pPr>
              <w:spacing w:after="0"/>
              <w:rPr>
                <w:sz w:val="18"/>
                <w:szCs w:val="18"/>
                <w:color w:val="auto"/>
              </w:rPr>
            </w:pPr>
          </w:p>
        </w:tc>
        <w:tc>
          <w:tcPr>
            <w:tcW w:w="1720" w:type="dxa"/>
            <w:vAlign w:val="bottom"/>
            <w:shd w:val="clear" w:color="auto" w:fill="F7F7F7"/>
          </w:tcPr>
          <w:p>
            <w:pPr>
              <w:ind w:left="440"/>
              <w:spacing w:after="0"/>
              <w:rPr>
                <w:sz w:val="20"/>
                <w:szCs w:val="20"/>
                <w:color w:val="auto"/>
              </w:rPr>
            </w:pPr>
            <w:r>
              <w:rPr>
                <w:rFonts w:ascii="Arial" w:cs="Arial" w:eastAsia="Arial" w:hAnsi="Arial"/>
                <w:sz w:val="16"/>
                <w:szCs w:val="16"/>
                <w:b w:val="1"/>
                <w:bCs w:val="1"/>
                <w:color w:val="4B4B4B"/>
              </w:rPr>
              <w:t>Impact of</w:t>
            </w:r>
          </w:p>
        </w:tc>
        <w:tc>
          <w:tcPr>
            <w:tcW w:w="178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Broker</w:t>
            </w:r>
          </w:p>
        </w:tc>
      </w:tr>
      <w:tr>
        <w:trPr>
          <w:trHeight w:val="203"/>
        </w:trPr>
        <w:tc>
          <w:tcPr>
            <w:tcW w:w="2080" w:type="dxa"/>
            <w:vAlign w:val="bottom"/>
            <w:shd w:val="clear" w:color="auto" w:fill="F7F7F7"/>
          </w:tcPr>
          <w:p>
            <w:pPr>
              <w:spacing w:after="0"/>
              <w:rPr>
                <w:sz w:val="17"/>
                <w:szCs w:val="17"/>
                <w:color w:val="auto"/>
              </w:rPr>
            </w:pPr>
          </w:p>
        </w:tc>
        <w:tc>
          <w:tcPr>
            <w:tcW w:w="3880" w:type="dxa"/>
            <w:vAlign w:val="bottom"/>
            <w:shd w:val="clear" w:color="auto" w:fill="F7F7F7"/>
          </w:tcPr>
          <w:p>
            <w:pPr>
              <w:spacing w:after="0"/>
              <w:rPr>
                <w:sz w:val="17"/>
                <w:szCs w:val="17"/>
                <w:color w:val="auto"/>
              </w:rPr>
            </w:pPr>
          </w:p>
        </w:tc>
        <w:tc>
          <w:tcPr>
            <w:tcW w:w="1760" w:type="dxa"/>
            <w:vAlign w:val="bottom"/>
            <w:shd w:val="clear" w:color="auto" w:fill="F7F7F7"/>
          </w:tcPr>
          <w:p>
            <w:pPr>
              <w:ind w:left="560"/>
              <w:spacing w:after="0"/>
              <w:rPr>
                <w:sz w:val="20"/>
                <w:szCs w:val="20"/>
                <w:color w:val="auto"/>
              </w:rPr>
            </w:pPr>
            <w:r>
              <w:rPr>
                <w:rFonts w:ascii="Arial" w:cs="Arial" w:eastAsia="Arial" w:hAnsi="Arial"/>
                <w:sz w:val="16"/>
                <w:szCs w:val="16"/>
                <w:b w:val="1"/>
                <w:bCs w:val="1"/>
                <w:color w:val="4B4B4B"/>
              </w:rPr>
              <w:t>Voting</w:t>
            </w:r>
          </w:p>
        </w:tc>
        <w:tc>
          <w:tcPr>
            <w:tcW w:w="1720" w:type="dxa"/>
            <w:vAlign w:val="bottom"/>
            <w:shd w:val="clear" w:color="auto" w:fill="F7F7F7"/>
          </w:tcPr>
          <w:p>
            <w:pPr>
              <w:jc w:val="center"/>
              <w:ind w:right="19"/>
              <w:spacing w:after="0"/>
              <w:rPr>
                <w:sz w:val="20"/>
                <w:szCs w:val="20"/>
                <w:color w:val="auto"/>
              </w:rPr>
            </w:pPr>
            <w:r>
              <w:rPr>
                <w:rFonts w:ascii="Arial" w:cs="Arial" w:eastAsia="Arial" w:hAnsi="Arial"/>
                <w:sz w:val="16"/>
                <w:szCs w:val="16"/>
                <w:b w:val="1"/>
                <w:bCs w:val="1"/>
                <w:color w:val="4B4B4B"/>
              </w:rPr>
              <w:t>“Withhold” or</w:t>
            </w:r>
          </w:p>
        </w:tc>
        <w:tc>
          <w:tcPr>
            <w:tcW w:w="178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Discretionary</w:t>
            </w:r>
          </w:p>
        </w:tc>
      </w:tr>
      <w:tr>
        <w:trPr>
          <w:trHeight w:val="215"/>
        </w:trPr>
        <w:tc>
          <w:tcPr>
            <w:tcW w:w="2080" w:type="dxa"/>
            <w:vAlign w:val="bottom"/>
            <w:shd w:val="clear" w:color="auto" w:fill="F7F7F7"/>
          </w:tcPr>
          <w:p>
            <w:pPr>
              <w:ind w:left="180"/>
              <w:spacing w:after="0"/>
              <w:rPr>
                <w:sz w:val="20"/>
                <w:szCs w:val="20"/>
                <w:color w:val="auto"/>
              </w:rPr>
            </w:pPr>
            <w:r>
              <w:rPr>
                <w:rFonts w:ascii="Arial" w:cs="Arial" w:eastAsia="Arial" w:hAnsi="Arial"/>
                <w:sz w:val="16"/>
                <w:szCs w:val="16"/>
                <w:b w:val="1"/>
                <w:bCs w:val="1"/>
                <w:color w:val="4B4B4B"/>
              </w:rPr>
              <w:t>Proposal</w:t>
            </w:r>
          </w:p>
        </w:tc>
        <w:tc>
          <w:tcPr>
            <w:tcW w:w="3880" w:type="dxa"/>
            <w:vAlign w:val="bottom"/>
            <w:shd w:val="clear" w:color="auto" w:fill="F7F7F7"/>
          </w:tcPr>
          <w:p>
            <w:pPr>
              <w:ind w:left="20"/>
              <w:spacing w:after="0"/>
              <w:rPr>
                <w:sz w:val="20"/>
                <w:szCs w:val="20"/>
                <w:color w:val="auto"/>
              </w:rPr>
            </w:pPr>
            <w:r>
              <w:rPr>
                <w:rFonts w:ascii="Arial" w:cs="Arial" w:eastAsia="Arial" w:hAnsi="Arial"/>
                <w:sz w:val="16"/>
                <w:szCs w:val="16"/>
                <w:b w:val="1"/>
                <w:bCs w:val="1"/>
                <w:color w:val="4B4B4B"/>
              </w:rPr>
              <w:t>Votes Required</w:t>
            </w:r>
          </w:p>
        </w:tc>
        <w:tc>
          <w:tcPr>
            <w:tcW w:w="1760" w:type="dxa"/>
            <w:vAlign w:val="bottom"/>
            <w:shd w:val="clear" w:color="auto" w:fill="F7F7F7"/>
          </w:tcPr>
          <w:p>
            <w:pPr>
              <w:jc w:val="center"/>
              <w:ind w:right="19"/>
              <w:spacing w:after="0"/>
              <w:rPr>
                <w:sz w:val="20"/>
                <w:szCs w:val="20"/>
                <w:color w:val="auto"/>
              </w:rPr>
            </w:pPr>
            <w:r>
              <w:rPr>
                <w:rFonts w:ascii="Arial" w:cs="Arial" w:eastAsia="Arial" w:hAnsi="Arial"/>
                <w:sz w:val="16"/>
                <w:szCs w:val="16"/>
                <w:b w:val="1"/>
                <w:bCs w:val="1"/>
                <w:color w:val="4B4B4B"/>
              </w:rPr>
              <w:t>Options</w:t>
            </w:r>
          </w:p>
        </w:tc>
        <w:tc>
          <w:tcPr>
            <w:tcW w:w="1720" w:type="dxa"/>
            <w:vAlign w:val="bottom"/>
            <w:shd w:val="clear" w:color="auto" w:fill="F7F7F7"/>
          </w:tcPr>
          <w:p>
            <w:pPr>
              <w:jc w:val="center"/>
              <w:ind w:right="19"/>
              <w:spacing w:after="0"/>
              <w:rPr>
                <w:sz w:val="20"/>
                <w:szCs w:val="20"/>
                <w:color w:val="auto"/>
              </w:rPr>
            </w:pPr>
            <w:r>
              <w:rPr>
                <w:rFonts w:ascii="Arial" w:cs="Arial" w:eastAsia="Arial" w:hAnsi="Arial"/>
                <w:sz w:val="16"/>
                <w:szCs w:val="16"/>
                <w:b w:val="1"/>
                <w:bCs w:val="1"/>
                <w:color w:val="4B4B4B"/>
                <w:w w:val="99"/>
              </w:rPr>
              <w:t>“Abstain” Votes</w:t>
            </w:r>
          </w:p>
        </w:tc>
        <w:tc>
          <w:tcPr>
            <w:tcW w:w="1780" w:type="dxa"/>
            <w:vAlign w:val="bottom"/>
            <w:shd w:val="clear" w:color="auto" w:fill="F7F7F7"/>
          </w:tcPr>
          <w:p>
            <w:pPr>
              <w:ind w:left="300"/>
              <w:spacing w:after="0"/>
              <w:rPr>
                <w:sz w:val="20"/>
                <w:szCs w:val="20"/>
                <w:color w:val="auto"/>
              </w:rPr>
            </w:pPr>
            <w:r>
              <w:rPr>
                <w:rFonts w:ascii="Arial" w:cs="Arial" w:eastAsia="Arial" w:hAnsi="Arial"/>
                <w:sz w:val="16"/>
                <w:szCs w:val="16"/>
                <w:b w:val="1"/>
                <w:bCs w:val="1"/>
                <w:color w:val="4B4B4B"/>
              </w:rPr>
              <w:t>Voting Allowed</w:t>
            </w:r>
          </w:p>
        </w:tc>
      </w:tr>
      <w:tr>
        <w:trPr>
          <w:trHeight w:val="128"/>
        </w:trPr>
        <w:tc>
          <w:tcPr>
            <w:tcW w:w="2080" w:type="dxa"/>
            <w:vAlign w:val="bottom"/>
            <w:shd w:val="clear" w:color="auto" w:fill="F7F7F7"/>
          </w:tcPr>
          <w:p>
            <w:pPr>
              <w:spacing w:after="0"/>
              <w:rPr>
                <w:sz w:val="11"/>
                <w:szCs w:val="11"/>
                <w:color w:val="auto"/>
              </w:rPr>
            </w:pPr>
          </w:p>
        </w:tc>
        <w:tc>
          <w:tcPr>
            <w:tcW w:w="3880" w:type="dxa"/>
            <w:vAlign w:val="bottom"/>
            <w:shd w:val="clear" w:color="auto" w:fill="F7F7F7"/>
          </w:tcPr>
          <w:p>
            <w:pPr>
              <w:spacing w:after="0"/>
              <w:rPr>
                <w:sz w:val="11"/>
                <w:szCs w:val="11"/>
                <w:color w:val="auto"/>
              </w:rPr>
            </w:pPr>
          </w:p>
        </w:tc>
        <w:tc>
          <w:tcPr>
            <w:tcW w:w="1760" w:type="dxa"/>
            <w:vAlign w:val="bottom"/>
            <w:shd w:val="clear" w:color="auto" w:fill="F7F7F7"/>
          </w:tcPr>
          <w:p>
            <w:pPr>
              <w:spacing w:after="0"/>
              <w:rPr>
                <w:sz w:val="11"/>
                <w:szCs w:val="11"/>
                <w:color w:val="auto"/>
              </w:rPr>
            </w:pPr>
          </w:p>
        </w:tc>
        <w:tc>
          <w:tcPr>
            <w:tcW w:w="1720" w:type="dxa"/>
            <w:vAlign w:val="bottom"/>
            <w:shd w:val="clear" w:color="auto" w:fill="F7F7F7"/>
          </w:tcPr>
          <w:p>
            <w:pPr>
              <w:spacing w:after="0"/>
              <w:rPr>
                <w:sz w:val="11"/>
                <w:szCs w:val="11"/>
                <w:color w:val="auto"/>
              </w:rPr>
            </w:pPr>
          </w:p>
        </w:tc>
        <w:tc>
          <w:tcPr>
            <w:tcW w:w="1780" w:type="dxa"/>
            <w:vAlign w:val="bottom"/>
            <w:shd w:val="clear" w:color="auto" w:fill="F7F7F7"/>
          </w:tcPr>
          <w:p>
            <w:pPr>
              <w:spacing w:after="0"/>
              <w:rPr>
                <w:sz w:val="11"/>
                <w:szCs w:val="11"/>
                <w:color w:val="auto"/>
              </w:rPr>
            </w:pPr>
          </w:p>
        </w:tc>
      </w:tr>
      <w:tr>
        <w:trPr>
          <w:trHeight w:val="385"/>
        </w:trPr>
        <w:tc>
          <w:tcPr>
            <w:tcW w:w="2080" w:type="dxa"/>
            <w:vAlign w:val="bottom"/>
          </w:tcPr>
          <w:p>
            <w:pPr>
              <w:ind w:left="180"/>
              <w:spacing w:after="0"/>
              <w:rPr>
                <w:sz w:val="20"/>
                <w:szCs w:val="20"/>
                <w:color w:val="auto"/>
              </w:rPr>
            </w:pPr>
            <w:r>
              <w:rPr>
                <w:rFonts w:ascii="Arial" w:cs="Arial" w:eastAsia="Arial" w:hAnsi="Arial"/>
                <w:sz w:val="16"/>
                <w:szCs w:val="16"/>
                <w:b w:val="1"/>
                <w:bCs w:val="1"/>
                <w:color w:val="4B4B4B"/>
              </w:rPr>
              <w:t xml:space="preserve">Proposal No. 1: </w:t>
            </w:r>
            <w:r>
              <w:rPr>
                <w:rFonts w:ascii="Arial" w:cs="Arial" w:eastAsia="Arial" w:hAnsi="Arial"/>
                <w:sz w:val="16"/>
                <w:szCs w:val="16"/>
                <w:color w:val="4B4B4B"/>
              </w:rPr>
              <w:t>Election</w:t>
            </w:r>
          </w:p>
        </w:tc>
        <w:tc>
          <w:tcPr>
            <w:tcW w:w="3880" w:type="dxa"/>
            <w:vAlign w:val="bottom"/>
          </w:tcPr>
          <w:p>
            <w:pPr>
              <w:ind w:left="20"/>
              <w:spacing w:after="0"/>
              <w:rPr>
                <w:sz w:val="20"/>
                <w:szCs w:val="20"/>
                <w:color w:val="auto"/>
              </w:rPr>
            </w:pPr>
            <w:r>
              <w:rPr>
                <w:rFonts w:ascii="Arial" w:cs="Arial" w:eastAsia="Arial" w:hAnsi="Arial"/>
                <w:sz w:val="16"/>
                <w:szCs w:val="16"/>
                <w:color w:val="4B4B4B"/>
              </w:rPr>
              <w:t>The plurality of the votes cast. This means that the</w:t>
            </w:r>
          </w:p>
        </w:tc>
        <w:tc>
          <w:tcPr>
            <w:tcW w:w="1760" w:type="dxa"/>
            <w:vAlign w:val="bottom"/>
          </w:tcPr>
          <w:p>
            <w:pPr>
              <w:jc w:val="center"/>
              <w:ind w:right="19"/>
              <w:spacing w:after="0"/>
              <w:rPr>
                <w:sz w:val="20"/>
                <w:szCs w:val="20"/>
                <w:color w:val="auto"/>
              </w:rPr>
            </w:pPr>
            <w:r>
              <w:rPr>
                <w:rFonts w:ascii="Arial" w:cs="Arial" w:eastAsia="Arial" w:hAnsi="Arial"/>
                <w:sz w:val="16"/>
                <w:szCs w:val="16"/>
                <w:color w:val="4B4B4B"/>
              </w:rPr>
              <w:t>“FOR ALL”</w:t>
            </w:r>
          </w:p>
        </w:tc>
        <w:tc>
          <w:tcPr>
            <w:tcW w:w="1720" w:type="dxa"/>
            <w:vAlign w:val="bottom"/>
          </w:tcPr>
          <w:p>
            <w:pPr>
              <w:jc w:val="center"/>
              <w:ind w:right="19"/>
              <w:spacing w:after="0"/>
              <w:rPr>
                <w:sz w:val="20"/>
                <w:szCs w:val="20"/>
                <w:color w:val="auto"/>
              </w:rPr>
            </w:pPr>
            <w:r>
              <w:rPr>
                <w:rFonts w:ascii="Arial" w:cs="Arial" w:eastAsia="Arial" w:hAnsi="Arial"/>
                <w:sz w:val="16"/>
                <w:szCs w:val="16"/>
                <w:color w:val="4B4B4B"/>
              </w:rPr>
              <w:t>None(1)</w:t>
            </w:r>
          </w:p>
        </w:tc>
        <w:tc>
          <w:tcPr>
            <w:tcW w:w="1780" w:type="dxa"/>
            <w:vAlign w:val="bottom"/>
          </w:tcPr>
          <w:p>
            <w:pPr>
              <w:jc w:val="center"/>
              <w:spacing w:after="0"/>
              <w:rPr>
                <w:sz w:val="20"/>
                <w:szCs w:val="20"/>
                <w:color w:val="auto"/>
              </w:rPr>
            </w:pPr>
            <w:r>
              <w:rPr>
                <w:rFonts w:ascii="Arial" w:cs="Arial" w:eastAsia="Arial" w:hAnsi="Arial"/>
                <w:sz w:val="16"/>
                <w:szCs w:val="16"/>
                <w:color w:val="4B4B4B"/>
              </w:rPr>
              <w:t>No(3)</w:t>
            </w:r>
          </w:p>
        </w:tc>
      </w:tr>
      <w:tr>
        <w:trPr>
          <w:trHeight w:val="203"/>
        </w:trPr>
        <w:tc>
          <w:tcPr>
            <w:tcW w:w="2080" w:type="dxa"/>
            <w:vAlign w:val="bottom"/>
          </w:tcPr>
          <w:p>
            <w:pPr>
              <w:ind w:left="180"/>
              <w:spacing w:after="0"/>
              <w:rPr>
                <w:sz w:val="20"/>
                <w:szCs w:val="20"/>
                <w:color w:val="auto"/>
              </w:rPr>
            </w:pPr>
            <w:r>
              <w:rPr>
                <w:rFonts w:ascii="Arial" w:cs="Arial" w:eastAsia="Arial" w:hAnsi="Arial"/>
                <w:sz w:val="16"/>
                <w:szCs w:val="16"/>
                <w:color w:val="4B4B4B"/>
              </w:rPr>
              <w:t>of Directors</w:t>
            </w:r>
          </w:p>
        </w:tc>
        <w:tc>
          <w:tcPr>
            <w:tcW w:w="3880" w:type="dxa"/>
            <w:vAlign w:val="bottom"/>
          </w:tcPr>
          <w:p>
            <w:pPr>
              <w:ind w:left="20"/>
              <w:spacing w:after="0"/>
              <w:rPr>
                <w:sz w:val="20"/>
                <w:szCs w:val="20"/>
                <w:color w:val="auto"/>
              </w:rPr>
            </w:pPr>
            <w:r>
              <w:rPr>
                <w:rFonts w:ascii="Arial" w:cs="Arial" w:eastAsia="Arial" w:hAnsi="Arial"/>
                <w:sz w:val="16"/>
                <w:szCs w:val="16"/>
                <w:color w:val="4B4B4B"/>
              </w:rPr>
              <w:t>three nominees receiving the highest number of</w:t>
            </w:r>
          </w:p>
        </w:tc>
        <w:tc>
          <w:tcPr>
            <w:tcW w:w="1760" w:type="dxa"/>
            <w:vAlign w:val="bottom"/>
          </w:tcPr>
          <w:p>
            <w:pPr>
              <w:jc w:val="center"/>
              <w:ind w:right="19"/>
              <w:spacing w:after="0"/>
              <w:rPr>
                <w:sz w:val="20"/>
                <w:szCs w:val="20"/>
                <w:color w:val="auto"/>
              </w:rPr>
            </w:pPr>
            <w:r>
              <w:rPr>
                <w:rFonts w:ascii="Arial" w:cs="Arial" w:eastAsia="Arial" w:hAnsi="Arial"/>
                <w:sz w:val="16"/>
                <w:szCs w:val="16"/>
                <w:color w:val="4B4B4B"/>
              </w:rPr>
              <w:t>“WITHHOLD ALL”</w:t>
            </w:r>
          </w:p>
        </w:tc>
        <w:tc>
          <w:tcPr>
            <w:tcW w:w="17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2080" w:type="dxa"/>
            <w:vAlign w:val="bottom"/>
          </w:tcPr>
          <w:p>
            <w:pPr>
              <w:spacing w:after="0"/>
              <w:rPr>
                <w:sz w:val="17"/>
                <w:szCs w:val="17"/>
                <w:color w:val="auto"/>
              </w:rPr>
            </w:pPr>
          </w:p>
        </w:tc>
        <w:tc>
          <w:tcPr>
            <w:tcW w:w="3880" w:type="dxa"/>
            <w:vAlign w:val="bottom"/>
          </w:tcPr>
          <w:p>
            <w:pPr>
              <w:ind w:left="20"/>
              <w:spacing w:after="0"/>
              <w:rPr>
                <w:sz w:val="20"/>
                <w:szCs w:val="20"/>
                <w:color w:val="auto"/>
              </w:rPr>
            </w:pPr>
            <w:r>
              <w:rPr>
                <w:rFonts w:ascii="Arial" w:cs="Arial" w:eastAsia="Arial" w:hAnsi="Arial"/>
                <w:sz w:val="16"/>
                <w:szCs w:val="16"/>
                <w:color w:val="4B4B4B"/>
              </w:rPr>
              <w:t>affirmative “FOR” votes will be elected as Class I</w:t>
            </w:r>
          </w:p>
        </w:tc>
        <w:tc>
          <w:tcPr>
            <w:tcW w:w="1760" w:type="dxa"/>
            <w:vAlign w:val="bottom"/>
          </w:tcPr>
          <w:p>
            <w:pPr>
              <w:jc w:val="center"/>
              <w:ind w:right="39"/>
              <w:spacing w:after="0"/>
              <w:rPr>
                <w:sz w:val="20"/>
                <w:szCs w:val="20"/>
                <w:color w:val="auto"/>
              </w:rPr>
            </w:pPr>
            <w:r>
              <w:rPr>
                <w:rFonts w:ascii="Arial" w:cs="Arial" w:eastAsia="Arial" w:hAnsi="Arial"/>
                <w:sz w:val="16"/>
                <w:szCs w:val="16"/>
                <w:color w:val="4B4B4B"/>
              </w:rPr>
              <w:t>“FOR ALL EXCEPT”</w:t>
            </w:r>
          </w:p>
        </w:tc>
        <w:tc>
          <w:tcPr>
            <w:tcW w:w="17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2080" w:type="dxa"/>
            <w:vAlign w:val="bottom"/>
          </w:tcPr>
          <w:p>
            <w:pPr>
              <w:spacing w:after="0"/>
              <w:rPr>
                <w:sz w:val="17"/>
                <w:szCs w:val="17"/>
                <w:color w:val="auto"/>
              </w:rPr>
            </w:pPr>
          </w:p>
        </w:tc>
        <w:tc>
          <w:tcPr>
            <w:tcW w:w="3880" w:type="dxa"/>
            <w:vAlign w:val="bottom"/>
          </w:tcPr>
          <w:p>
            <w:pPr>
              <w:ind w:left="20"/>
              <w:spacing w:after="0"/>
              <w:rPr>
                <w:sz w:val="20"/>
                <w:szCs w:val="20"/>
                <w:color w:val="auto"/>
              </w:rPr>
            </w:pPr>
            <w:r>
              <w:rPr>
                <w:rFonts w:ascii="Arial" w:cs="Arial" w:eastAsia="Arial" w:hAnsi="Arial"/>
                <w:sz w:val="16"/>
                <w:szCs w:val="16"/>
                <w:color w:val="4B4B4B"/>
              </w:rPr>
              <w:t>directors.</w:t>
            </w:r>
          </w:p>
        </w:tc>
        <w:tc>
          <w:tcPr>
            <w:tcW w:w="1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540"/>
        </w:trPr>
        <w:tc>
          <w:tcPr>
            <w:tcW w:w="2080" w:type="dxa"/>
            <w:vAlign w:val="bottom"/>
          </w:tcPr>
          <w:p>
            <w:pPr>
              <w:ind w:left="180"/>
              <w:spacing w:after="0"/>
              <w:rPr>
                <w:sz w:val="20"/>
                <w:szCs w:val="20"/>
                <w:color w:val="auto"/>
              </w:rPr>
            </w:pPr>
            <w:r>
              <w:rPr>
                <w:rFonts w:ascii="Arial" w:cs="Arial" w:eastAsia="Arial" w:hAnsi="Arial"/>
                <w:sz w:val="16"/>
                <w:szCs w:val="16"/>
                <w:b w:val="1"/>
                <w:bCs w:val="1"/>
                <w:color w:val="4B4B4B"/>
              </w:rPr>
              <w:t>Proposal No. 2:</w:t>
            </w:r>
          </w:p>
        </w:tc>
        <w:tc>
          <w:tcPr>
            <w:tcW w:w="3880" w:type="dxa"/>
            <w:vAlign w:val="bottom"/>
          </w:tcPr>
          <w:p>
            <w:pPr>
              <w:ind w:left="20"/>
              <w:spacing w:after="0"/>
              <w:rPr>
                <w:sz w:val="20"/>
                <w:szCs w:val="20"/>
                <w:color w:val="auto"/>
              </w:rPr>
            </w:pPr>
            <w:r>
              <w:rPr>
                <w:rFonts w:ascii="Arial" w:cs="Arial" w:eastAsia="Arial" w:hAnsi="Arial"/>
                <w:sz w:val="16"/>
                <w:szCs w:val="16"/>
                <w:color w:val="4B4B4B"/>
              </w:rPr>
              <w:t>The affirmative vote of the holders of a majority in</w:t>
            </w:r>
          </w:p>
        </w:tc>
        <w:tc>
          <w:tcPr>
            <w:tcW w:w="1760" w:type="dxa"/>
            <w:vAlign w:val="bottom"/>
          </w:tcPr>
          <w:p>
            <w:pPr>
              <w:jc w:val="center"/>
              <w:ind w:right="19"/>
              <w:spacing w:after="0"/>
              <w:rPr>
                <w:sz w:val="20"/>
                <w:szCs w:val="20"/>
                <w:color w:val="auto"/>
              </w:rPr>
            </w:pPr>
            <w:r>
              <w:rPr>
                <w:rFonts w:ascii="Arial" w:cs="Arial" w:eastAsia="Arial" w:hAnsi="Arial"/>
                <w:sz w:val="16"/>
                <w:szCs w:val="16"/>
                <w:color w:val="4B4B4B"/>
              </w:rPr>
              <w:t>“FOR”</w:t>
            </w:r>
          </w:p>
        </w:tc>
        <w:tc>
          <w:tcPr>
            <w:tcW w:w="1720" w:type="dxa"/>
            <w:vAlign w:val="bottom"/>
          </w:tcPr>
          <w:p>
            <w:pPr>
              <w:jc w:val="center"/>
              <w:ind w:right="19"/>
              <w:spacing w:after="0"/>
              <w:rPr>
                <w:sz w:val="20"/>
                <w:szCs w:val="20"/>
                <w:color w:val="auto"/>
              </w:rPr>
            </w:pPr>
            <w:r>
              <w:rPr>
                <w:rFonts w:ascii="Arial" w:cs="Arial" w:eastAsia="Arial" w:hAnsi="Arial"/>
                <w:sz w:val="16"/>
                <w:szCs w:val="16"/>
                <w:color w:val="4B4B4B"/>
              </w:rPr>
              <w:t>None(2)</w:t>
            </w:r>
          </w:p>
        </w:tc>
        <w:tc>
          <w:tcPr>
            <w:tcW w:w="1780" w:type="dxa"/>
            <w:vAlign w:val="bottom"/>
          </w:tcPr>
          <w:p>
            <w:pPr>
              <w:jc w:val="center"/>
              <w:spacing w:after="0"/>
              <w:rPr>
                <w:sz w:val="20"/>
                <w:szCs w:val="20"/>
                <w:color w:val="auto"/>
              </w:rPr>
            </w:pPr>
            <w:r>
              <w:rPr>
                <w:rFonts w:ascii="Arial" w:cs="Arial" w:eastAsia="Arial" w:hAnsi="Arial"/>
                <w:sz w:val="16"/>
                <w:szCs w:val="16"/>
                <w:color w:val="4B4B4B"/>
                <w:w w:val="97"/>
              </w:rPr>
              <w:t>Yes(4)</w:t>
            </w:r>
          </w:p>
        </w:tc>
      </w:tr>
      <w:tr>
        <w:trPr>
          <w:trHeight w:val="203"/>
        </w:trPr>
        <w:tc>
          <w:tcPr>
            <w:tcW w:w="2080" w:type="dxa"/>
            <w:vAlign w:val="bottom"/>
          </w:tcPr>
          <w:p>
            <w:pPr>
              <w:ind w:left="180"/>
              <w:spacing w:after="0"/>
              <w:rPr>
                <w:sz w:val="20"/>
                <w:szCs w:val="20"/>
                <w:color w:val="auto"/>
              </w:rPr>
            </w:pPr>
            <w:r>
              <w:rPr>
                <w:rFonts w:ascii="Arial" w:cs="Arial" w:eastAsia="Arial" w:hAnsi="Arial"/>
                <w:sz w:val="16"/>
                <w:szCs w:val="16"/>
                <w:color w:val="4B4B4B"/>
              </w:rPr>
              <w:t>Ratification of</w:t>
            </w:r>
          </w:p>
        </w:tc>
        <w:tc>
          <w:tcPr>
            <w:tcW w:w="3880" w:type="dxa"/>
            <w:vAlign w:val="bottom"/>
          </w:tcPr>
          <w:p>
            <w:pPr>
              <w:ind w:left="20"/>
              <w:spacing w:after="0"/>
              <w:rPr>
                <w:sz w:val="20"/>
                <w:szCs w:val="20"/>
                <w:color w:val="auto"/>
              </w:rPr>
            </w:pPr>
            <w:r>
              <w:rPr>
                <w:rFonts w:ascii="Arial" w:cs="Arial" w:eastAsia="Arial" w:hAnsi="Arial"/>
                <w:sz w:val="16"/>
                <w:szCs w:val="16"/>
                <w:color w:val="4B4B4B"/>
              </w:rPr>
              <w:t>voting power of the votes cast (excluding abstentions</w:t>
            </w:r>
          </w:p>
        </w:tc>
        <w:tc>
          <w:tcPr>
            <w:tcW w:w="1760" w:type="dxa"/>
            <w:vAlign w:val="bottom"/>
          </w:tcPr>
          <w:p>
            <w:pPr>
              <w:jc w:val="center"/>
              <w:ind w:right="19"/>
              <w:spacing w:after="0"/>
              <w:rPr>
                <w:sz w:val="20"/>
                <w:szCs w:val="20"/>
                <w:color w:val="auto"/>
              </w:rPr>
            </w:pPr>
            <w:r>
              <w:rPr>
                <w:rFonts w:ascii="Arial" w:cs="Arial" w:eastAsia="Arial" w:hAnsi="Arial"/>
                <w:sz w:val="16"/>
                <w:szCs w:val="16"/>
                <w:color w:val="4B4B4B"/>
              </w:rPr>
              <w:t>“AGAINST”</w:t>
            </w:r>
          </w:p>
        </w:tc>
        <w:tc>
          <w:tcPr>
            <w:tcW w:w="17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2080" w:type="dxa"/>
            <w:vAlign w:val="bottom"/>
          </w:tcPr>
          <w:p>
            <w:pPr>
              <w:ind w:left="180"/>
              <w:spacing w:after="0"/>
              <w:rPr>
                <w:sz w:val="20"/>
                <w:szCs w:val="20"/>
                <w:color w:val="auto"/>
              </w:rPr>
            </w:pPr>
            <w:r>
              <w:rPr>
                <w:rFonts w:ascii="Arial" w:cs="Arial" w:eastAsia="Arial" w:hAnsi="Arial"/>
                <w:sz w:val="16"/>
                <w:szCs w:val="16"/>
                <w:color w:val="4B4B4B"/>
              </w:rPr>
              <w:t>Appointment of</w:t>
            </w:r>
          </w:p>
        </w:tc>
        <w:tc>
          <w:tcPr>
            <w:tcW w:w="3880" w:type="dxa"/>
            <w:vAlign w:val="bottom"/>
          </w:tcPr>
          <w:p>
            <w:pPr>
              <w:ind w:left="20"/>
              <w:spacing w:after="0"/>
              <w:rPr>
                <w:sz w:val="20"/>
                <w:szCs w:val="20"/>
                <w:color w:val="auto"/>
              </w:rPr>
            </w:pPr>
            <w:r>
              <w:rPr>
                <w:rFonts w:ascii="Arial" w:cs="Arial" w:eastAsia="Arial" w:hAnsi="Arial"/>
                <w:sz w:val="16"/>
                <w:szCs w:val="16"/>
                <w:color w:val="4B4B4B"/>
              </w:rPr>
              <w:t>and broker non-votes) on such matter.</w:t>
            </w:r>
          </w:p>
        </w:tc>
        <w:tc>
          <w:tcPr>
            <w:tcW w:w="1760" w:type="dxa"/>
            <w:vAlign w:val="bottom"/>
          </w:tcPr>
          <w:p>
            <w:pPr>
              <w:jc w:val="center"/>
              <w:ind w:right="19"/>
              <w:spacing w:after="0"/>
              <w:rPr>
                <w:sz w:val="20"/>
                <w:szCs w:val="20"/>
                <w:color w:val="auto"/>
              </w:rPr>
            </w:pPr>
            <w:r>
              <w:rPr>
                <w:rFonts w:ascii="Arial" w:cs="Arial" w:eastAsia="Arial" w:hAnsi="Arial"/>
                <w:sz w:val="16"/>
                <w:szCs w:val="16"/>
                <w:color w:val="4B4B4B"/>
                <w:w w:val="98"/>
              </w:rPr>
              <w:t>“ABSTAIN”</w:t>
            </w:r>
          </w:p>
        </w:tc>
        <w:tc>
          <w:tcPr>
            <w:tcW w:w="17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2080" w:type="dxa"/>
            <w:vAlign w:val="bottom"/>
          </w:tcPr>
          <w:p>
            <w:pPr>
              <w:ind w:left="180"/>
              <w:spacing w:after="0"/>
              <w:rPr>
                <w:sz w:val="20"/>
                <w:szCs w:val="20"/>
                <w:color w:val="auto"/>
              </w:rPr>
            </w:pPr>
            <w:r>
              <w:rPr>
                <w:rFonts w:ascii="Arial" w:cs="Arial" w:eastAsia="Arial" w:hAnsi="Arial"/>
                <w:sz w:val="16"/>
                <w:szCs w:val="16"/>
                <w:color w:val="4B4B4B"/>
              </w:rPr>
              <w:t>Independent Registered</w:t>
            </w:r>
          </w:p>
        </w:tc>
        <w:tc>
          <w:tcPr>
            <w:tcW w:w="3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2080" w:type="dxa"/>
            <w:vAlign w:val="bottom"/>
          </w:tcPr>
          <w:p>
            <w:pPr>
              <w:ind w:left="180"/>
              <w:spacing w:after="0"/>
              <w:rPr>
                <w:sz w:val="20"/>
                <w:szCs w:val="20"/>
                <w:color w:val="auto"/>
              </w:rPr>
            </w:pPr>
            <w:r>
              <w:rPr>
                <w:rFonts w:ascii="Arial" w:cs="Arial" w:eastAsia="Arial" w:hAnsi="Arial"/>
                <w:sz w:val="16"/>
                <w:szCs w:val="16"/>
                <w:color w:val="4B4B4B"/>
              </w:rPr>
              <w:t>Public Accounting Firm</w:t>
            </w:r>
          </w:p>
        </w:tc>
        <w:tc>
          <w:tcPr>
            <w:tcW w:w="3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-848360</wp:posOffset>
            </wp:positionV>
            <wp:extent cx="714883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830" cy="42545"/>
                    </a:xfrm>
                    <a:prstGeom prst="rect">
                      <a:avLst/>
                    </a:prstGeom>
                    <a:noFill/>
                  </pic:spPr>
                </pic:pic>
              </a:graphicData>
            </a:graphic>
          </wp:anchor>
        </w:drawing>
      </w:r>
    </w:p>
    <w:p>
      <w:pPr>
        <w:spacing w:after="0" w:line="256" w:lineRule="exact"/>
        <w:rPr>
          <w:sz w:val="20"/>
          <w:szCs w:val="20"/>
          <w:color w:val="auto"/>
        </w:rPr>
      </w:pPr>
    </w:p>
    <w:p>
      <w:pPr>
        <w:ind w:left="340" w:right="60" w:hanging="332"/>
        <w:spacing w:after="0" w:line="285" w:lineRule="auto"/>
        <w:tabs>
          <w:tab w:leader="none" w:pos="340" w:val="left"/>
        </w:tabs>
        <w:numPr>
          <w:ilvl w:val="0"/>
          <w:numId w:val="7"/>
        </w:numPr>
        <w:rPr>
          <w:rFonts w:ascii="Arial" w:cs="Arial" w:eastAsia="Arial" w:hAnsi="Arial"/>
          <w:sz w:val="14"/>
          <w:szCs w:val="14"/>
          <w:b w:val="1"/>
          <w:bCs w:val="1"/>
          <w:color w:val="AFAFAF"/>
        </w:rPr>
      </w:pPr>
      <w:r>
        <w:rPr>
          <w:rFonts w:ascii="Arial" w:cs="Arial" w:eastAsia="Arial" w:hAnsi="Arial"/>
          <w:sz w:val="14"/>
          <w:szCs w:val="14"/>
          <w:b w:val="1"/>
          <w:bCs w:val="1"/>
          <w:color w:val="AFAFAF"/>
        </w:rPr>
        <w:t>Votes that are “withheld” will have the same effect as an abstention and will not count as a vote “FOR” or “AGAINST” a director, because directors are elected by plurality voting.</w:t>
      </w:r>
    </w:p>
    <w:p>
      <w:pPr>
        <w:spacing w:after="0" w:line="103" w:lineRule="exact"/>
        <w:rPr>
          <w:rFonts w:ascii="Arial" w:cs="Arial" w:eastAsia="Arial" w:hAnsi="Arial"/>
          <w:sz w:val="14"/>
          <w:szCs w:val="14"/>
          <w:b w:val="1"/>
          <w:bCs w:val="1"/>
          <w:color w:val="AFAFAF"/>
        </w:rPr>
      </w:pPr>
    </w:p>
    <w:p>
      <w:pPr>
        <w:ind w:left="340" w:hanging="332"/>
        <w:spacing w:after="0"/>
        <w:tabs>
          <w:tab w:leader="none" w:pos="340" w:val="left"/>
        </w:tabs>
        <w:numPr>
          <w:ilvl w:val="0"/>
          <w:numId w:val="7"/>
        </w:numPr>
        <w:rPr>
          <w:rFonts w:ascii="Arial" w:cs="Arial" w:eastAsia="Arial" w:hAnsi="Arial"/>
          <w:sz w:val="14"/>
          <w:szCs w:val="14"/>
          <w:b w:val="1"/>
          <w:bCs w:val="1"/>
          <w:color w:val="AFAFAF"/>
        </w:rPr>
      </w:pPr>
      <w:r>
        <w:rPr>
          <w:rFonts w:ascii="Arial" w:cs="Arial" w:eastAsia="Arial" w:hAnsi="Arial"/>
          <w:sz w:val="14"/>
          <w:szCs w:val="14"/>
          <w:b w:val="1"/>
          <w:bCs w:val="1"/>
          <w:color w:val="AFAFAF"/>
        </w:rPr>
        <w:t>A vote marked as an “Abstention” is not considered a vote cast and will, therefore, not affect the outcome of this proposal.</w:t>
      </w:r>
    </w:p>
    <w:p>
      <w:pPr>
        <w:spacing w:after="0" w:line="163" w:lineRule="exact"/>
        <w:rPr>
          <w:rFonts w:ascii="Arial" w:cs="Arial" w:eastAsia="Arial" w:hAnsi="Arial"/>
          <w:sz w:val="14"/>
          <w:szCs w:val="14"/>
          <w:b w:val="1"/>
          <w:bCs w:val="1"/>
          <w:color w:val="AFAFAF"/>
        </w:rPr>
      </w:pPr>
    </w:p>
    <w:p>
      <w:pPr>
        <w:ind w:left="340" w:hanging="332"/>
        <w:spacing w:after="0"/>
        <w:tabs>
          <w:tab w:leader="none" w:pos="340" w:val="left"/>
        </w:tabs>
        <w:numPr>
          <w:ilvl w:val="0"/>
          <w:numId w:val="7"/>
        </w:numPr>
        <w:rPr>
          <w:rFonts w:ascii="Arial" w:cs="Arial" w:eastAsia="Arial" w:hAnsi="Arial"/>
          <w:sz w:val="14"/>
          <w:szCs w:val="14"/>
          <w:b w:val="1"/>
          <w:bCs w:val="1"/>
          <w:color w:val="AFAFAF"/>
        </w:rPr>
      </w:pPr>
      <w:r>
        <w:rPr>
          <w:rFonts w:ascii="Arial" w:cs="Arial" w:eastAsia="Arial" w:hAnsi="Arial"/>
          <w:sz w:val="14"/>
          <w:szCs w:val="14"/>
          <w:b w:val="1"/>
          <w:bCs w:val="1"/>
          <w:color w:val="AFAFAF"/>
        </w:rPr>
        <w:t>As this proposal is not considered a discretionary matter, brokers lack authority to exercise their discretion to vote uninstructed shares on this proposal.</w:t>
      </w:r>
    </w:p>
    <w:p>
      <w:pPr>
        <w:spacing w:after="0" w:line="163" w:lineRule="exact"/>
        <w:rPr>
          <w:rFonts w:ascii="Arial" w:cs="Arial" w:eastAsia="Arial" w:hAnsi="Arial"/>
          <w:sz w:val="14"/>
          <w:szCs w:val="14"/>
          <w:b w:val="1"/>
          <w:bCs w:val="1"/>
          <w:color w:val="AFAFAF"/>
        </w:rPr>
      </w:pPr>
    </w:p>
    <w:p>
      <w:pPr>
        <w:ind w:left="340" w:right="180" w:hanging="332"/>
        <w:spacing w:after="0" w:line="285" w:lineRule="auto"/>
        <w:tabs>
          <w:tab w:leader="none" w:pos="340" w:val="left"/>
        </w:tabs>
        <w:numPr>
          <w:ilvl w:val="0"/>
          <w:numId w:val="7"/>
        </w:numPr>
        <w:rPr>
          <w:rFonts w:ascii="Arial" w:cs="Arial" w:eastAsia="Arial" w:hAnsi="Arial"/>
          <w:sz w:val="14"/>
          <w:szCs w:val="14"/>
          <w:b w:val="1"/>
          <w:bCs w:val="1"/>
          <w:color w:val="AFAFAF"/>
        </w:rPr>
      </w:pPr>
      <w:r>
        <w:rPr>
          <w:rFonts w:ascii="Arial" w:cs="Arial" w:eastAsia="Arial" w:hAnsi="Arial"/>
          <w:sz w:val="14"/>
          <w:szCs w:val="14"/>
          <w:b w:val="1"/>
          <w:bCs w:val="1"/>
          <w:color w:val="AFAFAF"/>
        </w:rPr>
        <w:t>As this proposal is considered a discretionary matter, brokers are permitted to exercise their discretion to vote uninstructed shares on this proposal, and we do not expect any broker non-votes on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588645</wp:posOffset>
            </wp:positionV>
            <wp:extent cx="7106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20"/>
          </w:cols>
          <w:pgMar w:left="320" w:top="138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tabs>
          <w:tab w:leader="none" w:pos="11100" w:val="left"/>
        </w:tabs>
        <w:rPr>
          <w:sz w:val="20"/>
          <w:szCs w:val="20"/>
          <w:color w:val="auto"/>
        </w:rPr>
      </w:pPr>
      <w:r>
        <w:rPr>
          <w:rFonts w:ascii="Arial" w:cs="Arial" w:eastAsia="Arial" w:hAnsi="Arial"/>
          <w:sz w:val="14"/>
          <w:szCs w:val="14"/>
          <w:b w:val="1"/>
          <w:bCs w:val="1"/>
          <w:color w:val="AFAFAF"/>
        </w:rPr>
        <w:t>DUOLINGO 2022 PROXY STATEMENT</w:t>
      </w:r>
      <w:r>
        <w:rPr>
          <w:sz w:val="20"/>
          <w:szCs w:val="20"/>
          <w:color w:val="auto"/>
        </w:rPr>
        <w:tab/>
      </w:r>
      <w:r>
        <w:rPr>
          <w:rFonts w:ascii="Arial" w:cs="Arial" w:eastAsia="Arial" w:hAnsi="Arial"/>
          <w:sz w:val="14"/>
          <w:szCs w:val="14"/>
          <w:b w:val="1"/>
          <w:bCs w:val="1"/>
          <w:color w:val="AFAFAF"/>
        </w:rPr>
        <w:t>3</w:t>
      </w:r>
    </w:p>
    <w:p>
      <w:pPr>
        <w:sectPr>
          <w:pgSz w:w="11900" w:h="16838" w:orient="portrait"/>
          <w:cols w:equalWidth="0" w:num="1">
            <w:col w:w="11220"/>
          </w:cols>
          <w:pgMar w:left="320" w:top="1385" w:right="359" w:bottom="1440" w:gutter="0" w:footer="0" w:header="0"/>
          <w:type w:val="continuous"/>
        </w:sectPr>
      </w:pPr>
    </w:p>
    <w:bookmarkStart w:id="8" w:name="page9"/>
    <w:bookmarkEnd w:id="8"/>
    <w:p>
      <w:pPr>
        <w:ind w:right="100"/>
        <w:spacing w:after="0" w:line="310" w:lineRule="auto"/>
        <w:rPr>
          <w:sz w:val="20"/>
          <w:szCs w:val="20"/>
          <w:color w:val="auto"/>
        </w:rPr>
      </w:pPr>
      <w:r>
        <w:rPr>
          <w:rFonts w:ascii="Arial" w:cs="Arial" w:eastAsia="Arial" w:hAnsi="Arial"/>
          <w:sz w:val="23"/>
          <w:szCs w:val="23"/>
          <w:b w:val="1"/>
          <w:bCs w:val="1"/>
          <w:color w:val="4B4B4B"/>
        </w:rPr>
        <w:t>Why did I receive a notice in the mail regarding the Internet availability of proxy materials instead of a paper copy of proxy materials?</w:t>
      </w:r>
    </w:p>
    <w:p>
      <w:pPr>
        <w:spacing w:after="0" w:line="20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4B4B4B"/>
        </w:rPr>
        <w:t>The rules of the Securities and Exchange Commission (the “SEC”) permit us to furnish proxy materials, including this Proxy Statement and the Annual Report, to our stockholders by providing access to such documents on the Internet instead of mailing printed copies. Stockholders will not receive paper copies of the proxy materials unless they request them. Instead, the Notice of Internet Availability of Proxy Materials (the “Notice and Access Card”) provides instructions on how to access and review on the Internet all of the proxy materials. The Notice and Access Card also instructs you as to how to authorize via the Internet or telephone your proxy to vote your shares according to your voting instructions. If you would like to receive a paper or email copy of our proxy materials, you should follow the instructions for requesting such materials described in the Notice and Access Card.</w:t>
      </w:r>
    </w:p>
    <w:p>
      <w:pPr>
        <w:spacing w:after="0" w:line="290" w:lineRule="exact"/>
        <w:rPr>
          <w:sz w:val="20"/>
          <w:szCs w:val="20"/>
          <w:color w:val="auto"/>
        </w:rPr>
      </w:pPr>
    </w:p>
    <w:p>
      <w:pPr>
        <w:ind w:right="120"/>
        <w:spacing w:after="0" w:line="310" w:lineRule="auto"/>
        <w:rPr>
          <w:sz w:val="20"/>
          <w:szCs w:val="20"/>
          <w:color w:val="auto"/>
        </w:rPr>
      </w:pPr>
      <w:r>
        <w:rPr>
          <w:rFonts w:ascii="Arial" w:cs="Arial" w:eastAsia="Arial" w:hAnsi="Arial"/>
          <w:sz w:val="23"/>
          <w:szCs w:val="23"/>
          <w:b w:val="1"/>
          <w:bCs w:val="1"/>
          <w:color w:val="4B4B4B"/>
        </w:rPr>
        <w:t>What does it mean if I receive more than one Notice and Access Card or more than one set of proxy materials?</w:t>
      </w:r>
    </w:p>
    <w:p>
      <w:pPr>
        <w:spacing w:after="0" w:line="204"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4B4B4B"/>
        </w:rPr>
        <w:t>It means that your shares are held in more than one account at the transfer agent and/or with banks or brokers. Please vote all of your shares. To ensure that all of your shares are voted, for each Notice and Access Card or set of proxy materials, please submit your proxy by phone, via the Internet, or, if you received printed copies of the proxy materials, by signing, dating and returning the enclosed proxy card in the enclosed envelope.</w:t>
      </w:r>
    </w:p>
    <w:p>
      <w:pPr>
        <w:spacing w:after="0" w:line="305"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Can I vote my shares by filling out and returning the Notice and Access Card?</w:t>
      </w:r>
    </w:p>
    <w:p>
      <w:pPr>
        <w:spacing w:after="0" w:line="325" w:lineRule="exact"/>
        <w:rPr>
          <w:sz w:val="20"/>
          <w:szCs w:val="20"/>
          <w:color w:val="auto"/>
        </w:rPr>
      </w:pPr>
    </w:p>
    <w:p>
      <w:pPr>
        <w:spacing w:after="0" w:line="268" w:lineRule="auto"/>
        <w:rPr>
          <w:sz w:val="20"/>
          <w:szCs w:val="20"/>
          <w:color w:val="auto"/>
        </w:rPr>
      </w:pPr>
      <w:r>
        <w:rPr>
          <w:rFonts w:ascii="Arial" w:cs="Arial" w:eastAsia="Arial" w:hAnsi="Arial"/>
          <w:sz w:val="18"/>
          <w:szCs w:val="18"/>
          <w:color w:val="4B4B4B"/>
        </w:rPr>
        <w:t>No. The Notice and Access Card identifies the items to be voted on at the Annual Meeting, but you cannot vote by marking the Notice and Access Card and returning it. If you would like a paper proxy card, you should follow the instructions in the Notice and Access Card. The paper proxy card you receive will also provide instructions as to how to authorize via the Internet or telephone your proxy to vote your shares according to your voting instructions. Alternatively, you can mark the paper proxy card with how you would like your shares voted, sign and date the proxy card, and return it in the envelope provided.</w:t>
      </w:r>
    </w:p>
    <w:p>
      <w:pPr>
        <w:spacing w:after="0" w:line="306"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Who is entitled to vote at the Annual Meeting?</w:t>
      </w:r>
    </w:p>
    <w:p>
      <w:pPr>
        <w:spacing w:after="0" w:line="3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4B4B4B"/>
        </w:rPr>
        <w:t>Holders of record of shares of our common stock as of the close of business on the Record Date will be entitled to notice of and to vote at the Annual Meeting and any continuation, postponement or adjournment thereof. At the close of business on the Record Date, there were 27,506,087 shares of our Class A common stock and 11,598,903 shares of our Class B common stock issued and outstanding and entitled to vote. The rights of holders of Class A and Class B common stock are identical, except voting and conversion rights. Each share of Class A common stock is entitled to one vote, and each share of Class B common stock is entitled to 20 votes and is convertible at any time into one share of Class A common stock.</w:t>
      </w:r>
    </w:p>
    <w:p>
      <w:pPr>
        <w:spacing w:after="0" w:line="1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4B4B4B"/>
        </w:rPr>
        <w:t>To attend and participate in the Annual Meeting, you will need the 16-digit control number included in your Notice and Access Card, on your proxy card or on the instructions that accompanied your proxy materials. 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The meeting webcast will begin promptly at 11:30 a.m., Eastern Time. We encourage you to access the meeting prior to the start time. Online check-in will begin at 11:15 a.m., Eastern Time, and you should allow ample time for the check-in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885825</wp:posOffset>
            </wp:positionV>
            <wp:extent cx="71062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4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20" w:type="dxa"/>
            <w:vAlign w:val="bottom"/>
          </w:tcPr>
          <w:p>
            <w:pPr>
              <w:jc w:val="right"/>
              <w:spacing w:after="0"/>
              <w:rPr>
                <w:sz w:val="20"/>
                <w:szCs w:val="20"/>
                <w:color w:val="auto"/>
              </w:rPr>
            </w:pPr>
            <w:r>
              <w:rPr>
                <w:rFonts w:ascii="Arial" w:cs="Arial" w:eastAsia="Arial" w:hAnsi="Arial"/>
                <w:sz w:val="14"/>
                <w:szCs w:val="14"/>
                <w:b w:val="1"/>
                <w:bCs w:val="1"/>
                <w:color w:val="AFAFAF"/>
              </w:rPr>
              <w:t>4</w:t>
            </w:r>
          </w:p>
        </w:tc>
      </w:tr>
    </w:tbl>
    <w:p>
      <w:pPr>
        <w:sectPr>
          <w:pgSz w:w="11900" w:h="16838" w:orient="portrait"/>
          <w:cols w:equalWidth="0" w:num="1">
            <w:col w:w="11180"/>
          </w:cols>
          <w:pgMar w:left="340" w:top="1385" w:right="379" w:bottom="1440" w:gutter="0" w:footer="0" w:header="0"/>
        </w:sectPr>
      </w:pPr>
    </w:p>
    <w:bookmarkStart w:id="9" w:name="page10"/>
    <w:bookmarkEnd w:id="9"/>
    <w:p>
      <w:pPr>
        <w:ind w:left="20"/>
        <w:spacing w:after="0"/>
        <w:rPr>
          <w:sz w:val="20"/>
          <w:szCs w:val="20"/>
          <w:color w:val="auto"/>
        </w:rPr>
      </w:pPr>
      <w:r>
        <w:rPr>
          <w:rFonts w:ascii="Arial" w:cs="Arial" w:eastAsia="Arial" w:hAnsi="Arial"/>
          <w:sz w:val="23"/>
          <w:szCs w:val="23"/>
          <w:b w:val="1"/>
          <w:bCs w:val="1"/>
          <w:color w:val="4B4B4B"/>
        </w:rPr>
        <w:t>What is the difference between being a “record holder” and holding shares in “street name”?</w:t>
      </w:r>
    </w:p>
    <w:p>
      <w:pPr>
        <w:spacing w:after="0" w:line="325" w:lineRule="exact"/>
        <w:rPr>
          <w:sz w:val="20"/>
          <w:szCs w:val="20"/>
          <w:color w:val="auto"/>
        </w:rPr>
      </w:pPr>
    </w:p>
    <w:p>
      <w:pPr>
        <w:ind w:left="20" w:right="100"/>
        <w:spacing w:after="0" w:line="277" w:lineRule="auto"/>
        <w:rPr>
          <w:sz w:val="20"/>
          <w:szCs w:val="20"/>
          <w:color w:val="auto"/>
        </w:rPr>
      </w:pPr>
      <w:r>
        <w:rPr>
          <w:rFonts w:ascii="Arial" w:cs="Arial" w:eastAsia="Arial" w:hAnsi="Arial"/>
          <w:sz w:val="18"/>
          <w:szCs w:val="18"/>
          <w:color w:val="4B4B4B"/>
        </w:rPr>
        <w:t>A record holder (also called a “registered holder”) holds shares in his or her name. Shares held in “street name” means that shares are held in the name of a bank, broker or other nominee on the holder’s behalf.</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What do I do if my shares are held in “street name”?</w:t>
      </w:r>
    </w:p>
    <w:p>
      <w:pPr>
        <w:spacing w:after="0" w:line="325" w:lineRule="exact"/>
        <w:rPr>
          <w:sz w:val="20"/>
          <w:szCs w:val="20"/>
          <w:color w:val="auto"/>
        </w:rPr>
      </w:pPr>
    </w:p>
    <w:p>
      <w:pPr>
        <w:ind w:left="20" w:right="160"/>
        <w:spacing w:after="0" w:line="268" w:lineRule="auto"/>
        <w:rPr>
          <w:sz w:val="20"/>
          <w:szCs w:val="20"/>
          <w:color w:val="auto"/>
        </w:rPr>
      </w:pPr>
      <w:r>
        <w:rPr>
          <w:rFonts w:ascii="Arial" w:cs="Arial" w:eastAsia="Arial" w:hAnsi="Arial"/>
          <w:sz w:val="18"/>
          <w:szCs w:val="18"/>
          <w:color w:val="4B4B4B"/>
        </w:rPr>
        <w:t>If your shares are held in a brokerage account or by a bank or other holder of record, you are considered the “beneficial owner” of shares held in “street name.” The Notice and Access Card or the proxy materials, if you elected to receive a hard copy, has been forwarded to you by your broker, bank or other nominee who is considered, with respect to those shares, the stockholder of record. As the beneficial owner, you have the right to direct your broker, bank or other holder of record on how to vote your shares by following their instructions for voting. Please refer to information from your bank, broker or other nominee on how to submit your voting instructions.</w:t>
      </w:r>
    </w:p>
    <w:p>
      <w:pPr>
        <w:spacing w:after="0" w:line="252"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How many shares must be present to hold the Annual Meeting?</w:t>
      </w:r>
    </w:p>
    <w:p>
      <w:pPr>
        <w:spacing w:after="0" w:line="217"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4B4B4B"/>
        </w:rPr>
        <w:t>A quorum must be present at the Annual Meeting for any business to be conducted. The holders of a majority in voting power of the stock issued and outstanding and entitled to vote, present in person, or by remote communication, if applicable, or represented by proxy, constitutes a quorum. If you sign and return your paper proxy card or authorize a proxy to vote electronically or telephonically, your shares will be counted to determine whether we have a quorum even if you abstain or fail to vote as indicated in the proxy materials.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4B4B4B"/>
        </w:rPr>
        <w:t>Broker non-votes will also be considered present for the purpose of determining whether there is a quorum for the Annual Meeting.</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What are “broker non-votes”?</w:t>
      </w:r>
    </w:p>
    <w:p>
      <w:pPr>
        <w:spacing w:after="0" w:line="325" w:lineRule="exact"/>
        <w:rPr>
          <w:sz w:val="20"/>
          <w:szCs w:val="20"/>
          <w:color w:val="auto"/>
        </w:rPr>
      </w:pPr>
    </w:p>
    <w:p>
      <w:pPr>
        <w:ind w:left="20" w:right="160"/>
        <w:spacing w:after="0" w:line="268" w:lineRule="auto"/>
        <w:rPr>
          <w:sz w:val="20"/>
          <w:szCs w:val="20"/>
          <w:color w:val="auto"/>
        </w:rPr>
      </w:pPr>
      <w:r>
        <w:rPr>
          <w:rFonts w:ascii="Arial" w:cs="Arial" w:eastAsia="Arial" w:hAnsi="Arial"/>
          <w:sz w:val="18"/>
          <w:szCs w:val="18"/>
          <w:color w:val="4B4B4B"/>
        </w:rPr>
        <w:t>A “broker non-vote” occurs when shares held by a broker in “street name” for a beneficial owner are not voted with respect to a proposal because (1) the broker has not received voting instructions from the stockholder who beneficially owns the shares and (2) the broker lacks the authority to vote the shares at their discretion. Proposal No. 1 is considered a non-discretionary matter, and a broker will lack the authority to vote uninstructed shares at their discretion on such proposal. Proposal No. 2 is considered a discretionary matter, and a broker will be permitted to exercise its discretion to vote uninstructed shares on this proposal.</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What if a quorum is not present at the Annual Meeting?</w:t>
      </w:r>
    </w:p>
    <w:p>
      <w:pPr>
        <w:spacing w:after="0" w:line="325" w:lineRule="exact"/>
        <w:rPr>
          <w:sz w:val="20"/>
          <w:szCs w:val="20"/>
          <w:color w:val="auto"/>
        </w:rPr>
      </w:pPr>
    </w:p>
    <w:p>
      <w:pPr>
        <w:ind w:left="20" w:right="400"/>
        <w:spacing w:after="0" w:line="271" w:lineRule="auto"/>
        <w:rPr>
          <w:sz w:val="20"/>
          <w:szCs w:val="20"/>
          <w:color w:val="auto"/>
        </w:rPr>
      </w:pPr>
      <w:r>
        <w:rPr>
          <w:rFonts w:ascii="Arial" w:cs="Arial" w:eastAsia="Arial" w:hAnsi="Arial"/>
          <w:sz w:val="18"/>
          <w:szCs w:val="18"/>
          <w:color w:val="4B4B4B"/>
        </w:rPr>
        <w:t>If a quorum is not present or represented at the scheduled time of the Annual Meeting, (i) the chairperson of the Annual Meeting or (ii) a majority in voting power of the stockholders entitled to vote at the Annual Meeting, present in person or electronically, if applicable, or represented by proxy, may adjourn the Annual Meeting until a quorum is present or represented.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781050</wp:posOffset>
            </wp:positionV>
            <wp:extent cx="71062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4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20" w:type="dxa"/>
            <w:vAlign w:val="bottom"/>
          </w:tcPr>
          <w:p>
            <w:pPr>
              <w:jc w:val="right"/>
              <w:spacing w:after="0"/>
              <w:rPr>
                <w:sz w:val="20"/>
                <w:szCs w:val="20"/>
                <w:color w:val="auto"/>
              </w:rPr>
            </w:pPr>
            <w:r>
              <w:rPr>
                <w:rFonts w:ascii="Arial" w:cs="Arial" w:eastAsia="Arial" w:hAnsi="Arial"/>
                <w:sz w:val="14"/>
                <w:szCs w:val="14"/>
                <w:b w:val="1"/>
                <w:bCs w:val="1"/>
                <w:color w:val="AFAFAF"/>
              </w:rPr>
              <w:t>5</w:t>
            </w:r>
          </w:p>
        </w:tc>
      </w:tr>
    </w:tbl>
    <w:p>
      <w:pPr>
        <w:sectPr>
          <w:pgSz w:w="11900" w:h="16838" w:orient="portrait"/>
          <w:cols w:equalWidth="0" w:num="1">
            <w:col w:w="11200"/>
          </w:cols>
          <w:pgMar w:left="320" w:top="1385" w:right="379" w:bottom="1440" w:gutter="0" w:footer="0" w:header="0"/>
        </w:sectPr>
      </w:pPr>
    </w:p>
    <w:bookmarkStart w:id="10" w:name="page11"/>
    <w:bookmarkEnd w:id="10"/>
    <w:p>
      <w:pPr>
        <w:spacing w:after="0"/>
        <w:rPr>
          <w:sz w:val="20"/>
          <w:szCs w:val="20"/>
          <w:color w:val="auto"/>
        </w:rPr>
      </w:pPr>
      <w:r>
        <w:rPr>
          <w:rFonts w:ascii="Arial" w:cs="Arial" w:eastAsia="Arial" w:hAnsi="Arial"/>
          <w:sz w:val="23"/>
          <w:szCs w:val="23"/>
          <w:b w:val="1"/>
          <w:bCs w:val="1"/>
          <w:color w:val="4B4B4B"/>
        </w:rPr>
        <w:t>How can I attend and vote at the Annual Meeting?</w:t>
      </w:r>
    </w:p>
    <w:p>
      <w:pPr>
        <w:spacing w:after="0" w:line="325" w:lineRule="exact"/>
        <w:rPr>
          <w:sz w:val="20"/>
          <w:szCs w:val="20"/>
          <w:color w:val="auto"/>
        </w:rPr>
      </w:pPr>
    </w:p>
    <w:p>
      <w:pPr>
        <w:spacing w:after="0" w:line="271" w:lineRule="auto"/>
        <w:rPr>
          <w:sz w:val="20"/>
          <w:szCs w:val="20"/>
          <w:color w:val="auto"/>
        </w:rPr>
      </w:pPr>
      <w:r>
        <w:rPr>
          <w:rFonts w:ascii="Arial" w:cs="Arial" w:eastAsia="Arial" w:hAnsi="Arial"/>
          <w:sz w:val="18"/>
          <w:szCs w:val="18"/>
          <w:color w:val="4B4B4B"/>
        </w:rPr>
        <w:t>We will be hosting the Annual Meeting live via audio webcast. Any stockholder can attend the Annual Meeting live online at www.virtualshareholdermeeting.com/DUOL2022. If you were a stockholder as of the Record Date, or you hold a valid proxy for the Annual Meeting, you can vote at the Annual Meeting. A summary of the information you need to attend the Annual Meeting online is provided below:</w:t>
      </w:r>
    </w:p>
    <w:p>
      <w:pPr>
        <w:spacing w:after="0" w:line="149" w:lineRule="exact"/>
        <w:rPr>
          <w:sz w:val="20"/>
          <w:szCs w:val="20"/>
          <w:color w:val="auto"/>
        </w:rPr>
      </w:pPr>
    </w:p>
    <w:p>
      <w:pPr>
        <w:ind w:left="240" w:right="580" w:hanging="234"/>
        <w:spacing w:after="0" w:line="277" w:lineRule="auto"/>
        <w:tabs>
          <w:tab w:leader="none" w:pos="222" w:val="left"/>
        </w:tabs>
        <w:numPr>
          <w:ilvl w:val="0"/>
          <w:numId w:val="8"/>
        </w:numPr>
        <w:rPr>
          <w:rFonts w:ascii="Arial" w:cs="Arial" w:eastAsia="Arial" w:hAnsi="Arial"/>
          <w:sz w:val="18"/>
          <w:szCs w:val="18"/>
          <w:color w:val="4B4B4B"/>
        </w:rPr>
      </w:pPr>
      <w:r>
        <w:rPr>
          <w:rFonts w:ascii="Arial" w:cs="Arial" w:eastAsia="Arial" w:hAnsi="Arial"/>
          <w:sz w:val="18"/>
          <w:szCs w:val="18"/>
          <w:color w:val="4B4B4B"/>
        </w:rPr>
        <w:t>Instructions on how to attend and participate via the Internet, including how to demonstrate proof of stock ownership, are posted at www.virtualshareholdermeeting.com/DUOL2022.</w:t>
      </w:r>
    </w:p>
    <w:p>
      <w:pPr>
        <w:spacing w:after="0" w:line="143" w:lineRule="exact"/>
        <w:rPr>
          <w:rFonts w:ascii="Arial" w:cs="Arial" w:eastAsia="Arial" w:hAnsi="Arial"/>
          <w:sz w:val="18"/>
          <w:szCs w:val="18"/>
          <w:color w:val="4B4B4B"/>
        </w:rPr>
      </w:pPr>
    </w:p>
    <w:p>
      <w:pPr>
        <w:ind w:left="240" w:right="2980" w:hanging="234"/>
        <w:spacing w:after="0" w:line="277" w:lineRule="auto"/>
        <w:tabs>
          <w:tab w:leader="none" w:pos="222" w:val="left"/>
        </w:tabs>
        <w:numPr>
          <w:ilvl w:val="0"/>
          <w:numId w:val="8"/>
        </w:numPr>
        <w:rPr>
          <w:rFonts w:ascii="Arial" w:cs="Arial" w:eastAsia="Arial" w:hAnsi="Arial"/>
          <w:sz w:val="18"/>
          <w:szCs w:val="18"/>
          <w:color w:val="4B4B4B"/>
        </w:rPr>
      </w:pPr>
      <w:r>
        <w:rPr>
          <w:rFonts w:ascii="Arial" w:cs="Arial" w:eastAsia="Arial" w:hAnsi="Arial"/>
          <w:sz w:val="18"/>
          <w:szCs w:val="18"/>
          <w:color w:val="4B4B4B"/>
        </w:rPr>
        <w:t>Assistance with questions regarding how to attend and participate via the Internet will be provided at www.virtualshareholdermeeting.com/DUOL2022 on the day of the Annual Meeting.</w:t>
      </w:r>
    </w:p>
    <w:p>
      <w:pPr>
        <w:spacing w:after="0" w:line="143" w:lineRule="exact"/>
        <w:rPr>
          <w:rFonts w:ascii="Arial" w:cs="Arial" w:eastAsia="Arial" w:hAnsi="Arial"/>
          <w:sz w:val="18"/>
          <w:szCs w:val="18"/>
          <w:color w:val="4B4B4B"/>
        </w:rPr>
      </w:pPr>
    </w:p>
    <w:p>
      <w:pPr>
        <w:ind w:left="240" w:hanging="234"/>
        <w:spacing w:after="0"/>
        <w:tabs>
          <w:tab w:leader="none" w:pos="240" w:val="left"/>
        </w:tabs>
        <w:numPr>
          <w:ilvl w:val="0"/>
          <w:numId w:val="8"/>
        </w:numPr>
        <w:rPr>
          <w:rFonts w:ascii="Arial" w:cs="Arial" w:eastAsia="Arial" w:hAnsi="Arial"/>
          <w:sz w:val="18"/>
          <w:szCs w:val="18"/>
          <w:color w:val="4B4B4B"/>
        </w:rPr>
      </w:pPr>
      <w:r>
        <w:rPr>
          <w:rFonts w:ascii="Arial" w:cs="Arial" w:eastAsia="Arial" w:hAnsi="Arial"/>
          <w:sz w:val="18"/>
          <w:szCs w:val="18"/>
          <w:color w:val="4B4B4B"/>
        </w:rPr>
        <w:t>Webcast starts at 11:30 a.m., Eastern Time.</w:t>
      </w:r>
    </w:p>
    <w:p>
      <w:pPr>
        <w:spacing w:after="0" w:line="184" w:lineRule="exact"/>
        <w:rPr>
          <w:rFonts w:ascii="Arial" w:cs="Arial" w:eastAsia="Arial" w:hAnsi="Arial"/>
          <w:sz w:val="18"/>
          <w:szCs w:val="18"/>
          <w:color w:val="4B4B4B"/>
        </w:rPr>
      </w:pPr>
    </w:p>
    <w:p>
      <w:pPr>
        <w:ind w:left="240" w:hanging="234"/>
        <w:spacing w:after="0"/>
        <w:tabs>
          <w:tab w:leader="none" w:pos="240" w:val="left"/>
        </w:tabs>
        <w:numPr>
          <w:ilvl w:val="0"/>
          <w:numId w:val="8"/>
        </w:numPr>
        <w:rPr>
          <w:rFonts w:ascii="Arial" w:cs="Arial" w:eastAsia="Arial" w:hAnsi="Arial"/>
          <w:sz w:val="18"/>
          <w:szCs w:val="18"/>
          <w:color w:val="4B4B4B"/>
        </w:rPr>
      </w:pPr>
      <w:r>
        <w:rPr>
          <w:rFonts w:ascii="Arial" w:cs="Arial" w:eastAsia="Arial" w:hAnsi="Arial"/>
          <w:sz w:val="18"/>
          <w:szCs w:val="18"/>
          <w:color w:val="4B4B4B"/>
        </w:rPr>
        <w:t>You will need your 16-Digit Control Number to enter the Annual Meeting.</w:t>
      </w:r>
    </w:p>
    <w:p>
      <w:pPr>
        <w:spacing w:after="0" w:line="184" w:lineRule="exact"/>
        <w:rPr>
          <w:rFonts w:ascii="Arial" w:cs="Arial" w:eastAsia="Arial" w:hAnsi="Arial"/>
          <w:sz w:val="18"/>
          <w:szCs w:val="18"/>
          <w:color w:val="4B4B4B"/>
        </w:rPr>
      </w:pPr>
    </w:p>
    <w:p>
      <w:pPr>
        <w:ind w:left="240" w:hanging="234"/>
        <w:spacing w:after="0"/>
        <w:tabs>
          <w:tab w:leader="none" w:pos="240" w:val="left"/>
        </w:tabs>
        <w:numPr>
          <w:ilvl w:val="0"/>
          <w:numId w:val="8"/>
        </w:numPr>
        <w:rPr>
          <w:rFonts w:ascii="Arial" w:cs="Arial" w:eastAsia="Arial" w:hAnsi="Arial"/>
          <w:sz w:val="18"/>
          <w:szCs w:val="18"/>
          <w:color w:val="4B4B4B"/>
        </w:rPr>
      </w:pPr>
      <w:r>
        <w:rPr>
          <w:rFonts w:ascii="Arial" w:cs="Arial" w:eastAsia="Arial" w:hAnsi="Arial"/>
          <w:sz w:val="18"/>
          <w:szCs w:val="18"/>
          <w:color w:val="4B4B4B"/>
        </w:rPr>
        <w:t>Stockholders may submit questions while attending the Annual Meeting via the Internet.</w:t>
      </w:r>
    </w:p>
    <w:p>
      <w:pPr>
        <w:spacing w:after="0" w:line="1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4B4B4B"/>
        </w:rPr>
        <w:t>To attend and participate in the Annual Meeting, you will need the 16-digit control number included in your Notice and Access Card, on your proxy card or on the instructions that accompanied your proxy materials. 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887095</wp:posOffset>
            </wp:positionV>
            <wp:extent cx="71062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4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20" w:type="dxa"/>
            <w:vAlign w:val="bottom"/>
          </w:tcPr>
          <w:p>
            <w:pPr>
              <w:jc w:val="right"/>
              <w:spacing w:after="0"/>
              <w:rPr>
                <w:sz w:val="20"/>
                <w:szCs w:val="20"/>
                <w:color w:val="auto"/>
              </w:rPr>
            </w:pPr>
            <w:r>
              <w:rPr>
                <w:rFonts w:ascii="Arial" w:cs="Arial" w:eastAsia="Arial" w:hAnsi="Arial"/>
                <w:sz w:val="14"/>
                <w:szCs w:val="14"/>
                <w:b w:val="1"/>
                <w:bCs w:val="1"/>
                <w:color w:val="AFAFAF"/>
              </w:rPr>
              <w:t>6</w:t>
            </w:r>
          </w:p>
        </w:tc>
      </w:tr>
    </w:tbl>
    <w:p>
      <w:pPr>
        <w:sectPr>
          <w:pgSz w:w="11900" w:h="16838" w:orient="portrait"/>
          <w:cols w:equalWidth="0" w:num="1">
            <w:col w:w="11180"/>
          </w:cols>
          <w:pgMar w:left="340" w:top="1385" w:right="379" w:bottom="1440" w:gutter="0" w:footer="0" w:header="0"/>
        </w:sectPr>
      </w:pPr>
    </w:p>
    <w:bookmarkStart w:id="11" w:name="page12"/>
    <w:bookmarkEnd w:id="11"/>
    <w:p>
      <w:pPr>
        <w:spacing w:after="0"/>
        <w:rPr>
          <w:sz w:val="20"/>
          <w:szCs w:val="20"/>
          <w:color w:val="auto"/>
        </w:rPr>
      </w:pPr>
      <w:r>
        <w:rPr>
          <w:rFonts w:ascii="Arial" w:cs="Arial" w:eastAsia="Arial" w:hAnsi="Arial"/>
          <w:sz w:val="23"/>
          <w:szCs w:val="23"/>
          <w:b w:val="1"/>
          <w:bCs w:val="1"/>
          <w:color w:val="4B4B4B"/>
        </w:rPr>
        <w:t>Will there be a question and answer session during the Annual Meeting?</w:t>
      </w:r>
    </w:p>
    <w:p>
      <w:pPr>
        <w:spacing w:after="0" w:line="3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4B4B4B"/>
        </w:rPr>
        <w:t>As part of the Annual Meeting, we will hold a live Q&amp;A session, during which we intend to answer questions submitted online during or prior to the meeting that are pertinent to the Company and the meeting matters, as time permits. Only stockholders that have accessed the Annual Meeting as a stockholder (rather than a “Guest”) by following the procedures outlined above in “Who can attend the Annual Meeting?” will be permitted to submit questions during the Annual Meeting. Each stockholder is limited to no more than two questions. Questions should be succinct and only cover a single topic. We will not address questions that are, among other things:</w:t>
      </w:r>
    </w:p>
    <w:p>
      <w:pPr>
        <w:spacing w:after="0" w:line="154" w:lineRule="exact"/>
        <w:rPr>
          <w:sz w:val="20"/>
          <w:szCs w:val="20"/>
          <w:color w:val="auto"/>
        </w:rPr>
      </w:pPr>
    </w:p>
    <w:p>
      <w:pPr>
        <w:ind w:left="240" w:hanging="234"/>
        <w:spacing w:after="0"/>
        <w:tabs>
          <w:tab w:leader="none" w:pos="240" w:val="left"/>
        </w:tabs>
        <w:numPr>
          <w:ilvl w:val="0"/>
          <w:numId w:val="9"/>
        </w:numPr>
        <w:rPr>
          <w:rFonts w:ascii="Arial" w:cs="Arial" w:eastAsia="Arial" w:hAnsi="Arial"/>
          <w:sz w:val="18"/>
          <w:szCs w:val="18"/>
          <w:color w:val="4B4B4B"/>
        </w:rPr>
      </w:pPr>
      <w:r>
        <w:rPr>
          <w:rFonts w:ascii="Arial" w:cs="Arial" w:eastAsia="Arial" w:hAnsi="Arial"/>
          <w:sz w:val="18"/>
          <w:szCs w:val="18"/>
          <w:color w:val="4B4B4B"/>
        </w:rPr>
        <w:t>irrelevant to the business of the Company or to the business of the Annual Meeting;</w:t>
      </w:r>
    </w:p>
    <w:p>
      <w:pPr>
        <w:spacing w:after="0" w:line="184" w:lineRule="exact"/>
        <w:rPr>
          <w:rFonts w:ascii="Arial" w:cs="Arial" w:eastAsia="Arial" w:hAnsi="Arial"/>
          <w:sz w:val="18"/>
          <w:szCs w:val="18"/>
          <w:color w:val="4B4B4B"/>
        </w:rPr>
      </w:pPr>
    </w:p>
    <w:p>
      <w:pPr>
        <w:ind w:left="240" w:right="400" w:hanging="234"/>
        <w:spacing w:after="0" w:line="277" w:lineRule="auto"/>
        <w:tabs>
          <w:tab w:leader="none" w:pos="222" w:val="left"/>
        </w:tabs>
        <w:numPr>
          <w:ilvl w:val="0"/>
          <w:numId w:val="9"/>
        </w:numPr>
        <w:rPr>
          <w:rFonts w:ascii="Arial" w:cs="Arial" w:eastAsia="Arial" w:hAnsi="Arial"/>
          <w:sz w:val="18"/>
          <w:szCs w:val="18"/>
          <w:color w:val="4B4B4B"/>
        </w:rPr>
      </w:pPr>
      <w:r>
        <w:rPr>
          <w:rFonts w:ascii="Arial" w:cs="Arial" w:eastAsia="Arial" w:hAnsi="Arial"/>
          <w:sz w:val="18"/>
          <w:szCs w:val="18"/>
          <w:color w:val="4B4B4B"/>
        </w:rPr>
        <w:t>related to material non-public information of the Company, including the status or results of our business since our most recent public disclosure;</w:t>
      </w:r>
    </w:p>
    <w:p>
      <w:pPr>
        <w:spacing w:after="0" w:line="143" w:lineRule="exact"/>
        <w:rPr>
          <w:rFonts w:ascii="Arial" w:cs="Arial" w:eastAsia="Arial" w:hAnsi="Arial"/>
          <w:sz w:val="18"/>
          <w:szCs w:val="18"/>
          <w:color w:val="4B4B4B"/>
        </w:rPr>
      </w:pPr>
    </w:p>
    <w:p>
      <w:pPr>
        <w:ind w:left="240" w:hanging="234"/>
        <w:spacing w:after="0"/>
        <w:tabs>
          <w:tab w:leader="none" w:pos="240" w:val="left"/>
        </w:tabs>
        <w:numPr>
          <w:ilvl w:val="0"/>
          <w:numId w:val="9"/>
        </w:numPr>
        <w:rPr>
          <w:rFonts w:ascii="Arial" w:cs="Arial" w:eastAsia="Arial" w:hAnsi="Arial"/>
          <w:sz w:val="18"/>
          <w:szCs w:val="18"/>
          <w:color w:val="4B4B4B"/>
        </w:rPr>
      </w:pPr>
      <w:r>
        <w:rPr>
          <w:rFonts w:ascii="Arial" w:cs="Arial" w:eastAsia="Arial" w:hAnsi="Arial"/>
          <w:sz w:val="18"/>
          <w:szCs w:val="18"/>
          <w:color w:val="4B4B4B"/>
        </w:rPr>
        <w:t>related to any pending, threatened or ongoing litigation;</w:t>
      </w:r>
    </w:p>
    <w:p>
      <w:pPr>
        <w:spacing w:after="0" w:line="184" w:lineRule="exact"/>
        <w:rPr>
          <w:rFonts w:ascii="Arial" w:cs="Arial" w:eastAsia="Arial" w:hAnsi="Arial"/>
          <w:sz w:val="18"/>
          <w:szCs w:val="18"/>
          <w:color w:val="4B4B4B"/>
        </w:rPr>
      </w:pPr>
    </w:p>
    <w:p>
      <w:pPr>
        <w:ind w:left="240" w:hanging="234"/>
        <w:spacing w:after="0"/>
        <w:tabs>
          <w:tab w:leader="none" w:pos="240" w:val="left"/>
        </w:tabs>
        <w:numPr>
          <w:ilvl w:val="0"/>
          <w:numId w:val="9"/>
        </w:numPr>
        <w:rPr>
          <w:rFonts w:ascii="Arial" w:cs="Arial" w:eastAsia="Arial" w:hAnsi="Arial"/>
          <w:sz w:val="18"/>
          <w:szCs w:val="18"/>
          <w:color w:val="4B4B4B"/>
        </w:rPr>
      </w:pPr>
      <w:r>
        <w:rPr>
          <w:rFonts w:ascii="Arial" w:cs="Arial" w:eastAsia="Arial" w:hAnsi="Arial"/>
          <w:sz w:val="18"/>
          <w:szCs w:val="18"/>
          <w:color w:val="4B4B4B"/>
        </w:rPr>
        <w:t>related to personal grievances;</w:t>
      </w:r>
    </w:p>
    <w:p>
      <w:pPr>
        <w:spacing w:after="0" w:line="184" w:lineRule="exact"/>
        <w:rPr>
          <w:rFonts w:ascii="Arial" w:cs="Arial" w:eastAsia="Arial" w:hAnsi="Arial"/>
          <w:sz w:val="18"/>
          <w:szCs w:val="18"/>
          <w:color w:val="4B4B4B"/>
        </w:rPr>
      </w:pPr>
    </w:p>
    <w:p>
      <w:pPr>
        <w:ind w:left="240" w:hanging="234"/>
        <w:spacing w:after="0"/>
        <w:tabs>
          <w:tab w:leader="none" w:pos="240" w:val="left"/>
        </w:tabs>
        <w:numPr>
          <w:ilvl w:val="0"/>
          <w:numId w:val="9"/>
        </w:numPr>
        <w:rPr>
          <w:rFonts w:ascii="Arial" w:cs="Arial" w:eastAsia="Arial" w:hAnsi="Arial"/>
          <w:sz w:val="18"/>
          <w:szCs w:val="18"/>
          <w:color w:val="4B4B4B"/>
        </w:rPr>
      </w:pPr>
      <w:r>
        <w:rPr>
          <w:rFonts w:ascii="Arial" w:cs="Arial" w:eastAsia="Arial" w:hAnsi="Arial"/>
          <w:sz w:val="18"/>
          <w:szCs w:val="18"/>
          <w:color w:val="4B4B4B"/>
        </w:rPr>
        <w:t>derogatory references to individuals or that are otherwise in bad taste;</w:t>
      </w:r>
    </w:p>
    <w:p>
      <w:pPr>
        <w:spacing w:after="0" w:line="184" w:lineRule="exact"/>
        <w:rPr>
          <w:rFonts w:ascii="Arial" w:cs="Arial" w:eastAsia="Arial" w:hAnsi="Arial"/>
          <w:sz w:val="18"/>
          <w:szCs w:val="18"/>
          <w:color w:val="4B4B4B"/>
        </w:rPr>
      </w:pPr>
    </w:p>
    <w:p>
      <w:pPr>
        <w:ind w:left="240" w:hanging="234"/>
        <w:spacing w:after="0"/>
        <w:tabs>
          <w:tab w:leader="none" w:pos="240" w:val="left"/>
        </w:tabs>
        <w:numPr>
          <w:ilvl w:val="0"/>
          <w:numId w:val="9"/>
        </w:numPr>
        <w:rPr>
          <w:rFonts w:ascii="Arial" w:cs="Arial" w:eastAsia="Arial" w:hAnsi="Arial"/>
          <w:sz w:val="18"/>
          <w:szCs w:val="18"/>
          <w:color w:val="4B4B4B"/>
        </w:rPr>
      </w:pPr>
      <w:r>
        <w:rPr>
          <w:rFonts w:ascii="Arial" w:cs="Arial" w:eastAsia="Arial" w:hAnsi="Arial"/>
          <w:sz w:val="18"/>
          <w:szCs w:val="18"/>
          <w:color w:val="4B4B4B"/>
        </w:rPr>
        <w:t>substantially repetitious of questions already made by another stockholder;</w:t>
      </w:r>
    </w:p>
    <w:p>
      <w:pPr>
        <w:spacing w:after="0" w:line="184" w:lineRule="exact"/>
        <w:rPr>
          <w:rFonts w:ascii="Arial" w:cs="Arial" w:eastAsia="Arial" w:hAnsi="Arial"/>
          <w:sz w:val="18"/>
          <w:szCs w:val="18"/>
          <w:color w:val="4B4B4B"/>
        </w:rPr>
      </w:pPr>
    </w:p>
    <w:p>
      <w:pPr>
        <w:ind w:left="240" w:hanging="234"/>
        <w:spacing w:after="0"/>
        <w:tabs>
          <w:tab w:leader="none" w:pos="240" w:val="left"/>
        </w:tabs>
        <w:numPr>
          <w:ilvl w:val="0"/>
          <w:numId w:val="9"/>
        </w:numPr>
        <w:rPr>
          <w:rFonts w:ascii="Arial" w:cs="Arial" w:eastAsia="Arial" w:hAnsi="Arial"/>
          <w:sz w:val="18"/>
          <w:szCs w:val="18"/>
          <w:color w:val="4B4B4B"/>
        </w:rPr>
      </w:pPr>
      <w:r>
        <w:rPr>
          <w:rFonts w:ascii="Arial" w:cs="Arial" w:eastAsia="Arial" w:hAnsi="Arial"/>
          <w:sz w:val="18"/>
          <w:szCs w:val="18"/>
          <w:color w:val="4B4B4B"/>
        </w:rPr>
        <w:t>in excess of the two question limit;</w:t>
      </w:r>
    </w:p>
    <w:p>
      <w:pPr>
        <w:spacing w:after="0" w:line="184" w:lineRule="exact"/>
        <w:rPr>
          <w:rFonts w:ascii="Arial" w:cs="Arial" w:eastAsia="Arial" w:hAnsi="Arial"/>
          <w:sz w:val="18"/>
          <w:szCs w:val="18"/>
          <w:color w:val="4B4B4B"/>
        </w:rPr>
      </w:pPr>
    </w:p>
    <w:p>
      <w:pPr>
        <w:ind w:left="240" w:hanging="234"/>
        <w:spacing w:after="0"/>
        <w:tabs>
          <w:tab w:leader="none" w:pos="240" w:val="left"/>
        </w:tabs>
        <w:numPr>
          <w:ilvl w:val="0"/>
          <w:numId w:val="9"/>
        </w:numPr>
        <w:rPr>
          <w:rFonts w:ascii="Arial" w:cs="Arial" w:eastAsia="Arial" w:hAnsi="Arial"/>
          <w:sz w:val="18"/>
          <w:szCs w:val="18"/>
          <w:color w:val="4B4B4B"/>
        </w:rPr>
      </w:pPr>
      <w:r>
        <w:rPr>
          <w:rFonts w:ascii="Arial" w:cs="Arial" w:eastAsia="Arial" w:hAnsi="Arial"/>
          <w:sz w:val="18"/>
          <w:szCs w:val="18"/>
          <w:color w:val="4B4B4B"/>
        </w:rPr>
        <w:t>in furtherance of the stockholder’s personal or business interests; or</w:t>
      </w:r>
    </w:p>
    <w:p>
      <w:pPr>
        <w:spacing w:after="0" w:line="184" w:lineRule="exact"/>
        <w:rPr>
          <w:rFonts w:ascii="Arial" w:cs="Arial" w:eastAsia="Arial" w:hAnsi="Arial"/>
          <w:sz w:val="18"/>
          <w:szCs w:val="18"/>
          <w:color w:val="4B4B4B"/>
        </w:rPr>
      </w:pPr>
    </w:p>
    <w:p>
      <w:pPr>
        <w:ind w:left="240" w:right="220" w:hanging="234"/>
        <w:spacing w:after="0" w:line="277" w:lineRule="auto"/>
        <w:tabs>
          <w:tab w:leader="none" w:pos="222" w:val="left"/>
        </w:tabs>
        <w:numPr>
          <w:ilvl w:val="0"/>
          <w:numId w:val="9"/>
        </w:numPr>
        <w:rPr>
          <w:rFonts w:ascii="Arial" w:cs="Arial" w:eastAsia="Arial" w:hAnsi="Arial"/>
          <w:sz w:val="18"/>
          <w:szCs w:val="18"/>
          <w:color w:val="4B4B4B"/>
        </w:rPr>
      </w:pPr>
      <w:r>
        <w:rPr>
          <w:rFonts w:ascii="Arial" w:cs="Arial" w:eastAsia="Arial" w:hAnsi="Arial"/>
          <w:sz w:val="18"/>
          <w:szCs w:val="18"/>
          <w:color w:val="4B4B4B"/>
        </w:rPr>
        <w:t>out of order or not otherwise suitable for the conduct of the Annual Meeting as determined by the Chair or Secretary in their reasonable judgment.</w:t>
      </w:r>
    </w:p>
    <w:p>
      <w:pPr>
        <w:spacing w:after="0" w:line="143"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4B4B4B"/>
        </w:rPr>
        <w:t>Additional information regarding the Q&amp;A session will be available in the “Rules of Conduct” available on the Annual Meeting webpage for stockholders that have accessed the Annual Meeting as a stockholder (rather than a “Guest”) by following the procedures outlined above.</w:t>
      </w:r>
    </w:p>
    <w:p>
      <w:pPr>
        <w:spacing w:after="0" w:line="200" w:lineRule="exact"/>
        <w:rPr>
          <w:sz w:val="20"/>
          <w:szCs w:val="20"/>
          <w:color w:val="auto"/>
        </w:rPr>
      </w:pPr>
    </w:p>
    <w:p>
      <w:pPr>
        <w:spacing w:after="0" w:line="244" w:lineRule="exact"/>
        <w:rPr>
          <w:sz w:val="20"/>
          <w:szCs w:val="20"/>
          <w:color w:val="auto"/>
        </w:rPr>
      </w:pPr>
    </w:p>
    <w:p>
      <w:pPr>
        <w:ind w:right="120"/>
        <w:spacing w:after="0" w:line="310" w:lineRule="auto"/>
        <w:rPr>
          <w:sz w:val="20"/>
          <w:szCs w:val="20"/>
          <w:color w:val="auto"/>
        </w:rPr>
      </w:pPr>
      <w:r>
        <w:rPr>
          <w:rFonts w:ascii="Arial" w:cs="Arial" w:eastAsia="Arial" w:hAnsi="Arial"/>
          <w:sz w:val="23"/>
          <w:szCs w:val="23"/>
          <w:b w:val="1"/>
          <w:bCs w:val="1"/>
          <w:color w:val="4B4B4B"/>
        </w:rPr>
        <w:t>What if during the check-in time or during the Annual Meeting I have technical difficulties or trouble accessing the virtual meeting website?</w:t>
      </w:r>
    </w:p>
    <w:p>
      <w:pPr>
        <w:spacing w:after="0" w:line="20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4B4B4B"/>
        </w:rPr>
        <w:t>We will have technicians ready to assist you with any technical difficulties you may have accessing the virtual meeting website. If you encounter any difficulties accessing the virtual meeting website during the check-in or meeting time, a technical assistance phone number will be made available on the virtual meeting registration page 15 minutes prior to the start time of the meeting.</w:t>
      </w:r>
    </w:p>
    <w:p>
      <w:pPr>
        <w:spacing w:after="0" w:line="302"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How does the Board recommend that I vote?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4B4B4B"/>
        </w:rPr>
        <w:t>The Board recommends that you vote:</w:t>
      </w:r>
    </w:p>
    <w:p>
      <w:pPr>
        <w:spacing w:after="0" w:line="163" w:lineRule="exact"/>
        <w:rPr>
          <w:sz w:val="20"/>
          <w:szCs w:val="20"/>
          <w:color w:val="auto"/>
        </w:rPr>
      </w:pPr>
    </w:p>
    <w:p>
      <w:pPr>
        <w:ind w:left="240" w:hanging="234"/>
        <w:spacing w:after="0"/>
        <w:tabs>
          <w:tab w:leader="none" w:pos="240" w:val="left"/>
        </w:tabs>
        <w:numPr>
          <w:ilvl w:val="0"/>
          <w:numId w:val="10"/>
        </w:numPr>
        <w:rPr>
          <w:rFonts w:ascii="Arial" w:cs="Arial" w:eastAsia="Arial" w:hAnsi="Arial"/>
          <w:sz w:val="18"/>
          <w:szCs w:val="18"/>
          <w:color w:val="4B4B4B"/>
        </w:rPr>
      </w:pPr>
      <w:r>
        <w:rPr>
          <w:rFonts w:ascii="Arial" w:cs="Arial" w:eastAsia="Arial" w:hAnsi="Arial"/>
          <w:sz w:val="18"/>
          <w:szCs w:val="18"/>
          <w:b w:val="1"/>
          <w:bCs w:val="1"/>
          <w:color w:val="4B4B4B"/>
        </w:rPr>
        <w:t xml:space="preserve">FOR </w:t>
      </w:r>
      <w:r>
        <w:rPr>
          <w:rFonts w:ascii="Arial" w:cs="Arial" w:eastAsia="Arial" w:hAnsi="Arial"/>
          <w:sz w:val="18"/>
          <w:szCs w:val="18"/>
          <w:color w:val="4B4B4B"/>
        </w:rPr>
        <w:t>the nominees to the Board set forth in this Proxy Statement.</w:t>
      </w:r>
    </w:p>
    <w:p>
      <w:pPr>
        <w:spacing w:after="0" w:line="184" w:lineRule="exact"/>
        <w:rPr>
          <w:rFonts w:ascii="Arial" w:cs="Arial" w:eastAsia="Arial" w:hAnsi="Arial"/>
          <w:sz w:val="18"/>
          <w:szCs w:val="18"/>
          <w:color w:val="4B4B4B"/>
        </w:rPr>
      </w:pPr>
    </w:p>
    <w:p>
      <w:pPr>
        <w:ind w:left="240" w:hanging="234"/>
        <w:spacing w:after="0"/>
        <w:tabs>
          <w:tab w:leader="none" w:pos="240" w:val="left"/>
        </w:tabs>
        <w:numPr>
          <w:ilvl w:val="0"/>
          <w:numId w:val="10"/>
        </w:numPr>
        <w:rPr>
          <w:rFonts w:ascii="Arial" w:cs="Arial" w:eastAsia="Arial" w:hAnsi="Arial"/>
          <w:sz w:val="18"/>
          <w:szCs w:val="18"/>
          <w:color w:val="4B4B4B"/>
        </w:rPr>
      </w:pPr>
      <w:r>
        <w:rPr>
          <w:rFonts w:ascii="Arial" w:cs="Arial" w:eastAsia="Arial" w:hAnsi="Arial"/>
          <w:sz w:val="18"/>
          <w:szCs w:val="18"/>
          <w:b w:val="1"/>
          <w:bCs w:val="1"/>
          <w:color w:val="4B4B4B"/>
        </w:rPr>
        <w:t xml:space="preserve">FOR </w:t>
      </w:r>
      <w:r>
        <w:rPr>
          <w:rFonts w:ascii="Arial" w:cs="Arial" w:eastAsia="Arial" w:hAnsi="Arial"/>
          <w:sz w:val="18"/>
          <w:szCs w:val="18"/>
          <w:color w:val="4B4B4B"/>
        </w:rPr>
        <w:t>the ratification of the appointment of Deloitte &amp; Touche LLP as our independent registered public accounting firm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817245</wp:posOffset>
            </wp:positionV>
            <wp:extent cx="71062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4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20" w:type="dxa"/>
            <w:vAlign w:val="bottom"/>
          </w:tcPr>
          <w:p>
            <w:pPr>
              <w:jc w:val="right"/>
              <w:spacing w:after="0"/>
              <w:rPr>
                <w:sz w:val="20"/>
                <w:szCs w:val="20"/>
                <w:color w:val="auto"/>
              </w:rPr>
            </w:pPr>
            <w:r>
              <w:rPr>
                <w:rFonts w:ascii="Arial" w:cs="Arial" w:eastAsia="Arial" w:hAnsi="Arial"/>
                <w:sz w:val="14"/>
                <w:szCs w:val="14"/>
                <w:b w:val="1"/>
                <w:bCs w:val="1"/>
                <w:color w:val="AFAFAF"/>
              </w:rPr>
              <w:t>7</w:t>
            </w:r>
          </w:p>
        </w:tc>
      </w:tr>
    </w:tbl>
    <w:p>
      <w:pPr>
        <w:sectPr>
          <w:pgSz w:w="11900" w:h="16838" w:orient="portrait"/>
          <w:cols w:equalWidth="0" w:num="1">
            <w:col w:w="11180"/>
          </w:cols>
          <w:pgMar w:left="340" w:top="1385" w:right="379" w:bottom="1440" w:gutter="0" w:footer="0" w:header="0"/>
        </w:sectPr>
      </w:pPr>
    </w:p>
    <w:bookmarkStart w:id="12" w:name="page13"/>
    <w:bookmarkEnd w:id="12"/>
    <w:p>
      <w:pPr>
        <w:spacing w:after="0"/>
        <w:rPr>
          <w:sz w:val="20"/>
          <w:szCs w:val="20"/>
          <w:color w:val="auto"/>
        </w:rPr>
      </w:pPr>
      <w:r>
        <w:rPr>
          <w:rFonts w:ascii="Arial" w:cs="Arial" w:eastAsia="Arial" w:hAnsi="Arial"/>
          <w:sz w:val="23"/>
          <w:szCs w:val="23"/>
          <w:b w:val="1"/>
          <w:bCs w:val="1"/>
          <w:color w:val="4B4B4B"/>
        </w:rPr>
        <w:t>What if I do not specify how my shares are to be voted?</w:t>
      </w:r>
    </w:p>
    <w:p>
      <w:pPr>
        <w:spacing w:after="0" w:line="32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4B4B4B"/>
        </w:rPr>
        <w:t>If you submit a proxy but do not indicate any voting instructions, the persons named as proxies will vote in accordance with the recommendations of the Board. The Board’s recommendations are set forth above, as well as with the description of each proposal in this Proxy Statement.</w:t>
      </w: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Who will count the votes?</w:t>
      </w:r>
    </w:p>
    <w:p>
      <w:pPr>
        <w:spacing w:after="0" w:line="3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4B4B4B"/>
        </w:rPr>
        <w:t>Representatives of Broadridge Investor Communications Services (“Broadridge”) will tabulate the votes, and a representative of Broadridge will act as inspector of election.</w:t>
      </w:r>
    </w:p>
    <w:p>
      <w:pPr>
        <w:spacing w:after="0" w:line="296"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Can I revoke or change my vote after I submit my proxy?</w:t>
      </w:r>
    </w:p>
    <w:p>
      <w:pPr>
        <w:spacing w:after="0" w:line="3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4B4B4B"/>
        </w:rPr>
        <w:t>Yes. Whether you have voted by Internet, telephone or mail, if you are a stockholder of record, you may change your vote and revoke your proxy by:</w:t>
      </w:r>
    </w:p>
    <w:p>
      <w:pPr>
        <w:spacing w:after="0" w:line="143" w:lineRule="exact"/>
        <w:rPr>
          <w:sz w:val="20"/>
          <w:szCs w:val="20"/>
          <w:color w:val="auto"/>
        </w:rPr>
      </w:pPr>
    </w:p>
    <w:p>
      <w:pPr>
        <w:ind w:left="240" w:right="160" w:hanging="234"/>
        <w:spacing w:after="0" w:line="277" w:lineRule="auto"/>
        <w:tabs>
          <w:tab w:leader="none" w:pos="222" w:val="left"/>
        </w:tabs>
        <w:numPr>
          <w:ilvl w:val="0"/>
          <w:numId w:val="11"/>
        </w:numPr>
        <w:rPr>
          <w:rFonts w:ascii="Arial" w:cs="Arial" w:eastAsia="Arial" w:hAnsi="Arial"/>
          <w:sz w:val="18"/>
          <w:szCs w:val="18"/>
          <w:color w:val="4B4B4B"/>
        </w:rPr>
      </w:pPr>
      <w:r>
        <w:rPr>
          <w:rFonts w:ascii="Arial" w:cs="Arial" w:eastAsia="Arial" w:hAnsi="Arial"/>
          <w:sz w:val="18"/>
          <w:szCs w:val="18"/>
          <w:color w:val="4B4B4B"/>
        </w:rPr>
        <w:t>sending a written statement to that effect to the attention of our Corporate Secretary at our corporate offices, provided such statement is received no later than June 8, 2022;</w:t>
      </w:r>
    </w:p>
    <w:p>
      <w:pPr>
        <w:spacing w:after="0" w:line="143" w:lineRule="exact"/>
        <w:rPr>
          <w:rFonts w:ascii="Arial" w:cs="Arial" w:eastAsia="Arial" w:hAnsi="Arial"/>
          <w:sz w:val="18"/>
          <w:szCs w:val="18"/>
          <w:color w:val="4B4B4B"/>
        </w:rPr>
      </w:pPr>
    </w:p>
    <w:p>
      <w:pPr>
        <w:ind w:left="240" w:right="300" w:hanging="234"/>
        <w:spacing w:after="0" w:line="277" w:lineRule="auto"/>
        <w:tabs>
          <w:tab w:leader="none" w:pos="222" w:val="left"/>
        </w:tabs>
        <w:numPr>
          <w:ilvl w:val="0"/>
          <w:numId w:val="11"/>
        </w:numPr>
        <w:rPr>
          <w:rFonts w:ascii="Arial" w:cs="Arial" w:eastAsia="Arial" w:hAnsi="Arial"/>
          <w:sz w:val="18"/>
          <w:szCs w:val="18"/>
          <w:color w:val="4B4B4B"/>
        </w:rPr>
      </w:pPr>
      <w:r>
        <w:rPr>
          <w:rFonts w:ascii="Arial" w:cs="Arial" w:eastAsia="Arial" w:hAnsi="Arial"/>
          <w:sz w:val="18"/>
          <w:szCs w:val="18"/>
          <w:color w:val="4B4B4B"/>
        </w:rPr>
        <w:t>voting again by Internet or telephone at a later time before the closing of those voting facilities at 11:59 p.m., Eastern Time, on June 8, 2022;</w:t>
      </w:r>
    </w:p>
    <w:p>
      <w:pPr>
        <w:spacing w:after="0" w:line="143" w:lineRule="exact"/>
        <w:rPr>
          <w:rFonts w:ascii="Arial" w:cs="Arial" w:eastAsia="Arial" w:hAnsi="Arial"/>
          <w:sz w:val="18"/>
          <w:szCs w:val="18"/>
          <w:color w:val="4B4B4B"/>
        </w:rPr>
      </w:pPr>
    </w:p>
    <w:p>
      <w:pPr>
        <w:ind w:left="240" w:hanging="234"/>
        <w:spacing w:after="0"/>
        <w:tabs>
          <w:tab w:leader="none" w:pos="240" w:val="left"/>
        </w:tabs>
        <w:numPr>
          <w:ilvl w:val="0"/>
          <w:numId w:val="11"/>
        </w:numPr>
        <w:rPr>
          <w:rFonts w:ascii="Arial" w:cs="Arial" w:eastAsia="Arial" w:hAnsi="Arial"/>
          <w:sz w:val="18"/>
          <w:szCs w:val="18"/>
          <w:color w:val="4B4B4B"/>
        </w:rPr>
      </w:pPr>
      <w:r>
        <w:rPr>
          <w:rFonts w:ascii="Arial" w:cs="Arial" w:eastAsia="Arial" w:hAnsi="Arial"/>
          <w:sz w:val="18"/>
          <w:szCs w:val="18"/>
          <w:color w:val="4B4B4B"/>
        </w:rPr>
        <w:t>submitting a properly signed proxy card with a later date that is received no later than June 8, 2022; or</w:t>
      </w:r>
    </w:p>
    <w:p>
      <w:pPr>
        <w:spacing w:after="0" w:line="184" w:lineRule="exact"/>
        <w:rPr>
          <w:rFonts w:ascii="Arial" w:cs="Arial" w:eastAsia="Arial" w:hAnsi="Arial"/>
          <w:sz w:val="18"/>
          <w:szCs w:val="18"/>
          <w:color w:val="4B4B4B"/>
        </w:rPr>
      </w:pPr>
    </w:p>
    <w:p>
      <w:pPr>
        <w:ind w:left="240" w:hanging="234"/>
        <w:spacing w:after="0"/>
        <w:tabs>
          <w:tab w:leader="none" w:pos="240" w:val="left"/>
        </w:tabs>
        <w:numPr>
          <w:ilvl w:val="0"/>
          <w:numId w:val="11"/>
        </w:numPr>
        <w:rPr>
          <w:rFonts w:ascii="Arial" w:cs="Arial" w:eastAsia="Arial" w:hAnsi="Arial"/>
          <w:sz w:val="18"/>
          <w:szCs w:val="18"/>
          <w:color w:val="4B4B4B"/>
        </w:rPr>
      </w:pPr>
      <w:r>
        <w:rPr>
          <w:rFonts w:ascii="Arial" w:cs="Arial" w:eastAsia="Arial" w:hAnsi="Arial"/>
          <w:sz w:val="18"/>
          <w:szCs w:val="18"/>
          <w:color w:val="4B4B4B"/>
        </w:rPr>
        <w:t>attending the Annual Meeting, revoking your proxy and voting again.</w:t>
      </w:r>
    </w:p>
    <w:p>
      <w:pPr>
        <w:spacing w:after="0" w:line="18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4B4B4B"/>
        </w:rPr>
        <w:t>If you hold shares in street name, you may submit new voting instructions by contacting your bank, broker or other nominee. You may also change your vote or revoke your proxy online at the Annual Meeting if you obtain a signed proxy from the record holder (broker, bank or other nominee) giving you the right to vote the shares.</w:t>
      </w:r>
    </w:p>
    <w:p>
      <w:pPr>
        <w:spacing w:after="0" w:line="149" w:lineRule="exact"/>
        <w:rPr>
          <w:sz w:val="20"/>
          <w:szCs w:val="20"/>
          <w:color w:val="auto"/>
        </w:rPr>
      </w:pPr>
    </w:p>
    <w:p>
      <w:pPr>
        <w:spacing w:after="0" w:line="271" w:lineRule="auto"/>
        <w:rPr>
          <w:sz w:val="20"/>
          <w:szCs w:val="20"/>
          <w:color w:val="auto"/>
        </w:rPr>
      </w:pPr>
      <w:r>
        <w:rPr>
          <w:rFonts w:ascii="Arial" w:cs="Arial" w:eastAsia="Arial" w:hAnsi="Arial"/>
          <w:sz w:val="18"/>
          <w:szCs w:val="18"/>
          <w:color w:val="4B4B4B"/>
        </w:rPr>
        <w:t>Your most recent proxy card or telephone or Internet proxy is the one that is counted. Your attendance at the Annual Meeting by itself will not revoke your proxy unless you give written notice of revocation to the Company before your proxy is voted or you vote online at the Annual Meeting.</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Who will pay for the cost of this proxy solicitation?</w:t>
      </w:r>
    </w:p>
    <w:p>
      <w:pPr>
        <w:spacing w:after="0" w:line="32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4B4B4B"/>
        </w:rPr>
        <w:t>We will pay the cost of soliciting proxies. Proxies may be solicited on our behalf by directors, officers or employees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Why hold a virtual meeting?</w:t>
      </w:r>
    </w:p>
    <w:p>
      <w:pPr>
        <w:spacing w:after="0" w:line="3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4B4B4B"/>
        </w:rPr>
        <w:t>We want to use the latest technology to provide expanded access, improved communication and cost savings for our stockholders and the Company while providing stockholders the same rights and opportunities to participate as they would have at an in-person meeting. Furthermore, as part of our effort to maintain a safe and healthy environment for our directors, members of management and stockholders who wish to attend the Annual Meeting, we believe that hosting a virtual meeting is in the best interest of the Company and its stockholders and a virtual meeting enables increased stockholder attendance and participation because stockholders can participate from any location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782955</wp:posOffset>
            </wp:positionV>
            <wp:extent cx="71062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180"/>
          </w:cols>
          <w:pgMar w:left="340" w:top="138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11080" w:val="left"/>
        </w:tabs>
        <w:rPr>
          <w:sz w:val="20"/>
          <w:szCs w:val="20"/>
          <w:color w:val="auto"/>
        </w:rPr>
      </w:pPr>
      <w:r>
        <w:rPr>
          <w:rFonts w:ascii="Arial" w:cs="Arial" w:eastAsia="Arial" w:hAnsi="Arial"/>
          <w:sz w:val="14"/>
          <w:szCs w:val="14"/>
          <w:b w:val="1"/>
          <w:bCs w:val="1"/>
          <w:color w:val="AFAFAF"/>
        </w:rPr>
        <w:t>DUOLINGO 2022 PROXY STATEMENT</w:t>
      </w:r>
      <w:r>
        <w:rPr>
          <w:sz w:val="20"/>
          <w:szCs w:val="20"/>
          <w:color w:val="auto"/>
        </w:rPr>
        <w:tab/>
      </w:r>
      <w:r>
        <w:rPr>
          <w:rFonts w:ascii="Arial" w:cs="Arial" w:eastAsia="Arial" w:hAnsi="Arial"/>
          <w:sz w:val="14"/>
          <w:szCs w:val="14"/>
          <w:b w:val="1"/>
          <w:bCs w:val="1"/>
          <w:color w:val="AFAFAF"/>
        </w:rPr>
        <w:t>8</w:t>
      </w:r>
    </w:p>
    <w:p>
      <w:pPr>
        <w:sectPr>
          <w:pgSz w:w="11900" w:h="16838" w:orient="portrait"/>
          <w:cols w:equalWidth="0" w:num="1">
            <w:col w:w="11180"/>
          </w:cols>
          <w:pgMar w:left="340" w:top="1385" w:right="3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36"/>
          <w:szCs w:val="36"/>
          <w:b w:val="1"/>
          <w:bCs w:val="1"/>
          <w:color w:val="4B4B4B"/>
        </w:rPr>
        <w:t>Proposal #1: Election of Directors</w:t>
      </w:r>
    </w:p>
    <w:p>
      <w:pPr>
        <w:spacing w:after="0" w:line="380"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Board Size and Structure</w:t>
      </w:r>
    </w:p>
    <w:p>
      <w:pPr>
        <w:spacing w:after="0" w:line="217" w:lineRule="exact"/>
        <w:rPr>
          <w:sz w:val="20"/>
          <w:szCs w:val="20"/>
          <w:color w:val="auto"/>
        </w:rPr>
      </w:pPr>
    </w:p>
    <w:p>
      <w:pPr>
        <w:ind w:left="20" w:right="220"/>
        <w:spacing w:after="0" w:line="269" w:lineRule="auto"/>
        <w:rPr>
          <w:sz w:val="20"/>
          <w:szCs w:val="20"/>
          <w:color w:val="auto"/>
        </w:rPr>
      </w:pPr>
      <w:r>
        <w:rPr>
          <w:rFonts w:ascii="Arial" w:cs="Arial" w:eastAsia="Arial" w:hAnsi="Arial"/>
          <w:sz w:val="18"/>
          <w:szCs w:val="18"/>
          <w:color w:val="4B4B4B"/>
        </w:rPr>
        <w:t>Our amended and restated certificate of incorporation, as currently in effect (“Certificate of Incorporation”) provides that the number of directors shall be established from time to time by our Board of Directors. Our Board of Directors has fixed the number of directors at nine, and we currently have nine directors serving on the Board.</w:t>
      </w:r>
    </w:p>
    <w:p>
      <w:pPr>
        <w:spacing w:after="0" w:line="152" w:lineRule="exact"/>
        <w:rPr>
          <w:sz w:val="20"/>
          <w:szCs w:val="20"/>
          <w:color w:val="auto"/>
        </w:rPr>
      </w:pPr>
    </w:p>
    <w:p>
      <w:pPr>
        <w:ind w:left="20"/>
        <w:spacing w:after="0" w:line="267" w:lineRule="auto"/>
        <w:rPr>
          <w:sz w:val="20"/>
          <w:szCs w:val="20"/>
          <w:color w:val="auto"/>
        </w:rPr>
      </w:pPr>
      <w:r>
        <w:rPr>
          <w:rFonts w:ascii="Arial" w:cs="Arial" w:eastAsia="Arial" w:hAnsi="Arial"/>
          <w:sz w:val="18"/>
          <w:szCs w:val="18"/>
          <w:color w:val="4B4B4B"/>
        </w:rPr>
        <w:t>Our Certificate of Incorporation provides that the Board be divided into three classes, designated as Class I, Class II and Class III. Each class of directors must stand for re-election no later than the third annual meeting of stockholders subsequent to their initial appointment or election to the Board, provided that the term of each director will continue until the election and qualification of his or her successor and is subject to his or her earlier death, resignation or removal. Generally, vacancies or newly created directorships on the Board will be filled only by vote of a majority of the directors then in office although less than a quorum, or by a sole remaining director. A director appointed by the Board to fill a vacancy will hold office until the next election of the class for which such director was chosen, subject to the election and qualification of his or her successor and his or her earlier death, resignation, retirement, disqualification or removal.</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Nominees for Director</w:t>
      </w:r>
    </w:p>
    <w:p>
      <w:pPr>
        <w:spacing w:after="0" w:line="217" w:lineRule="exact"/>
        <w:rPr>
          <w:sz w:val="20"/>
          <w:szCs w:val="20"/>
          <w:color w:val="auto"/>
        </w:rPr>
      </w:pPr>
    </w:p>
    <w:p>
      <w:pPr>
        <w:ind w:left="20"/>
        <w:spacing w:after="0" w:line="268" w:lineRule="auto"/>
        <w:rPr>
          <w:sz w:val="20"/>
          <w:szCs w:val="20"/>
          <w:color w:val="auto"/>
        </w:rPr>
      </w:pPr>
      <w:r>
        <w:rPr>
          <w:rFonts w:ascii="Arial" w:cs="Arial" w:eastAsia="Arial" w:hAnsi="Arial"/>
          <w:sz w:val="18"/>
          <w:szCs w:val="18"/>
          <w:color w:val="4B4B4B"/>
        </w:rPr>
        <w:t>Ms. Sturdy and Messrs. Gordon and Lilly have been nominated by the Board to stand for election. As the directors assigned to Class I, Ms. Sturdy’s and Messrs. Gordon’s and Lilly’s current terms of service will expire at the Annual Meeting. If elected by the stockholders at the Annual Meeting, Ms. Sturdy and Messrs. Gordon and Lilly will each serve for a term expiring at our annual meeting of stockholders to be held in 2025 (the “2025 Annual Meeting”) and the election and qualification of his or her successor or until his or her earlier death, resignation or removal.</w:t>
      </w:r>
    </w:p>
    <w:p>
      <w:pPr>
        <w:spacing w:after="0" w:line="152" w:lineRule="exact"/>
        <w:rPr>
          <w:sz w:val="20"/>
          <w:szCs w:val="20"/>
          <w:color w:val="auto"/>
        </w:rPr>
      </w:pPr>
    </w:p>
    <w:p>
      <w:pPr>
        <w:ind w:left="20"/>
        <w:spacing w:after="0" w:line="268" w:lineRule="auto"/>
        <w:rPr>
          <w:sz w:val="20"/>
          <w:szCs w:val="20"/>
          <w:color w:val="auto"/>
        </w:rPr>
      </w:pPr>
      <w:r>
        <w:rPr>
          <w:rFonts w:ascii="Arial" w:cs="Arial" w:eastAsia="Arial" w:hAnsi="Arial"/>
          <w:sz w:val="18"/>
          <w:szCs w:val="18"/>
          <w:color w:val="4B4B4B"/>
        </w:rPr>
        <w:t>Each person nominated for election has agreed to serve if elected, and management has no reason to believe that any nominee will be unable to serve. If, however, prior to the Annual Meeting, the Board of Directors should learn that any nominee will be unable to serve for any reason, the proxies that otherwise would have been voted for this nominee will be voted for a substitute nominee as selected by the Board. Alternatively, the proxies, at the Board’s discretion, may be voted for that fewer number of nominees as results from the inability of any nominee to serve. The Board has no reason to believe that any of the nominees will be unable to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1562100</wp:posOffset>
            </wp:positionV>
            <wp:extent cx="71062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780"/>
        <w:spacing w:after="0" w:line="310" w:lineRule="auto"/>
        <w:rPr>
          <w:sz w:val="20"/>
          <w:szCs w:val="20"/>
          <w:color w:val="auto"/>
        </w:rPr>
      </w:pPr>
      <w:r>
        <w:rPr>
          <w:rFonts w:ascii="Arial" w:cs="Arial" w:eastAsia="Arial" w:hAnsi="Arial"/>
          <w:sz w:val="23"/>
          <w:szCs w:val="23"/>
          <w:b w:val="1"/>
          <w:bCs w:val="1"/>
          <w:color w:val="4B4B4B"/>
        </w:rPr>
        <w:t>Current Directors and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-456565</wp:posOffset>
            </wp:positionV>
            <wp:extent cx="42545" cy="5837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545" cy="58375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163830</wp:posOffset>
            </wp:positionV>
            <wp:extent cx="21463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32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777777"/>
        </w:rPr>
        <w:t>Class I Directors:</w:t>
      </w:r>
    </w:p>
    <w:p>
      <w:pPr>
        <w:spacing w:after="0" w:line="180" w:lineRule="exact"/>
        <w:rPr>
          <w:sz w:val="20"/>
          <w:szCs w:val="20"/>
          <w:color w:val="auto"/>
        </w:rPr>
      </w:pPr>
    </w:p>
    <w:p>
      <w:pPr>
        <w:ind w:left="860" w:hanging="229"/>
        <w:spacing w:after="0"/>
        <w:tabs>
          <w:tab w:leader="none" w:pos="860" w:val="left"/>
        </w:tabs>
        <w:numPr>
          <w:ilvl w:val="0"/>
          <w:numId w:val="12"/>
        </w:numPr>
        <w:rPr>
          <w:rFonts w:ascii="Arial" w:cs="Arial" w:eastAsia="Arial" w:hAnsi="Arial"/>
          <w:sz w:val="18"/>
          <w:szCs w:val="18"/>
          <w:color w:val="4B4B4B"/>
        </w:rPr>
      </w:pPr>
      <w:r>
        <w:rPr>
          <w:rFonts w:ascii="Arial" w:cs="Arial" w:eastAsia="Arial" w:hAnsi="Arial"/>
          <w:sz w:val="18"/>
          <w:szCs w:val="18"/>
          <w:color w:val="4B4B4B"/>
        </w:rPr>
        <w:t>Bing Gordon</w:t>
      </w:r>
    </w:p>
    <w:p>
      <w:pPr>
        <w:spacing w:after="0" w:line="22" w:lineRule="exact"/>
        <w:rPr>
          <w:rFonts w:ascii="Arial" w:cs="Arial" w:eastAsia="Arial" w:hAnsi="Arial"/>
          <w:sz w:val="18"/>
          <w:szCs w:val="18"/>
          <w:color w:val="4B4B4B"/>
        </w:rPr>
      </w:pPr>
    </w:p>
    <w:p>
      <w:pPr>
        <w:ind w:left="860" w:hanging="229"/>
        <w:spacing w:after="0"/>
        <w:tabs>
          <w:tab w:leader="none" w:pos="860" w:val="left"/>
        </w:tabs>
        <w:numPr>
          <w:ilvl w:val="0"/>
          <w:numId w:val="12"/>
        </w:numPr>
        <w:rPr>
          <w:rFonts w:ascii="Arial" w:cs="Arial" w:eastAsia="Arial" w:hAnsi="Arial"/>
          <w:sz w:val="18"/>
          <w:szCs w:val="18"/>
          <w:color w:val="4B4B4B"/>
        </w:rPr>
      </w:pPr>
      <w:r>
        <w:rPr>
          <w:rFonts w:ascii="Arial" w:cs="Arial" w:eastAsia="Arial" w:hAnsi="Arial"/>
          <w:sz w:val="18"/>
          <w:szCs w:val="18"/>
          <w:color w:val="4B4B4B"/>
        </w:rPr>
        <w:t>John Lilly</w:t>
      </w:r>
    </w:p>
    <w:p>
      <w:pPr>
        <w:spacing w:after="0" w:line="22" w:lineRule="exact"/>
        <w:rPr>
          <w:rFonts w:ascii="Arial" w:cs="Arial" w:eastAsia="Arial" w:hAnsi="Arial"/>
          <w:sz w:val="18"/>
          <w:szCs w:val="18"/>
          <w:color w:val="4B4B4B"/>
        </w:rPr>
      </w:pPr>
    </w:p>
    <w:p>
      <w:pPr>
        <w:ind w:left="860" w:hanging="229"/>
        <w:spacing w:after="0"/>
        <w:tabs>
          <w:tab w:leader="none" w:pos="860" w:val="left"/>
        </w:tabs>
        <w:numPr>
          <w:ilvl w:val="0"/>
          <w:numId w:val="12"/>
        </w:numPr>
        <w:rPr>
          <w:rFonts w:ascii="Arial" w:cs="Arial" w:eastAsia="Arial" w:hAnsi="Arial"/>
          <w:sz w:val="18"/>
          <w:szCs w:val="18"/>
          <w:color w:val="4B4B4B"/>
        </w:rPr>
      </w:pPr>
      <w:r>
        <w:rPr>
          <w:rFonts w:ascii="Arial" w:cs="Arial" w:eastAsia="Arial" w:hAnsi="Arial"/>
          <w:sz w:val="18"/>
          <w:szCs w:val="18"/>
          <w:color w:val="4B4B4B"/>
        </w:rPr>
        <w:t>Laela Sturdy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288925</wp:posOffset>
            </wp:positionV>
            <wp:extent cx="21463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777777"/>
        </w:rPr>
        <w:t>Class II Directors:</w:t>
      </w:r>
    </w:p>
    <w:p>
      <w:pPr>
        <w:spacing w:after="0" w:line="180" w:lineRule="exact"/>
        <w:rPr>
          <w:sz w:val="20"/>
          <w:szCs w:val="20"/>
          <w:color w:val="auto"/>
        </w:rPr>
      </w:pPr>
    </w:p>
    <w:p>
      <w:pPr>
        <w:ind w:left="860" w:hanging="229"/>
        <w:spacing w:after="0"/>
        <w:tabs>
          <w:tab w:leader="none" w:pos="860" w:val="left"/>
        </w:tabs>
        <w:numPr>
          <w:ilvl w:val="0"/>
          <w:numId w:val="13"/>
        </w:numPr>
        <w:rPr>
          <w:rFonts w:ascii="Arial" w:cs="Arial" w:eastAsia="Arial" w:hAnsi="Arial"/>
          <w:sz w:val="18"/>
          <w:szCs w:val="18"/>
          <w:color w:val="4B4B4B"/>
        </w:rPr>
      </w:pPr>
      <w:r>
        <w:rPr>
          <w:rFonts w:ascii="Arial" w:cs="Arial" w:eastAsia="Arial" w:hAnsi="Arial"/>
          <w:sz w:val="18"/>
          <w:szCs w:val="18"/>
          <w:color w:val="4B4B4B"/>
        </w:rPr>
        <w:t>Amy Bohutinsky</w:t>
      </w:r>
    </w:p>
    <w:p>
      <w:pPr>
        <w:spacing w:after="0" w:line="22" w:lineRule="exact"/>
        <w:rPr>
          <w:rFonts w:ascii="Arial" w:cs="Arial" w:eastAsia="Arial" w:hAnsi="Arial"/>
          <w:sz w:val="18"/>
          <w:szCs w:val="18"/>
          <w:color w:val="4B4B4B"/>
        </w:rPr>
      </w:pPr>
    </w:p>
    <w:p>
      <w:pPr>
        <w:ind w:left="860" w:hanging="229"/>
        <w:spacing w:after="0"/>
        <w:tabs>
          <w:tab w:leader="none" w:pos="860" w:val="left"/>
        </w:tabs>
        <w:numPr>
          <w:ilvl w:val="0"/>
          <w:numId w:val="13"/>
        </w:numPr>
        <w:rPr>
          <w:rFonts w:ascii="Arial" w:cs="Arial" w:eastAsia="Arial" w:hAnsi="Arial"/>
          <w:sz w:val="18"/>
          <w:szCs w:val="18"/>
          <w:color w:val="4B4B4B"/>
        </w:rPr>
      </w:pPr>
      <w:r>
        <w:rPr>
          <w:rFonts w:ascii="Arial" w:cs="Arial" w:eastAsia="Arial" w:hAnsi="Arial"/>
          <w:sz w:val="18"/>
          <w:szCs w:val="18"/>
          <w:color w:val="4B4B4B"/>
        </w:rPr>
        <w:t>Gillian Munson</w:t>
      </w:r>
    </w:p>
    <w:p>
      <w:pPr>
        <w:spacing w:after="0" w:line="22" w:lineRule="exact"/>
        <w:rPr>
          <w:rFonts w:ascii="Arial" w:cs="Arial" w:eastAsia="Arial" w:hAnsi="Arial"/>
          <w:sz w:val="18"/>
          <w:szCs w:val="18"/>
          <w:color w:val="4B4B4B"/>
        </w:rPr>
      </w:pPr>
    </w:p>
    <w:p>
      <w:pPr>
        <w:ind w:left="860" w:hanging="229"/>
        <w:spacing w:after="0"/>
        <w:tabs>
          <w:tab w:leader="none" w:pos="860" w:val="left"/>
        </w:tabs>
        <w:numPr>
          <w:ilvl w:val="0"/>
          <w:numId w:val="13"/>
        </w:numPr>
        <w:rPr>
          <w:rFonts w:ascii="Arial" w:cs="Arial" w:eastAsia="Arial" w:hAnsi="Arial"/>
          <w:sz w:val="18"/>
          <w:szCs w:val="18"/>
          <w:color w:val="4B4B4B"/>
        </w:rPr>
      </w:pPr>
      <w:r>
        <w:rPr>
          <w:rFonts w:ascii="Arial" w:cs="Arial" w:eastAsia="Arial" w:hAnsi="Arial"/>
          <w:sz w:val="18"/>
          <w:szCs w:val="18"/>
          <w:color w:val="4B4B4B"/>
        </w:rPr>
        <w:t>Jim Shelton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288925</wp:posOffset>
            </wp:positionV>
            <wp:extent cx="21463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right"/>
        <w:ind w:right="500"/>
        <w:spacing w:after="0"/>
        <w:rPr>
          <w:sz w:val="20"/>
          <w:szCs w:val="20"/>
          <w:color w:val="auto"/>
        </w:rPr>
      </w:pPr>
      <w:r>
        <w:rPr>
          <w:rFonts w:ascii="Arial" w:cs="Arial" w:eastAsia="Arial" w:hAnsi="Arial"/>
          <w:sz w:val="18"/>
          <w:szCs w:val="18"/>
          <w:b w:val="1"/>
          <w:bCs w:val="1"/>
          <w:color w:val="777777"/>
        </w:rPr>
        <w:t>Class III Directors:</w:t>
      </w:r>
    </w:p>
    <w:p>
      <w:pPr>
        <w:spacing w:after="0" w:line="180" w:lineRule="exact"/>
        <w:rPr>
          <w:sz w:val="20"/>
          <w:szCs w:val="20"/>
          <w:color w:val="auto"/>
        </w:rPr>
      </w:pPr>
    </w:p>
    <w:p>
      <w:pPr>
        <w:ind w:left="860" w:hanging="229"/>
        <w:spacing w:after="0"/>
        <w:tabs>
          <w:tab w:leader="none" w:pos="860" w:val="left"/>
        </w:tabs>
        <w:numPr>
          <w:ilvl w:val="0"/>
          <w:numId w:val="14"/>
        </w:numPr>
        <w:rPr>
          <w:rFonts w:ascii="Arial" w:cs="Arial" w:eastAsia="Arial" w:hAnsi="Arial"/>
          <w:sz w:val="18"/>
          <w:szCs w:val="18"/>
          <w:color w:val="4B4B4B"/>
        </w:rPr>
      </w:pPr>
      <w:r>
        <w:rPr>
          <w:rFonts w:ascii="Arial" w:cs="Arial" w:eastAsia="Arial" w:hAnsi="Arial"/>
          <w:sz w:val="18"/>
          <w:szCs w:val="18"/>
          <w:color w:val="4B4B4B"/>
        </w:rPr>
        <w:t>Luis von Ahn</w:t>
      </w:r>
    </w:p>
    <w:p>
      <w:pPr>
        <w:spacing w:after="0" w:line="22" w:lineRule="exact"/>
        <w:rPr>
          <w:rFonts w:ascii="Arial" w:cs="Arial" w:eastAsia="Arial" w:hAnsi="Arial"/>
          <w:sz w:val="18"/>
          <w:szCs w:val="18"/>
          <w:color w:val="4B4B4B"/>
        </w:rPr>
      </w:pPr>
    </w:p>
    <w:p>
      <w:pPr>
        <w:ind w:left="860" w:hanging="229"/>
        <w:spacing w:after="0"/>
        <w:tabs>
          <w:tab w:leader="none" w:pos="860" w:val="left"/>
        </w:tabs>
        <w:numPr>
          <w:ilvl w:val="0"/>
          <w:numId w:val="14"/>
        </w:numPr>
        <w:rPr>
          <w:rFonts w:ascii="Arial" w:cs="Arial" w:eastAsia="Arial" w:hAnsi="Arial"/>
          <w:sz w:val="18"/>
          <w:szCs w:val="18"/>
          <w:color w:val="4B4B4B"/>
        </w:rPr>
      </w:pPr>
      <w:r>
        <w:rPr>
          <w:rFonts w:ascii="Arial" w:cs="Arial" w:eastAsia="Arial" w:hAnsi="Arial"/>
          <w:sz w:val="18"/>
          <w:szCs w:val="18"/>
          <w:color w:val="4B4B4B"/>
        </w:rPr>
        <w:t>Sara Clemens</w:t>
      </w:r>
    </w:p>
    <w:p>
      <w:pPr>
        <w:spacing w:after="0" w:line="22" w:lineRule="exact"/>
        <w:rPr>
          <w:rFonts w:ascii="Arial" w:cs="Arial" w:eastAsia="Arial" w:hAnsi="Arial"/>
          <w:sz w:val="18"/>
          <w:szCs w:val="18"/>
          <w:color w:val="4B4B4B"/>
        </w:rPr>
      </w:pPr>
    </w:p>
    <w:p>
      <w:pPr>
        <w:ind w:left="860" w:hanging="229"/>
        <w:spacing w:after="0"/>
        <w:tabs>
          <w:tab w:leader="none" w:pos="860" w:val="left"/>
        </w:tabs>
        <w:numPr>
          <w:ilvl w:val="0"/>
          <w:numId w:val="14"/>
        </w:numPr>
        <w:rPr>
          <w:rFonts w:ascii="Arial" w:cs="Arial" w:eastAsia="Arial" w:hAnsi="Arial"/>
          <w:sz w:val="18"/>
          <w:szCs w:val="18"/>
          <w:color w:val="4B4B4B"/>
        </w:rPr>
      </w:pPr>
      <w:r>
        <w:rPr>
          <w:rFonts w:ascii="Arial" w:cs="Arial" w:eastAsia="Arial" w:hAnsi="Arial"/>
          <w:sz w:val="18"/>
          <w:szCs w:val="18"/>
          <w:color w:val="4B4B4B"/>
        </w:rPr>
        <w:t>Severin Hacker</w:t>
      </w:r>
    </w:p>
    <w:p>
      <w:pPr>
        <w:spacing w:after="0" w:line="2839" w:lineRule="exact"/>
        <w:rPr>
          <w:sz w:val="20"/>
          <w:szCs w:val="20"/>
          <w:color w:val="auto"/>
        </w:rPr>
      </w:pPr>
    </w:p>
    <w:p>
      <w:pPr>
        <w:sectPr>
          <w:pgSz w:w="11900" w:h="16838" w:orient="portrait"/>
          <w:cols w:equalWidth="0" w:num="2">
            <w:col w:w="7960" w:space="520"/>
            <w:col w:w="2720"/>
          </w:cols>
          <w:pgMar w:left="320" w:top="130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4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20" w:type="dxa"/>
            <w:vAlign w:val="bottom"/>
          </w:tcPr>
          <w:p>
            <w:pPr>
              <w:jc w:val="right"/>
              <w:spacing w:after="0"/>
              <w:rPr>
                <w:sz w:val="20"/>
                <w:szCs w:val="20"/>
                <w:color w:val="auto"/>
              </w:rPr>
            </w:pPr>
            <w:r>
              <w:rPr>
                <w:rFonts w:ascii="Arial" w:cs="Arial" w:eastAsia="Arial" w:hAnsi="Arial"/>
                <w:sz w:val="14"/>
                <w:szCs w:val="14"/>
                <w:b w:val="1"/>
                <w:bCs w:val="1"/>
                <w:color w:val="AFAFAF"/>
              </w:rPr>
              <w:t>9</w:t>
            </w:r>
          </w:p>
        </w:tc>
      </w:tr>
    </w:tbl>
    <w:p>
      <w:pPr>
        <w:sectPr>
          <w:pgSz w:w="11900" w:h="16838" w:orient="portrait"/>
          <w:cols w:equalWidth="0" w:num="1">
            <w:col w:w="11200"/>
          </w:cols>
          <w:pgMar w:left="320" w:top="1307" w:right="37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23"/>
          <w:szCs w:val="23"/>
          <w:b w:val="1"/>
          <w:bCs w:val="1"/>
          <w:color w:val="4B4B4B"/>
        </w:rPr>
        <w:t>Information About Board Nominees and Continuing Directors</w:t>
      </w:r>
    </w:p>
    <w:p>
      <w:pPr>
        <w:spacing w:after="0" w:line="325" w:lineRule="exact"/>
        <w:rPr>
          <w:sz w:val="20"/>
          <w:szCs w:val="20"/>
          <w:color w:val="auto"/>
        </w:rPr>
      </w:pPr>
    </w:p>
    <w:p>
      <w:pPr>
        <w:ind w:right="440"/>
        <w:spacing w:after="0" w:line="269" w:lineRule="auto"/>
        <w:rPr>
          <w:sz w:val="20"/>
          <w:szCs w:val="20"/>
          <w:color w:val="auto"/>
        </w:rPr>
      </w:pPr>
      <w:r>
        <w:rPr>
          <w:rFonts w:ascii="Arial" w:cs="Arial" w:eastAsia="Arial" w:hAnsi="Arial"/>
          <w:sz w:val="18"/>
          <w:szCs w:val="18"/>
          <w:color w:val="4B4B4B"/>
        </w:rPr>
        <w:t>The following pages contain certain biographical information as of April 22, 2022 for each nominee for director and each director whose term as a director will continue after the Annual Meeting, including all positions he or she holds, his or her principal occupation and business experience for the past five years, and the names of other publicly-held companies of which the director or nominee currently serves as a director or has served as a director during the past five years.</w:t>
      </w:r>
    </w:p>
    <w:p>
      <w:pPr>
        <w:spacing w:after="0" w:line="152"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4B4B4B"/>
        </w:rPr>
        <w:t>We believe that all of our directors and nominees display personal and professional integrity; satisfactory levels of education and/or business experience; broad-based business acumen; an appropriate level of understanding of our business and its industry and other industries relevant to our business; the ability and willingness to devote adequate time to the work of our Board of Directors and its committees, as applicable; skills and personality that complement those of our other directors that helps build a board that is effective, collegial and responsive to the needs of our Company; strategic thinking and a willingness to share ideas; a diversity of experiences, expertise and background; and the ability to represent the interests of all of our stockholders. The information presented below regarding each nominee and continuing director also sets forth specific experience, qualifications, attributes and skills that led our Board of Directors to the conclusion that such individual should serve as a director in light of our business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888365</wp:posOffset>
            </wp:positionV>
            <wp:extent cx="71062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10</w:t>
            </w:r>
          </w:p>
        </w:tc>
      </w:tr>
    </w:tbl>
    <w:p>
      <w:pPr>
        <w:sectPr>
          <w:pgSz w:w="11900" w:h="16838" w:orient="portrait"/>
          <w:cols w:equalWidth="0" w:num="1">
            <w:col w:w="11180"/>
          </w:cols>
          <w:pgMar w:left="340" w:top="1385" w:right="379" w:bottom="1440" w:gutter="0" w:footer="0" w:header="0"/>
        </w:sectPr>
      </w:pPr>
    </w:p>
    <w:bookmarkStart w:id="15" w:name="page16"/>
    <w:bookmarkEnd w:id="15"/>
    <w:p>
      <w:pPr>
        <w:spacing w:after="0"/>
        <w:rPr>
          <w:sz w:val="20"/>
          <w:szCs w:val="20"/>
          <w:color w:val="auto"/>
        </w:rPr>
      </w:pPr>
      <w:r>
        <w:rPr>
          <w:rFonts w:ascii="Arial" w:cs="Arial" w:eastAsia="Arial" w:hAnsi="Arial"/>
          <w:sz w:val="36"/>
          <w:szCs w:val="36"/>
          <w:b w:val="1"/>
          <w:bCs w:val="1"/>
          <w:color w:val="4B4B4B"/>
        </w:rPr>
        <w:t>Nominees</w:t>
      </w:r>
    </w:p>
    <w:p>
      <w:pPr>
        <w:spacing w:after="0" w:line="326"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Nominees for Election to Three-Year Terms Expiring No Later than the 2025 Annual Meeting</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140" w:type="dxa"/>
            <w:vAlign w:val="bottom"/>
            <w:tcBorders>
              <w:bottom w:val="single" w:sz="8" w:color="F7F7F7"/>
            </w:tcBorders>
            <w:shd w:val="clear" w:color="auto" w:fill="F7F7F7"/>
          </w:tcPr>
          <w:p>
            <w:pPr>
              <w:spacing w:after="0"/>
              <w:rPr>
                <w:sz w:val="20"/>
                <w:szCs w:val="20"/>
                <w:color w:val="auto"/>
              </w:rPr>
            </w:pPr>
          </w:p>
        </w:tc>
        <w:tc>
          <w:tcPr>
            <w:tcW w:w="2420" w:type="dxa"/>
            <w:vAlign w:val="bottom"/>
            <w:tcBorders>
              <w:bottom w:val="single" w:sz="8" w:color="F7F7F7"/>
            </w:tcBorders>
            <w:shd w:val="clear" w:color="auto" w:fill="F7F7F7"/>
          </w:tcPr>
          <w:p>
            <w:pPr>
              <w:ind w:left="20"/>
              <w:spacing w:after="0"/>
              <w:rPr>
                <w:sz w:val="20"/>
                <w:szCs w:val="20"/>
                <w:color w:val="auto"/>
              </w:rPr>
            </w:pPr>
            <w:r>
              <w:rPr>
                <w:rFonts w:ascii="Arial" w:cs="Arial" w:eastAsia="Arial" w:hAnsi="Arial"/>
                <w:sz w:val="16"/>
                <w:szCs w:val="16"/>
                <w:b w:val="1"/>
                <w:bCs w:val="1"/>
                <w:color w:val="4B4B4B"/>
              </w:rPr>
              <w:t>Class I Directors</w:t>
            </w:r>
          </w:p>
        </w:tc>
        <w:tc>
          <w:tcPr>
            <w:tcW w:w="244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6"/>
                <w:szCs w:val="16"/>
                <w:b w:val="1"/>
                <w:bCs w:val="1"/>
                <w:color w:val="4B4B4B"/>
                <w:w w:val="99"/>
              </w:rPr>
              <w:t>Age</w:t>
            </w:r>
          </w:p>
        </w:tc>
        <w:tc>
          <w:tcPr>
            <w:tcW w:w="2780" w:type="dxa"/>
            <w:vAlign w:val="bottom"/>
            <w:tcBorders>
              <w:bottom w:val="single" w:sz="8" w:color="F7F7F7"/>
            </w:tcBorders>
            <w:shd w:val="clear" w:color="auto" w:fill="F7F7F7"/>
          </w:tcPr>
          <w:p>
            <w:pPr>
              <w:jc w:val="center"/>
              <w:ind w:left="319"/>
              <w:spacing w:after="0"/>
              <w:rPr>
                <w:sz w:val="20"/>
                <w:szCs w:val="20"/>
                <w:color w:val="auto"/>
              </w:rPr>
            </w:pPr>
            <w:r>
              <w:rPr>
                <w:rFonts w:ascii="Arial" w:cs="Arial" w:eastAsia="Arial" w:hAnsi="Arial"/>
                <w:sz w:val="16"/>
                <w:szCs w:val="16"/>
                <w:b w:val="1"/>
                <w:bCs w:val="1"/>
                <w:color w:val="4B4B4B"/>
              </w:rPr>
              <w:t>Director Since</w:t>
            </w:r>
          </w:p>
        </w:tc>
        <w:tc>
          <w:tcPr>
            <w:tcW w:w="3440" w:type="dxa"/>
            <w:vAlign w:val="bottom"/>
            <w:tcBorders>
              <w:bottom w:val="single" w:sz="8" w:color="F7F7F7"/>
            </w:tcBorders>
            <w:shd w:val="clear" w:color="auto" w:fill="F7F7F7"/>
          </w:tcPr>
          <w:p>
            <w:pPr>
              <w:ind w:left="640"/>
              <w:spacing w:after="0"/>
              <w:rPr>
                <w:sz w:val="20"/>
                <w:szCs w:val="20"/>
                <w:color w:val="auto"/>
              </w:rPr>
            </w:pPr>
            <w:r>
              <w:rPr>
                <w:rFonts w:ascii="Arial" w:cs="Arial" w:eastAsia="Arial" w:hAnsi="Arial"/>
                <w:sz w:val="16"/>
                <w:szCs w:val="16"/>
                <w:b w:val="1"/>
                <w:bCs w:val="1"/>
                <w:color w:val="4B4B4B"/>
              </w:rPr>
              <w:t>Current Position at Duolingo</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2420" w:type="dxa"/>
            <w:vAlign w:val="bottom"/>
          </w:tcPr>
          <w:p>
            <w:pPr>
              <w:ind w:left="20"/>
              <w:spacing w:after="0"/>
              <w:rPr>
                <w:sz w:val="20"/>
                <w:szCs w:val="20"/>
                <w:color w:val="auto"/>
              </w:rPr>
            </w:pPr>
            <w:r>
              <w:rPr>
                <w:rFonts w:ascii="Arial" w:cs="Arial" w:eastAsia="Arial" w:hAnsi="Arial"/>
                <w:sz w:val="16"/>
                <w:szCs w:val="16"/>
                <w:color w:val="4B4B4B"/>
              </w:rPr>
              <w:t>Bing Gordon</w:t>
            </w:r>
          </w:p>
        </w:tc>
        <w:tc>
          <w:tcPr>
            <w:tcW w:w="2440" w:type="dxa"/>
            <w:vAlign w:val="bottom"/>
          </w:tcPr>
          <w:p>
            <w:pPr>
              <w:jc w:val="center"/>
              <w:spacing w:after="0"/>
              <w:rPr>
                <w:sz w:val="20"/>
                <w:szCs w:val="20"/>
                <w:color w:val="auto"/>
              </w:rPr>
            </w:pPr>
            <w:r>
              <w:rPr>
                <w:rFonts w:ascii="Arial" w:cs="Arial" w:eastAsia="Arial" w:hAnsi="Arial"/>
                <w:sz w:val="16"/>
                <w:szCs w:val="16"/>
                <w:color w:val="4B4B4B"/>
              </w:rPr>
              <w:t>72</w:t>
            </w:r>
          </w:p>
        </w:tc>
        <w:tc>
          <w:tcPr>
            <w:tcW w:w="2780" w:type="dxa"/>
            <w:vAlign w:val="bottom"/>
          </w:tcPr>
          <w:p>
            <w:pPr>
              <w:jc w:val="center"/>
              <w:ind w:left="299"/>
              <w:spacing w:after="0"/>
              <w:rPr>
                <w:sz w:val="20"/>
                <w:szCs w:val="20"/>
                <w:color w:val="auto"/>
              </w:rPr>
            </w:pPr>
            <w:r>
              <w:rPr>
                <w:rFonts w:ascii="Arial" w:cs="Arial" w:eastAsia="Arial" w:hAnsi="Arial"/>
                <w:sz w:val="16"/>
                <w:szCs w:val="16"/>
                <w:color w:val="4B4B4B"/>
              </w:rPr>
              <w:t>2020</w:t>
            </w:r>
          </w:p>
        </w:tc>
        <w:tc>
          <w:tcPr>
            <w:tcW w:w="3440" w:type="dxa"/>
            <w:vAlign w:val="bottom"/>
          </w:tcPr>
          <w:p>
            <w:pPr>
              <w:ind w:left="640"/>
              <w:spacing w:after="0"/>
              <w:rPr>
                <w:sz w:val="20"/>
                <w:szCs w:val="20"/>
                <w:color w:val="auto"/>
              </w:rPr>
            </w:pPr>
            <w:r>
              <w:rPr>
                <w:rFonts w:ascii="Arial" w:cs="Arial" w:eastAsia="Arial" w:hAnsi="Arial"/>
                <w:sz w:val="16"/>
                <w:szCs w:val="16"/>
                <w:color w:val="4B4B4B"/>
              </w:rPr>
              <w:t>Director</w:t>
            </w:r>
          </w:p>
        </w:tc>
        <w:tc>
          <w:tcPr>
            <w:tcW w:w="0" w:type="dxa"/>
            <w:vAlign w:val="bottom"/>
          </w:tcPr>
          <w:p>
            <w:pPr>
              <w:spacing w:after="0"/>
              <w:rPr>
                <w:sz w:val="1"/>
                <w:szCs w:val="1"/>
                <w:color w:val="auto"/>
              </w:rPr>
            </w:pPr>
          </w:p>
        </w:tc>
      </w:tr>
      <w:tr>
        <w:trPr>
          <w:trHeight w:val="37"/>
        </w:trPr>
        <w:tc>
          <w:tcPr>
            <w:tcW w:w="140" w:type="dxa"/>
            <w:vAlign w:val="bottom"/>
            <w:tcBorders>
              <w:bottom w:val="single" w:sz="8" w:color="E5E5E5"/>
            </w:tcBorders>
          </w:tcPr>
          <w:p>
            <w:pPr>
              <w:spacing w:after="0"/>
              <w:rPr>
                <w:sz w:val="3"/>
                <w:szCs w:val="3"/>
                <w:color w:val="auto"/>
              </w:rPr>
            </w:pPr>
          </w:p>
        </w:tc>
        <w:tc>
          <w:tcPr>
            <w:tcW w:w="2420" w:type="dxa"/>
            <w:vAlign w:val="bottom"/>
            <w:vMerge w:val="restart"/>
          </w:tcPr>
          <w:p>
            <w:pPr>
              <w:ind w:left="20"/>
              <w:spacing w:after="0"/>
              <w:rPr>
                <w:sz w:val="20"/>
                <w:szCs w:val="20"/>
                <w:color w:val="auto"/>
              </w:rPr>
            </w:pPr>
            <w:r>
              <w:rPr>
                <w:rFonts w:ascii="Arial" w:cs="Arial" w:eastAsia="Arial" w:hAnsi="Arial"/>
                <w:sz w:val="16"/>
                <w:szCs w:val="16"/>
                <w:color w:val="4B4B4B"/>
              </w:rPr>
              <w:t>John Lilly</w:t>
            </w:r>
          </w:p>
        </w:tc>
        <w:tc>
          <w:tcPr>
            <w:tcW w:w="2440" w:type="dxa"/>
            <w:vAlign w:val="bottom"/>
            <w:vMerge w:val="restart"/>
          </w:tcPr>
          <w:p>
            <w:pPr>
              <w:jc w:val="center"/>
              <w:spacing w:after="0"/>
              <w:rPr>
                <w:sz w:val="20"/>
                <w:szCs w:val="20"/>
                <w:color w:val="auto"/>
              </w:rPr>
            </w:pPr>
            <w:r>
              <w:rPr>
                <w:rFonts w:ascii="Arial" w:cs="Arial" w:eastAsia="Arial" w:hAnsi="Arial"/>
                <w:sz w:val="16"/>
                <w:szCs w:val="16"/>
                <w:color w:val="4B4B4B"/>
              </w:rPr>
              <w:t>51</w:t>
            </w:r>
          </w:p>
        </w:tc>
        <w:tc>
          <w:tcPr>
            <w:tcW w:w="2780" w:type="dxa"/>
            <w:vAlign w:val="bottom"/>
            <w:vMerge w:val="restart"/>
          </w:tcPr>
          <w:p>
            <w:pPr>
              <w:jc w:val="center"/>
              <w:ind w:left="299"/>
              <w:spacing w:after="0"/>
              <w:rPr>
                <w:sz w:val="20"/>
                <w:szCs w:val="20"/>
                <w:color w:val="auto"/>
              </w:rPr>
            </w:pPr>
            <w:r>
              <w:rPr>
                <w:rFonts w:ascii="Arial" w:cs="Arial" w:eastAsia="Arial" w:hAnsi="Arial"/>
                <w:sz w:val="16"/>
                <w:szCs w:val="16"/>
                <w:color w:val="4B4B4B"/>
              </w:rPr>
              <w:t>2021</w:t>
            </w:r>
          </w:p>
        </w:tc>
        <w:tc>
          <w:tcPr>
            <w:tcW w:w="3440" w:type="dxa"/>
            <w:vAlign w:val="bottom"/>
            <w:vMerge w:val="restart"/>
          </w:tcPr>
          <w:p>
            <w:pPr>
              <w:ind w:left="640"/>
              <w:spacing w:after="0"/>
              <w:rPr>
                <w:sz w:val="20"/>
                <w:szCs w:val="20"/>
                <w:color w:val="auto"/>
              </w:rPr>
            </w:pPr>
            <w:r>
              <w:rPr>
                <w:rFonts w:ascii="Arial" w:cs="Arial" w:eastAsia="Arial" w:hAnsi="Arial"/>
                <w:sz w:val="16"/>
                <w:szCs w:val="16"/>
                <w:color w:val="4B4B4B"/>
              </w:rPr>
              <w:t>Director</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2420" w:type="dxa"/>
            <w:vAlign w:val="bottom"/>
            <w:vMerge w:val="continue"/>
          </w:tcPr>
          <w:p>
            <w:pPr>
              <w:spacing w:after="0"/>
              <w:rPr>
                <w:sz w:val="19"/>
                <w:szCs w:val="19"/>
                <w:color w:val="auto"/>
              </w:rPr>
            </w:pPr>
          </w:p>
        </w:tc>
        <w:tc>
          <w:tcPr>
            <w:tcW w:w="2440" w:type="dxa"/>
            <w:vAlign w:val="bottom"/>
            <w:vMerge w:val="continue"/>
          </w:tcPr>
          <w:p>
            <w:pPr>
              <w:spacing w:after="0"/>
              <w:rPr>
                <w:sz w:val="19"/>
                <w:szCs w:val="19"/>
                <w:color w:val="auto"/>
              </w:rPr>
            </w:pPr>
          </w:p>
        </w:tc>
        <w:tc>
          <w:tcPr>
            <w:tcW w:w="2780" w:type="dxa"/>
            <w:vAlign w:val="bottom"/>
            <w:vMerge w:val="continue"/>
          </w:tcPr>
          <w:p>
            <w:pPr>
              <w:spacing w:after="0"/>
              <w:rPr>
                <w:sz w:val="19"/>
                <w:szCs w:val="19"/>
                <w:color w:val="auto"/>
              </w:rPr>
            </w:pPr>
          </w:p>
        </w:tc>
        <w:tc>
          <w:tcPr>
            <w:tcW w:w="3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40" w:type="dxa"/>
            <w:vAlign w:val="bottom"/>
            <w:tcBorders>
              <w:bottom w:val="single" w:sz="8" w:color="E5E5E5"/>
            </w:tcBorders>
          </w:tcPr>
          <w:p>
            <w:pPr>
              <w:spacing w:after="0"/>
              <w:rPr>
                <w:sz w:val="3"/>
                <w:szCs w:val="3"/>
                <w:color w:val="auto"/>
              </w:rPr>
            </w:pPr>
          </w:p>
        </w:tc>
        <w:tc>
          <w:tcPr>
            <w:tcW w:w="2420" w:type="dxa"/>
            <w:vAlign w:val="bottom"/>
            <w:vMerge w:val="restart"/>
          </w:tcPr>
          <w:p>
            <w:pPr>
              <w:ind w:left="20"/>
              <w:spacing w:after="0"/>
              <w:rPr>
                <w:sz w:val="20"/>
                <w:szCs w:val="20"/>
                <w:color w:val="auto"/>
              </w:rPr>
            </w:pPr>
            <w:r>
              <w:rPr>
                <w:rFonts w:ascii="Arial" w:cs="Arial" w:eastAsia="Arial" w:hAnsi="Arial"/>
                <w:sz w:val="16"/>
                <w:szCs w:val="16"/>
                <w:color w:val="4B4B4B"/>
              </w:rPr>
              <w:t>Laela Sturdy</w:t>
            </w:r>
          </w:p>
        </w:tc>
        <w:tc>
          <w:tcPr>
            <w:tcW w:w="2440" w:type="dxa"/>
            <w:vAlign w:val="bottom"/>
            <w:vMerge w:val="restart"/>
          </w:tcPr>
          <w:p>
            <w:pPr>
              <w:jc w:val="center"/>
              <w:spacing w:after="0"/>
              <w:rPr>
                <w:sz w:val="20"/>
                <w:szCs w:val="20"/>
                <w:color w:val="auto"/>
              </w:rPr>
            </w:pPr>
            <w:r>
              <w:rPr>
                <w:rFonts w:ascii="Arial" w:cs="Arial" w:eastAsia="Arial" w:hAnsi="Arial"/>
                <w:sz w:val="16"/>
                <w:szCs w:val="16"/>
                <w:color w:val="4B4B4B"/>
              </w:rPr>
              <w:t>44</w:t>
            </w:r>
          </w:p>
        </w:tc>
        <w:tc>
          <w:tcPr>
            <w:tcW w:w="2780" w:type="dxa"/>
            <w:vAlign w:val="bottom"/>
            <w:vMerge w:val="restart"/>
          </w:tcPr>
          <w:p>
            <w:pPr>
              <w:jc w:val="center"/>
              <w:ind w:left="299"/>
              <w:spacing w:after="0"/>
              <w:rPr>
                <w:sz w:val="20"/>
                <w:szCs w:val="20"/>
                <w:color w:val="auto"/>
              </w:rPr>
            </w:pPr>
            <w:r>
              <w:rPr>
                <w:rFonts w:ascii="Arial" w:cs="Arial" w:eastAsia="Arial" w:hAnsi="Arial"/>
                <w:sz w:val="16"/>
                <w:szCs w:val="16"/>
                <w:color w:val="4B4B4B"/>
              </w:rPr>
              <w:t>2020</w:t>
            </w:r>
          </w:p>
        </w:tc>
        <w:tc>
          <w:tcPr>
            <w:tcW w:w="3440" w:type="dxa"/>
            <w:vAlign w:val="bottom"/>
            <w:vMerge w:val="restart"/>
          </w:tcPr>
          <w:p>
            <w:pPr>
              <w:ind w:left="640"/>
              <w:spacing w:after="0"/>
              <w:rPr>
                <w:sz w:val="20"/>
                <w:szCs w:val="20"/>
                <w:color w:val="auto"/>
              </w:rPr>
            </w:pPr>
            <w:r>
              <w:rPr>
                <w:rFonts w:ascii="Arial" w:cs="Arial" w:eastAsia="Arial" w:hAnsi="Arial"/>
                <w:sz w:val="16"/>
                <w:szCs w:val="16"/>
                <w:color w:val="4B4B4B"/>
              </w:rPr>
              <w:t>Director</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2420" w:type="dxa"/>
            <w:vAlign w:val="bottom"/>
            <w:vMerge w:val="continue"/>
          </w:tcPr>
          <w:p>
            <w:pPr>
              <w:spacing w:after="0"/>
              <w:rPr>
                <w:sz w:val="19"/>
                <w:szCs w:val="19"/>
                <w:color w:val="auto"/>
              </w:rPr>
            </w:pPr>
          </w:p>
        </w:tc>
        <w:tc>
          <w:tcPr>
            <w:tcW w:w="2440" w:type="dxa"/>
            <w:vAlign w:val="bottom"/>
            <w:vMerge w:val="continue"/>
          </w:tcPr>
          <w:p>
            <w:pPr>
              <w:spacing w:after="0"/>
              <w:rPr>
                <w:sz w:val="19"/>
                <w:szCs w:val="19"/>
                <w:color w:val="auto"/>
              </w:rPr>
            </w:pPr>
          </w:p>
        </w:tc>
        <w:tc>
          <w:tcPr>
            <w:tcW w:w="2780" w:type="dxa"/>
            <w:vAlign w:val="bottom"/>
            <w:vMerge w:val="continue"/>
          </w:tcPr>
          <w:p>
            <w:pPr>
              <w:spacing w:after="0"/>
              <w:rPr>
                <w:sz w:val="19"/>
                <w:szCs w:val="19"/>
                <w:color w:val="auto"/>
              </w:rPr>
            </w:pPr>
          </w:p>
        </w:tc>
        <w:tc>
          <w:tcPr>
            <w:tcW w:w="3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40" w:type="dxa"/>
            <w:vAlign w:val="bottom"/>
            <w:tcBorders>
              <w:bottom w:val="single" w:sz="8" w:color="E5E5E5"/>
            </w:tcBorders>
          </w:tcPr>
          <w:p>
            <w:pPr>
              <w:spacing w:after="0"/>
              <w:rPr>
                <w:sz w:val="3"/>
                <w:szCs w:val="3"/>
                <w:color w:val="auto"/>
              </w:rPr>
            </w:pPr>
          </w:p>
        </w:tc>
        <w:tc>
          <w:tcPr>
            <w:tcW w:w="24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34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-26670</wp:posOffset>
            </wp:positionV>
            <wp:extent cx="705485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-207010</wp:posOffset>
            </wp:positionV>
            <wp:extent cx="705485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-387350</wp:posOffset>
            </wp:positionV>
            <wp:extent cx="705485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5485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880" w:right="40"/>
        <w:spacing w:after="0" w:line="272" w:lineRule="auto"/>
        <w:rPr>
          <w:sz w:val="20"/>
          <w:szCs w:val="20"/>
          <w:color w:val="auto"/>
        </w:rPr>
      </w:pPr>
      <w:r>
        <w:rPr>
          <w:rFonts w:ascii="Arial" w:cs="Arial" w:eastAsia="Arial" w:hAnsi="Arial"/>
          <w:sz w:val="18"/>
          <w:szCs w:val="18"/>
          <w:b w:val="1"/>
          <w:bCs w:val="1"/>
          <w:color w:val="4B4B4B"/>
        </w:rPr>
        <w:t xml:space="preserve">Bing Gordon </w:t>
      </w:r>
      <w:r>
        <w:rPr>
          <w:rFonts w:ascii="Arial" w:cs="Arial" w:eastAsia="Arial" w:hAnsi="Arial"/>
          <w:sz w:val="18"/>
          <w:szCs w:val="18"/>
          <w:color w:val="4B4B4B"/>
        </w:rPr>
        <w:t>has served as a member of our Board of Directors since February 2020. Since June 2008,</w:t>
      </w:r>
      <w:r>
        <w:rPr>
          <w:rFonts w:ascii="Arial" w:cs="Arial" w:eastAsia="Arial" w:hAnsi="Arial"/>
          <w:sz w:val="18"/>
          <w:szCs w:val="18"/>
          <w:b w:val="1"/>
          <w:bCs w:val="1"/>
          <w:color w:val="4B4B4B"/>
        </w:rPr>
        <w:t xml:space="preserve"> </w:t>
      </w:r>
      <w:r>
        <w:rPr>
          <w:rFonts w:ascii="Arial" w:cs="Arial" w:eastAsia="Arial" w:hAnsi="Arial"/>
          <w:sz w:val="18"/>
          <w:szCs w:val="18"/>
          <w:color w:val="4B4B4B"/>
        </w:rPr>
        <w:t>Mr. Gordon has served as a partner at Kleiner Perkins Caufield &amp; Byers, a venture capital firm. From 1998 to 2009, he served as the Executive Vice President and Chief Creative Officer of Electronic Arts, a gaming company he co-founded. Mr. Gordon has served on the board of directors of Zynga Inc., a publicly-traded video game developer, since July 2008. Mr. Gordon is a special advisor to the board of directors of Amazon, and was previously a member of its board from 2003 to 2018. Mr. Gordon holds a B.A. in English from Yale and an M.B.A. from the Stanford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-864870</wp:posOffset>
            </wp:positionV>
            <wp:extent cx="1328420" cy="1329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r>
    </w:p>
    <w:p>
      <w:pPr>
        <w:spacing w:after="0" w:line="182" w:lineRule="exact"/>
        <w:rPr>
          <w:sz w:val="20"/>
          <w:szCs w:val="20"/>
          <w:color w:val="auto"/>
        </w:rPr>
      </w:pPr>
    </w:p>
    <w:p>
      <w:pPr>
        <w:ind w:left="2880" w:right="380"/>
        <w:spacing w:after="0" w:line="271" w:lineRule="auto"/>
        <w:rPr>
          <w:sz w:val="20"/>
          <w:szCs w:val="20"/>
          <w:color w:val="auto"/>
        </w:rPr>
      </w:pPr>
      <w:r>
        <w:rPr>
          <w:rFonts w:ascii="Arial" w:cs="Arial" w:eastAsia="Arial" w:hAnsi="Arial"/>
          <w:sz w:val="18"/>
          <w:szCs w:val="18"/>
          <w:color w:val="4B4B4B"/>
        </w:rPr>
        <w:t>We believe Mr. Gordon is qualified to serve as a member of our Board of Directors due to his investment, strategic and operational expertise and his experience in senior leadership roles at other technology companies.</w:t>
      </w:r>
    </w:p>
    <w:p>
      <w:pPr>
        <w:spacing w:after="0" w:line="200" w:lineRule="exact"/>
        <w:rPr>
          <w:sz w:val="20"/>
          <w:szCs w:val="20"/>
          <w:color w:val="auto"/>
        </w:rPr>
      </w:pPr>
    </w:p>
    <w:p>
      <w:pPr>
        <w:spacing w:after="0" w:line="359" w:lineRule="exact"/>
        <w:rPr>
          <w:sz w:val="20"/>
          <w:szCs w:val="20"/>
          <w:color w:val="auto"/>
        </w:rPr>
      </w:pPr>
    </w:p>
    <w:p>
      <w:pPr>
        <w:ind w:left="2880" w:right="60"/>
        <w:spacing w:after="0" w:line="270" w:lineRule="auto"/>
        <w:rPr>
          <w:sz w:val="20"/>
          <w:szCs w:val="20"/>
          <w:color w:val="auto"/>
        </w:rPr>
      </w:pPr>
      <w:r>
        <w:rPr>
          <w:rFonts w:ascii="Arial" w:cs="Arial" w:eastAsia="Arial" w:hAnsi="Arial"/>
          <w:sz w:val="18"/>
          <w:szCs w:val="18"/>
          <w:b w:val="1"/>
          <w:bCs w:val="1"/>
          <w:color w:val="4B4B4B"/>
        </w:rPr>
        <w:t xml:space="preserve">John Lilly </w:t>
      </w:r>
      <w:r>
        <w:rPr>
          <w:rFonts w:ascii="Arial" w:cs="Arial" w:eastAsia="Arial" w:hAnsi="Arial"/>
          <w:sz w:val="18"/>
          <w:szCs w:val="18"/>
          <w:color w:val="4B4B4B"/>
        </w:rPr>
        <w:t>has served on our Board of Directors since December 2021. Mr. Lilly is a venture partner at</w:t>
      </w:r>
      <w:r>
        <w:rPr>
          <w:rFonts w:ascii="Arial" w:cs="Arial" w:eastAsia="Arial" w:hAnsi="Arial"/>
          <w:sz w:val="18"/>
          <w:szCs w:val="18"/>
          <w:b w:val="1"/>
          <w:bCs w:val="1"/>
          <w:color w:val="4B4B4B"/>
        </w:rPr>
        <w:t xml:space="preserve"> </w:t>
      </w:r>
      <w:r>
        <w:rPr>
          <w:rFonts w:ascii="Arial" w:cs="Arial" w:eastAsia="Arial" w:hAnsi="Arial"/>
          <w:sz w:val="18"/>
          <w:szCs w:val="18"/>
          <w:color w:val="4B4B4B"/>
        </w:rPr>
        <w:t>Greylock Partners, a venture capital firm, where he has served since January 2011. Prior to this, Mr. Lilly was with Mozilla Corporation, the organization behind Firefox, the open source Web browser, joining in 2005 as Vice President of Business Development, from 2006 to 2008 as Chief Operating Officer and member of its Board of Directors and, from 2008 to 2010 as Chief Executive Officer. Mr. Lilly was the founder, Chief Executive Officer, Chief Technology Officer and Vice President of products for Reactivity, a software company acquired by Cisco Systems in 2007. Previously, he held staff positions at Apple, Sun Microsystems and Trilogy Software. Lilly has been an active participant in open source projects, serving on the boards of the Open Source Applications Foundation and Participatory Culture Foundation. Mr. Lilly earned a B.Sc. and M.Sc. in computer science from Stanford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-1103630</wp:posOffset>
            </wp:positionV>
            <wp:extent cx="1328420" cy="13290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r>
    </w:p>
    <w:p>
      <w:pPr>
        <w:spacing w:after="0" w:line="184" w:lineRule="exact"/>
        <w:rPr>
          <w:sz w:val="20"/>
          <w:szCs w:val="20"/>
          <w:color w:val="auto"/>
        </w:rPr>
      </w:pPr>
    </w:p>
    <w:p>
      <w:pPr>
        <w:ind w:left="2880" w:right="320"/>
        <w:spacing w:after="0" w:line="271" w:lineRule="auto"/>
        <w:rPr>
          <w:sz w:val="20"/>
          <w:szCs w:val="20"/>
          <w:color w:val="auto"/>
        </w:rPr>
      </w:pPr>
      <w:r>
        <w:rPr>
          <w:rFonts w:ascii="Arial" w:cs="Arial" w:eastAsia="Arial" w:hAnsi="Arial"/>
          <w:sz w:val="18"/>
          <w:szCs w:val="18"/>
          <w:color w:val="4B4B4B"/>
        </w:rPr>
        <w:t>We believe Mr. Lilly is qualified to serve as a member of our Board of Directors due to his expertise in product, technology, his having served in senior executive roles and his investment experience at various 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918210</wp:posOffset>
            </wp:positionV>
            <wp:extent cx="71062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11</w:t>
            </w:r>
          </w:p>
        </w:tc>
      </w:tr>
    </w:tbl>
    <w:p>
      <w:pPr>
        <w:sectPr>
          <w:pgSz w:w="11900" w:h="16838" w:orient="portrait"/>
          <w:cols w:equalWidth="0" w:num="1">
            <w:col w:w="11240"/>
          </w:cols>
          <w:pgMar w:left="320" w:top="1307" w:right="339" w:bottom="1440" w:gutter="0" w:footer="0" w:header="0"/>
        </w:sectPr>
      </w:pPr>
    </w:p>
    <w:bookmarkStart w:id="16" w:name="page17"/>
    <w:bookmarkEnd w:id="16"/>
    <w:p>
      <w:pPr>
        <w:ind w:left="2880" w:right="300"/>
        <w:spacing w:after="0" w:line="271" w:lineRule="auto"/>
        <w:rPr>
          <w:sz w:val="20"/>
          <w:szCs w:val="20"/>
          <w:color w:val="auto"/>
        </w:rPr>
      </w:pPr>
      <w:r>
        <w:rPr>
          <w:rFonts w:ascii="Arial" w:cs="Arial" w:eastAsia="Arial" w:hAnsi="Arial"/>
          <w:sz w:val="18"/>
          <w:szCs w:val="18"/>
          <w:b w:val="1"/>
          <w:bCs w:val="1"/>
          <w:color w:val="4B4B4B"/>
        </w:rPr>
        <w:t xml:space="preserve">Laela Sturdy </w:t>
      </w:r>
      <w:r>
        <w:rPr>
          <w:rFonts w:ascii="Arial" w:cs="Arial" w:eastAsia="Arial" w:hAnsi="Arial"/>
          <w:sz w:val="18"/>
          <w:szCs w:val="18"/>
          <w:color w:val="4B4B4B"/>
        </w:rPr>
        <w:t>has served as a member of our Board of Directors since March 2020. Ms. Sturdy has</w:t>
      </w:r>
      <w:r>
        <w:rPr>
          <w:rFonts w:ascii="Arial" w:cs="Arial" w:eastAsia="Arial" w:hAnsi="Arial"/>
          <w:sz w:val="18"/>
          <w:szCs w:val="18"/>
          <w:b w:val="1"/>
          <w:bCs w:val="1"/>
          <w:color w:val="4B4B4B"/>
        </w:rPr>
        <w:t xml:space="preserve"> </w:t>
      </w:r>
      <w:r>
        <w:rPr>
          <w:rFonts w:ascii="Arial" w:cs="Arial" w:eastAsia="Arial" w:hAnsi="Arial"/>
          <w:sz w:val="18"/>
          <w:szCs w:val="18"/>
          <w:color w:val="4B4B4B"/>
        </w:rPr>
        <w:t>served as a General Partner at CapitalG, the growth investment fund financed by Alphabet Inc., since October 2013. Previously, Ms. Sturdy held several roles at Google, including Managing Director, Emerging Businesses. Since March 2021, Ms. Sturdy has served on the board of directors of UiPath, Inc., a publicly-traded process automation software company, and previously served on the board of directors of Care.com from July 2016 to May 2019. Ms. Sturdy holds an A.B. in Biochemistry from Harvard College, an M.Sc. in Multimedia Systems from Trinity College Dublin and an M.B.A. from the Stanford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-1043305</wp:posOffset>
            </wp:positionV>
            <wp:extent cx="1328420" cy="13290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r>
    </w:p>
    <w:p>
      <w:pPr>
        <w:spacing w:after="0" w:line="130" w:lineRule="exact"/>
        <w:rPr>
          <w:sz w:val="20"/>
          <w:szCs w:val="20"/>
          <w:color w:val="auto"/>
        </w:rPr>
      </w:pPr>
    </w:p>
    <w:p>
      <w:pPr>
        <w:ind w:left="2880" w:right="80"/>
        <w:spacing w:after="0" w:line="277" w:lineRule="auto"/>
        <w:rPr>
          <w:sz w:val="20"/>
          <w:szCs w:val="20"/>
          <w:color w:val="auto"/>
        </w:rPr>
      </w:pPr>
      <w:r>
        <w:rPr>
          <w:rFonts w:ascii="Arial" w:cs="Arial" w:eastAsia="Arial" w:hAnsi="Arial"/>
          <w:sz w:val="18"/>
          <w:szCs w:val="18"/>
          <w:color w:val="4B4B4B"/>
        </w:rPr>
        <w:t>We believe Ms. Sturdy is qualified to serve as a member of our Board of Directors due to her experience in investing in, and facilitating the growth of, technology companies.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Class II Directors Whose Terms Expire at the 2023 Annual Meeting of Stockholders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140" w:type="dxa"/>
            <w:vAlign w:val="bottom"/>
            <w:tcBorders>
              <w:bottom w:val="single" w:sz="8" w:color="F7F7F7"/>
            </w:tcBorders>
            <w:shd w:val="clear" w:color="auto" w:fill="F7F7F7"/>
          </w:tcPr>
          <w:p>
            <w:pPr>
              <w:spacing w:after="0"/>
              <w:rPr>
                <w:sz w:val="20"/>
                <w:szCs w:val="20"/>
                <w:color w:val="auto"/>
              </w:rPr>
            </w:pPr>
          </w:p>
        </w:tc>
        <w:tc>
          <w:tcPr>
            <w:tcW w:w="2440" w:type="dxa"/>
            <w:vAlign w:val="bottom"/>
            <w:tcBorders>
              <w:bottom w:val="single" w:sz="8" w:color="F7F7F7"/>
            </w:tcBorders>
            <w:shd w:val="clear" w:color="auto" w:fill="F7F7F7"/>
          </w:tcPr>
          <w:p>
            <w:pPr>
              <w:ind w:left="20"/>
              <w:spacing w:after="0"/>
              <w:rPr>
                <w:sz w:val="20"/>
                <w:szCs w:val="20"/>
                <w:color w:val="auto"/>
              </w:rPr>
            </w:pPr>
            <w:r>
              <w:rPr>
                <w:rFonts w:ascii="Arial" w:cs="Arial" w:eastAsia="Arial" w:hAnsi="Arial"/>
                <w:sz w:val="16"/>
                <w:szCs w:val="16"/>
                <w:b w:val="1"/>
                <w:bCs w:val="1"/>
                <w:color w:val="4B4B4B"/>
              </w:rPr>
              <w:t>Class II Directors</w:t>
            </w:r>
          </w:p>
        </w:tc>
        <w:tc>
          <w:tcPr>
            <w:tcW w:w="242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6"/>
                <w:szCs w:val="16"/>
                <w:b w:val="1"/>
                <w:bCs w:val="1"/>
                <w:color w:val="4B4B4B"/>
                <w:w w:val="99"/>
              </w:rPr>
              <w:t>Age</w:t>
            </w:r>
          </w:p>
        </w:tc>
        <w:tc>
          <w:tcPr>
            <w:tcW w:w="2780" w:type="dxa"/>
            <w:vAlign w:val="bottom"/>
            <w:tcBorders>
              <w:bottom w:val="single" w:sz="8" w:color="F7F7F7"/>
            </w:tcBorders>
            <w:shd w:val="clear" w:color="auto" w:fill="F7F7F7"/>
          </w:tcPr>
          <w:p>
            <w:pPr>
              <w:jc w:val="center"/>
              <w:ind w:left="319"/>
              <w:spacing w:after="0"/>
              <w:rPr>
                <w:sz w:val="20"/>
                <w:szCs w:val="20"/>
                <w:color w:val="auto"/>
              </w:rPr>
            </w:pPr>
            <w:r>
              <w:rPr>
                <w:rFonts w:ascii="Arial" w:cs="Arial" w:eastAsia="Arial" w:hAnsi="Arial"/>
                <w:sz w:val="16"/>
                <w:szCs w:val="16"/>
                <w:b w:val="1"/>
                <w:bCs w:val="1"/>
                <w:color w:val="4B4B4B"/>
              </w:rPr>
              <w:t>Director Since</w:t>
            </w:r>
          </w:p>
        </w:tc>
        <w:tc>
          <w:tcPr>
            <w:tcW w:w="3440" w:type="dxa"/>
            <w:vAlign w:val="bottom"/>
            <w:tcBorders>
              <w:bottom w:val="single" w:sz="8" w:color="F7F7F7"/>
            </w:tcBorders>
            <w:shd w:val="clear" w:color="auto" w:fill="F7F7F7"/>
          </w:tcPr>
          <w:p>
            <w:pPr>
              <w:ind w:left="640"/>
              <w:spacing w:after="0"/>
              <w:rPr>
                <w:sz w:val="20"/>
                <w:szCs w:val="20"/>
                <w:color w:val="auto"/>
              </w:rPr>
            </w:pPr>
            <w:r>
              <w:rPr>
                <w:rFonts w:ascii="Arial" w:cs="Arial" w:eastAsia="Arial" w:hAnsi="Arial"/>
                <w:sz w:val="16"/>
                <w:szCs w:val="16"/>
                <w:b w:val="1"/>
                <w:bCs w:val="1"/>
                <w:color w:val="4B4B4B"/>
              </w:rPr>
              <w:t>Current Position at Duolingo</w:t>
            </w: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4B4B4B"/>
              </w:rPr>
              <w:t>Amy Bohutinsky</w:t>
            </w:r>
          </w:p>
        </w:tc>
        <w:tc>
          <w:tcPr>
            <w:tcW w:w="2420" w:type="dxa"/>
            <w:vAlign w:val="bottom"/>
          </w:tcPr>
          <w:p>
            <w:pPr>
              <w:jc w:val="center"/>
              <w:spacing w:after="0"/>
              <w:rPr>
                <w:sz w:val="20"/>
                <w:szCs w:val="20"/>
                <w:color w:val="auto"/>
              </w:rPr>
            </w:pPr>
            <w:r>
              <w:rPr>
                <w:rFonts w:ascii="Arial" w:cs="Arial" w:eastAsia="Arial" w:hAnsi="Arial"/>
                <w:sz w:val="16"/>
                <w:szCs w:val="16"/>
                <w:color w:val="4B4B4B"/>
              </w:rPr>
              <w:t>47</w:t>
            </w:r>
          </w:p>
        </w:tc>
        <w:tc>
          <w:tcPr>
            <w:tcW w:w="2780" w:type="dxa"/>
            <w:vAlign w:val="bottom"/>
          </w:tcPr>
          <w:p>
            <w:pPr>
              <w:jc w:val="center"/>
              <w:ind w:left="299"/>
              <w:spacing w:after="0"/>
              <w:rPr>
                <w:sz w:val="20"/>
                <w:szCs w:val="20"/>
                <w:color w:val="auto"/>
              </w:rPr>
            </w:pPr>
            <w:r>
              <w:rPr>
                <w:rFonts w:ascii="Arial" w:cs="Arial" w:eastAsia="Arial" w:hAnsi="Arial"/>
                <w:sz w:val="16"/>
                <w:szCs w:val="16"/>
                <w:color w:val="4B4B4B"/>
              </w:rPr>
              <w:t>2020</w:t>
            </w:r>
          </w:p>
        </w:tc>
        <w:tc>
          <w:tcPr>
            <w:tcW w:w="3440" w:type="dxa"/>
            <w:vAlign w:val="bottom"/>
          </w:tcPr>
          <w:p>
            <w:pPr>
              <w:ind w:left="640"/>
              <w:spacing w:after="0"/>
              <w:rPr>
                <w:sz w:val="20"/>
                <w:szCs w:val="20"/>
                <w:color w:val="auto"/>
              </w:rPr>
            </w:pPr>
            <w:r>
              <w:rPr>
                <w:rFonts w:ascii="Arial" w:cs="Arial" w:eastAsia="Arial" w:hAnsi="Arial"/>
                <w:sz w:val="16"/>
                <w:szCs w:val="16"/>
                <w:color w:val="4B4B4B"/>
              </w:rPr>
              <w:t>Director</w:t>
            </w:r>
          </w:p>
        </w:tc>
        <w:tc>
          <w:tcPr>
            <w:tcW w:w="0" w:type="dxa"/>
            <w:vAlign w:val="bottom"/>
          </w:tcPr>
          <w:p>
            <w:pPr>
              <w:spacing w:after="0"/>
              <w:rPr>
                <w:sz w:val="1"/>
                <w:szCs w:val="1"/>
                <w:color w:val="auto"/>
              </w:rPr>
            </w:pPr>
          </w:p>
        </w:tc>
      </w:tr>
      <w:tr>
        <w:trPr>
          <w:trHeight w:val="36"/>
        </w:trPr>
        <w:tc>
          <w:tcPr>
            <w:tcW w:w="140" w:type="dxa"/>
            <w:vAlign w:val="bottom"/>
            <w:tcBorders>
              <w:bottom w:val="single" w:sz="8" w:color="E5E5E5"/>
            </w:tcBorders>
          </w:tcPr>
          <w:p>
            <w:pPr>
              <w:spacing w:after="0"/>
              <w:rPr>
                <w:sz w:val="3"/>
                <w:szCs w:val="3"/>
                <w:color w:val="auto"/>
              </w:rPr>
            </w:pPr>
          </w:p>
        </w:tc>
        <w:tc>
          <w:tcPr>
            <w:tcW w:w="2440" w:type="dxa"/>
            <w:vAlign w:val="bottom"/>
            <w:vMerge w:val="restart"/>
          </w:tcPr>
          <w:p>
            <w:pPr>
              <w:ind w:left="20"/>
              <w:spacing w:after="0"/>
              <w:rPr>
                <w:sz w:val="20"/>
                <w:szCs w:val="20"/>
                <w:color w:val="auto"/>
              </w:rPr>
            </w:pPr>
            <w:r>
              <w:rPr>
                <w:rFonts w:ascii="Arial" w:cs="Arial" w:eastAsia="Arial" w:hAnsi="Arial"/>
                <w:sz w:val="16"/>
                <w:szCs w:val="16"/>
                <w:color w:val="4B4B4B"/>
              </w:rPr>
              <w:t>Gillian Munson</w:t>
            </w:r>
          </w:p>
        </w:tc>
        <w:tc>
          <w:tcPr>
            <w:tcW w:w="2420" w:type="dxa"/>
            <w:vAlign w:val="bottom"/>
            <w:vMerge w:val="restart"/>
          </w:tcPr>
          <w:p>
            <w:pPr>
              <w:jc w:val="center"/>
              <w:spacing w:after="0"/>
              <w:rPr>
                <w:sz w:val="20"/>
                <w:szCs w:val="20"/>
                <w:color w:val="auto"/>
              </w:rPr>
            </w:pPr>
            <w:r>
              <w:rPr>
                <w:rFonts w:ascii="Arial" w:cs="Arial" w:eastAsia="Arial" w:hAnsi="Arial"/>
                <w:sz w:val="16"/>
                <w:szCs w:val="16"/>
                <w:color w:val="4B4B4B"/>
              </w:rPr>
              <w:t>51</w:t>
            </w:r>
          </w:p>
        </w:tc>
        <w:tc>
          <w:tcPr>
            <w:tcW w:w="2780" w:type="dxa"/>
            <w:vAlign w:val="bottom"/>
            <w:vMerge w:val="restart"/>
          </w:tcPr>
          <w:p>
            <w:pPr>
              <w:jc w:val="center"/>
              <w:ind w:left="299"/>
              <w:spacing w:after="0"/>
              <w:rPr>
                <w:sz w:val="20"/>
                <w:szCs w:val="20"/>
                <w:color w:val="auto"/>
              </w:rPr>
            </w:pPr>
            <w:r>
              <w:rPr>
                <w:rFonts w:ascii="Arial" w:cs="Arial" w:eastAsia="Arial" w:hAnsi="Arial"/>
                <w:sz w:val="16"/>
                <w:szCs w:val="16"/>
                <w:color w:val="4B4B4B"/>
              </w:rPr>
              <w:t>2019</w:t>
            </w:r>
          </w:p>
        </w:tc>
        <w:tc>
          <w:tcPr>
            <w:tcW w:w="3440" w:type="dxa"/>
            <w:vAlign w:val="bottom"/>
            <w:vMerge w:val="restart"/>
          </w:tcPr>
          <w:p>
            <w:pPr>
              <w:ind w:left="640"/>
              <w:spacing w:after="0"/>
              <w:rPr>
                <w:sz w:val="20"/>
                <w:szCs w:val="20"/>
                <w:color w:val="auto"/>
              </w:rPr>
            </w:pPr>
            <w:r>
              <w:rPr>
                <w:rFonts w:ascii="Arial" w:cs="Arial" w:eastAsia="Arial" w:hAnsi="Arial"/>
                <w:sz w:val="16"/>
                <w:szCs w:val="16"/>
                <w:color w:val="4B4B4B"/>
              </w:rPr>
              <w:t>Director</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2420" w:type="dxa"/>
            <w:vAlign w:val="bottom"/>
            <w:vMerge w:val="continue"/>
          </w:tcPr>
          <w:p>
            <w:pPr>
              <w:spacing w:after="0"/>
              <w:rPr>
                <w:sz w:val="19"/>
                <w:szCs w:val="19"/>
                <w:color w:val="auto"/>
              </w:rPr>
            </w:pPr>
          </w:p>
        </w:tc>
        <w:tc>
          <w:tcPr>
            <w:tcW w:w="2780" w:type="dxa"/>
            <w:vAlign w:val="bottom"/>
            <w:vMerge w:val="continue"/>
          </w:tcPr>
          <w:p>
            <w:pPr>
              <w:spacing w:after="0"/>
              <w:rPr>
                <w:sz w:val="19"/>
                <w:szCs w:val="19"/>
                <w:color w:val="auto"/>
              </w:rPr>
            </w:pPr>
          </w:p>
        </w:tc>
        <w:tc>
          <w:tcPr>
            <w:tcW w:w="3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40" w:type="dxa"/>
            <w:vAlign w:val="bottom"/>
            <w:tcBorders>
              <w:bottom w:val="single" w:sz="8" w:color="E5E5E5"/>
            </w:tcBorders>
          </w:tcPr>
          <w:p>
            <w:pPr>
              <w:spacing w:after="0"/>
              <w:rPr>
                <w:sz w:val="3"/>
                <w:szCs w:val="3"/>
                <w:color w:val="auto"/>
              </w:rPr>
            </w:pPr>
          </w:p>
        </w:tc>
        <w:tc>
          <w:tcPr>
            <w:tcW w:w="2440" w:type="dxa"/>
            <w:vAlign w:val="bottom"/>
            <w:vMerge w:val="restart"/>
          </w:tcPr>
          <w:p>
            <w:pPr>
              <w:ind w:left="20"/>
              <w:spacing w:after="0"/>
              <w:rPr>
                <w:sz w:val="20"/>
                <w:szCs w:val="20"/>
                <w:color w:val="auto"/>
              </w:rPr>
            </w:pPr>
            <w:r>
              <w:rPr>
                <w:rFonts w:ascii="Arial" w:cs="Arial" w:eastAsia="Arial" w:hAnsi="Arial"/>
                <w:sz w:val="16"/>
                <w:szCs w:val="16"/>
                <w:color w:val="4B4B4B"/>
              </w:rPr>
              <w:t>Jim Shelton</w:t>
            </w:r>
          </w:p>
        </w:tc>
        <w:tc>
          <w:tcPr>
            <w:tcW w:w="2420" w:type="dxa"/>
            <w:vAlign w:val="bottom"/>
            <w:vMerge w:val="restart"/>
          </w:tcPr>
          <w:p>
            <w:pPr>
              <w:jc w:val="center"/>
              <w:spacing w:after="0"/>
              <w:rPr>
                <w:sz w:val="20"/>
                <w:szCs w:val="20"/>
                <w:color w:val="auto"/>
              </w:rPr>
            </w:pPr>
            <w:r>
              <w:rPr>
                <w:rFonts w:ascii="Arial" w:cs="Arial" w:eastAsia="Arial" w:hAnsi="Arial"/>
                <w:sz w:val="16"/>
                <w:szCs w:val="16"/>
                <w:color w:val="4B4B4B"/>
              </w:rPr>
              <w:t>54</w:t>
            </w:r>
          </w:p>
        </w:tc>
        <w:tc>
          <w:tcPr>
            <w:tcW w:w="2780" w:type="dxa"/>
            <w:vAlign w:val="bottom"/>
            <w:vMerge w:val="restart"/>
          </w:tcPr>
          <w:p>
            <w:pPr>
              <w:jc w:val="center"/>
              <w:ind w:left="299"/>
              <w:spacing w:after="0"/>
              <w:rPr>
                <w:sz w:val="20"/>
                <w:szCs w:val="20"/>
                <w:color w:val="auto"/>
              </w:rPr>
            </w:pPr>
            <w:r>
              <w:rPr>
                <w:rFonts w:ascii="Arial" w:cs="Arial" w:eastAsia="Arial" w:hAnsi="Arial"/>
                <w:sz w:val="16"/>
                <w:szCs w:val="16"/>
                <w:color w:val="4B4B4B"/>
              </w:rPr>
              <w:t>2020</w:t>
            </w:r>
          </w:p>
        </w:tc>
        <w:tc>
          <w:tcPr>
            <w:tcW w:w="3440" w:type="dxa"/>
            <w:vAlign w:val="bottom"/>
            <w:vMerge w:val="restart"/>
          </w:tcPr>
          <w:p>
            <w:pPr>
              <w:ind w:left="640"/>
              <w:spacing w:after="0"/>
              <w:rPr>
                <w:sz w:val="20"/>
                <w:szCs w:val="20"/>
                <w:color w:val="auto"/>
              </w:rPr>
            </w:pPr>
            <w:r>
              <w:rPr>
                <w:rFonts w:ascii="Arial" w:cs="Arial" w:eastAsia="Arial" w:hAnsi="Arial"/>
                <w:sz w:val="16"/>
                <w:szCs w:val="16"/>
                <w:color w:val="4B4B4B"/>
              </w:rPr>
              <w:t>Director</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2420" w:type="dxa"/>
            <w:vAlign w:val="bottom"/>
            <w:vMerge w:val="continue"/>
          </w:tcPr>
          <w:p>
            <w:pPr>
              <w:spacing w:after="0"/>
              <w:rPr>
                <w:sz w:val="19"/>
                <w:szCs w:val="19"/>
                <w:color w:val="auto"/>
              </w:rPr>
            </w:pPr>
          </w:p>
        </w:tc>
        <w:tc>
          <w:tcPr>
            <w:tcW w:w="2780" w:type="dxa"/>
            <w:vAlign w:val="bottom"/>
            <w:vMerge w:val="continue"/>
          </w:tcPr>
          <w:p>
            <w:pPr>
              <w:spacing w:after="0"/>
              <w:rPr>
                <w:sz w:val="19"/>
                <w:szCs w:val="19"/>
                <w:color w:val="auto"/>
              </w:rPr>
            </w:pPr>
          </w:p>
        </w:tc>
        <w:tc>
          <w:tcPr>
            <w:tcW w:w="3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40" w:type="dxa"/>
            <w:vAlign w:val="bottom"/>
            <w:tcBorders>
              <w:bottom w:val="single" w:sz="8" w:color="E5E5E5"/>
            </w:tcBorders>
          </w:tcPr>
          <w:p>
            <w:pPr>
              <w:spacing w:after="0"/>
              <w:rPr>
                <w:sz w:val="3"/>
                <w:szCs w:val="3"/>
                <w:color w:val="auto"/>
              </w:rPr>
            </w:pPr>
          </w:p>
        </w:tc>
        <w:tc>
          <w:tcPr>
            <w:tcW w:w="24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34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-27305</wp:posOffset>
            </wp:positionV>
            <wp:extent cx="705485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-207010</wp:posOffset>
            </wp:positionV>
            <wp:extent cx="705485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-387350</wp:posOffset>
            </wp:positionV>
            <wp:extent cx="705485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5485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880" w:right="40"/>
        <w:spacing w:after="0" w:line="269" w:lineRule="auto"/>
        <w:rPr>
          <w:sz w:val="20"/>
          <w:szCs w:val="20"/>
          <w:color w:val="auto"/>
        </w:rPr>
      </w:pPr>
      <w:r>
        <w:rPr>
          <w:rFonts w:ascii="Arial" w:cs="Arial" w:eastAsia="Arial" w:hAnsi="Arial"/>
          <w:sz w:val="18"/>
          <w:szCs w:val="18"/>
          <w:b w:val="1"/>
          <w:bCs w:val="1"/>
          <w:color w:val="4B4B4B"/>
        </w:rPr>
        <w:t xml:space="preserve">Amy Bohutinsky </w:t>
      </w:r>
      <w:r>
        <w:rPr>
          <w:rFonts w:ascii="Arial" w:cs="Arial" w:eastAsia="Arial" w:hAnsi="Arial"/>
          <w:sz w:val="18"/>
          <w:szCs w:val="18"/>
          <w:color w:val="4B4B4B"/>
        </w:rPr>
        <w:t>has served as a member of our Board of Directors since June 2020. From 2005 to</w:t>
      </w:r>
      <w:r>
        <w:rPr>
          <w:rFonts w:ascii="Arial" w:cs="Arial" w:eastAsia="Arial" w:hAnsi="Arial"/>
          <w:sz w:val="18"/>
          <w:szCs w:val="18"/>
          <w:b w:val="1"/>
          <w:bCs w:val="1"/>
          <w:color w:val="4B4B4B"/>
        </w:rPr>
        <w:t xml:space="preserve"> </w:t>
      </w:r>
      <w:r>
        <w:rPr>
          <w:rFonts w:ascii="Arial" w:cs="Arial" w:eastAsia="Arial" w:hAnsi="Arial"/>
          <w:sz w:val="18"/>
          <w:szCs w:val="18"/>
          <w:color w:val="4B4B4B"/>
        </w:rPr>
        <w:t>2019, she held various leadership roles at Zillow Group, Inc., a publicly-traded online real estate marketplace company, including most recently as the Chief Operating Officer, from August 2015 to 2019, and as the Chief Marketing Officer, from March 2011 to August 2015. From 2001 to 2005, Ms. Bohutinsky served in various leadership positions at Hotwire, Inc., an online travel company, including Director of Corporate Communications. Ms. Bohutinsky has consulted as a venture partner at TCV, a private equity and venture capital firm, since 2019. Ms. Bohutinsky has served on the board of directors of Zillow Group since October 2018. Previously, she served on the board of directors of Gap, Inc., a publicly-traded clothing retailer, from 2018 to 2020. She also previously served on the boards of directors of HotelTonight, LLC, a privately held mobile-based hotel booking service (acquired by Airbnb, Inc. in 2019) and Avvo, Inc., a privately held online legal marketplace (acquired by Internet Brands in 2018). Ms. Bohutinsky holds a B.A. in Journalism and Mass Communications from Washington &amp; Lee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-1265555</wp:posOffset>
            </wp:positionV>
            <wp:extent cx="1328420" cy="13290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r>
    </w:p>
    <w:p>
      <w:pPr>
        <w:spacing w:after="0" w:line="132" w:lineRule="exact"/>
        <w:rPr>
          <w:sz w:val="20"/>
          <w:szCs w:val="20"/>
          <w:color w:val="auto"/>
        </w:rPr>
      </w:pPr>
    </w:p>
    <w:p>
      <w:pPr>
        <w:ind w:left="2880" w:right="160"/>
        <w:spacing w:after="0" w:line="269" w:lineRule="auto"/>
        <w:rPr>
          <w:sz w:val="20"/>
          <w:szCs w:val="20"/>
          <w:color w:val="auto"/>
        </w:rPr>
      </w:pPr>
      <w:r>
        <w:rPr>
          <w:rFonts w:ascii="Arial" w:cs="Arial" w:eastAsia="Arial" w:hAnsi="Arial"/>
          <w:sz w:val="18"/>
          <w:szCs w:val="18"/>
          <w:color w:val="4B4B4B"/>
        </w:rPr>
        <w:t>We believe Ms. Bohutinsky is qualified to serve as a member of our Board of Directors due to her valuable strategic and operational expertise and experience as director and senior leader of other large consumer-facing companies. The Board also considered Ms. Bohutinsky’s self-identifying gender in the context of the Board’s philosophy in assembling a well-diversified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920115</wp:posOffset>
            </wp:positionV>
            <wp:extent cx="71062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12</w:t>
            </w:r>
          </w:p>
        </w:tc>
      </w:tr>
    </w:tbl>
    <w:p>
      <w:pPr>
        <w:sectPr>
          <w:pgSz w:w="11900" w:h="16838" w:orient="portrait"/>
          <w:cols w:equalWidth="0" w:num="1">
            <w:col w:w="11240"/>
          </w:cols>
          <w:pgMar w:left="320" w:top="1386" w:right="339" w:bottom="1440" w:gutter="0" w:footer="0" w:header="0"/>
        </w:sectPr>
      </w:pPr>
    </w:p>
    <w:bookmarkStart w:id="17" w:name="page18"/>
    <w:bookmarkEnd w:id="17"/>
    <w:p>
      <w:pPr>
        <w:ind w:left="2880" w:right="60"/>
        <w:spacing w:after="0" w:line="269" w:lineRule="auto"/>
        <w:rPr>
          <w:sz w:val="20"/>
          <w:szCs w:val="20"/>
          <w:color w:val="auto"/>
        </w:rPr>
      </w:pPr>
      <w:r>
        <w:rPr>
          <w:rFonts w:ascii="Arial" w:cs="Arial" w:eastAsia="Arial" w:hAnsi="Arial"/>
          <w:sz w:val="18"/>
          <w:szCs w:val="18"/>
          <w:b w:val="1"/>
          <w:bCs w:val="1"/>
          <w:color w:val="4B4B4B"/>
        </w:rPr>
        <w:t xml:space="preserve">Gillian Munson </w:t>
      </w:r>
      <w:r>
        <w:rPr>
          <w:rFonts w:ascii="Arial" w:cs="Arial" w:eastAsia="Arial" w:hAnsi="Arial"/>
          <w:sz w:val="18"/>
          <w:szCs w:val="18"/>
          <w:color w:val="4B4B4B"/>
        </w:rPr>
        <w:t>has served as a member of our Board of Directors since September 2019. Ms. Munson</w:t>
      </w:r>
      <w:r>
        <w:rPr>
          <w:rFonts w:ascii="Arial" w:cs="Arial" w:eastAsia="Arial" w:hAnsi="Arial"/>
          <w:sz w:val="18"/>
          <w:szCs w:val="18"/>
          <w:b w:val="1"/>
          <w:bCs w:val="1"/>
          <w:color w:val="4B4B4B"/>
        </w:rPr>
        <w:t xml:space="preserve"> </w:t>
      </w:r>
      <w:r>
        <w:rPr>
          <w:rFonts w:ascii="Arial" w:cs="Arial" w:eastAsia="Arial" w:hAnsi="Arial"/>
          <w:sz w:val="18"/>
          <w:szCs w:val="18"/>
          <w:color w:val="4B4B4B"/>
        </w:rPr>
        <w:t>has served as the Chief Financial Officer (CFO) of Vimeo since April 2022. She was the CFO of Iora Health, Inc., a healthcare company, since January 2021 until the company’s sale in September 2021, subsequently acting as Special Advisor to the CFO of the acquiring company, One Medical. Mr. Munson was a Venture Partner at Union Square Ventures from April 2019 to July 2021 and served as CFO of XO Group Inc., the parent company of The Knot Inc., a media and technology company from 2013 to 2019. Ms. Munson’s previous positions include Managing Director at Allen &amp; Company LLC, Vice President, Business Development at Symbol Technologies, LLC, and both Executive Director and Senior Equity Analyst at Morgan Stanley. Ms. Munson has served on the board of directors of Phreesia, Inc., a publicly-traded software company, since May 2019, and previously served on the board of directors of Monster Worldwide, Inc. from 2015 to 2016. Ms. Munson holds a B.A. in Political Science and Economics from the Colorado College in Colorado Springs.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-1186815</wp:posOffset>
            </wp:positionV>
            <wp:extent cx="1328420" cy="1329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r>
    </w:p>
    <w:p>
      <w:pPr>
        <w:spacing w:after="0" w:line="134" w:lineRule="exact"/>
        <w:rPr>
          <w:sz w:val="20"/>
          <w:szCs w:val="20"/>
          <w:color w:val="auto"/>
        </w:rPr>
      </w:pPr>
    </w:p>
    <w:p>
      <w:pPr>
        <w:ind w:left="2880" w:right="80"/>
        <w:spacing w:after="0" w:line="269" w:lineRule="auto"/>
        <w:rPr>
          <w:sz w:val="20"/>
          <w:szCs w:val="20"/>
          <w:color w:val="auto"/>
        </w:rPr>
      </w:pPr>
      <w:r>
        <w:rPr>
          <w:rFonts w:ascii="Arial" w:cs="Arial" w:eastAsia="Arial" w:hAnsi="Arial"/>
          <w:sz w:val="18"/>
          <w:szCs w:val="18"/>
          <w:color w:val="4B4B4B"/>
        </w:rPr>
        <w:t>We believe Ms. Munson is qualified to serve as a member of our Board of Directors due to her experiences in senior leadership roles at consumer-facing companies and her background in investment and research. In addition, the Board also considered Ms. Munson’s self-identifying gender as a positive characteristic in furtherance of bringing diverse viewpoints to our Board of Directors.</w:t>
      </w:r>
    </w:p>
    <w:p>
      <w:pPr>
        <w:spacing w:after="0" w:line="200" w:lineRule="exact"/>
        <w:rPr>
          <w:sz w:val="20"/>
          <w:szCs w:val="20"/>
          <w:color w:val="auto"/>
        </w:rPr>
      </w:pPr>
    </w:p>
    <w:p>
      <w:pPr>
        <w:spacing w:after="0" w:line="308" w:lineRule="exact"/>
        <w:rPr>
          <w:sz w:val="20"/>
          <w:szCs w:val="20"/>
          <w:color w:val="auto"/>
        </w:rPr>
      </w:pPr>
    </w:p>
    <w:p>
      <w:pPr>
        <w:ind w:left="2880" w:right="100"/>
        <w:spacing w:after="0" w:line="270" w:lineRule="auto"/>
        <w:rPr>
          <w:sz w:val="20"/>
          <w:szCs w:val="20"/>
          <w:color w:val="auto"/>
        </w:rPr>
      </w:pPr>
      <w:r>
        <w:rPr>
          <w:rFonts w:ascii="Arial" w:cs="Arial" w:eastAsia="Arial" w:hAnsi="Arial"/>
          <w:sz w:val="18"/>
          <w:szCs w:val="18"/>
          <w:b w:val="1"/>
          <w:bCs w:val="1"/>
          <w:color w:val="4B4B4B"/>
        </w:rPr>
        <w:t xml:space="preserve">Jim Shelton </w:t>
      </w:r>
      <w:r>
        <w:rPr>
          <w:rFonts w:ascii="Arial" w:cs="Arial" w:eastAsia="Arial" w:hAnsi="Arial"/>
          <w:sz w:val="18"/>
          <w:szCs w:val="18"/>
          <w:color w:val="4B4B4B"/>
        </w:rPr>
        <w:t>has served as a member of our Board of Directors since October 2020. Mr. Shelton has</w:t>
      </w:r>
      <w:r>
        <w:rPr>
          <w:rFonts w:ascii="Arial" w:cs="Arial" w:eastAsia="Arial" w:hAnsi="Arial"/>
          <w:sz w:val="18"/>
          <w:szCs w:val="18"/>
          <w:b w:val="1"/>
          <w:bCs w:val="1"/>
          <w:color w:val="4B4B4B"/>
        </w:rPr>
        <w:t xml:space="preserve"> </w:t>
      </w:r>
      <w:r>
        <w:rPr>
          <w:rFonts w:ascii="Arial" w:cs="Arial" w:eastAsia="Arial" w:hAnsi="Arial"/>
          <w:sz w:val="18"/>
          <w:szCs w:val="18"/>
          <w:color w:val="4B4B4B"/>
        </w:rPr>
        <w:t>served as the Chief Investment and Impact Officer at the Blue Meridian Partners, a nonprofit funding collaborative, since January 2020, and a Partner of Amandla Enterprises, an impact investment and advisory firm, since July 2018. From July 2016 to July 2018, he served as the President of Education for the Chan Zuckerberg Initiative. From June 2015 to July 2016, Mr. Shelton previously served as the President and Chief Impact Officer of 2U, Inc., an educational technology company. From 2009 to 2015, he held various roles at the US Department of Education, most recently as Deputy Secretary and Chief Operating Officer. Mr. Shelton holds a B.A. in Computer Science from Morehouse College and an M.S. in Education and an M.B.A. from the Stanford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-972820</wp:posOffset>
            </wp:positionV>
            <wp:extent cx="1328420" cy="13284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28420" cy="1328420"/>
                    </a:xfrm>
                    <a:prstGeom prst="rect">
                      <a:avLst/>
                    </a:prstGeom>
                    <a:noFill/>
                  </pic:spPr>
                </pic:pic>
              </a:graphicData>
            </a:graphic>
          </wp:anchor>
        </w:drawing>
      </w:r>
    </w:p>
    <w:p>
      <w:pPr>
        <w:spacing w:after="0" w:line="134" w:lineRule="exact"/>
        <w:rPr>
          <w:sz w:val="20"/>
          <w:szCs w:val="20"/>
          <w:color w:val="auto"/>
        </w:rPr>
      </w:pPr>
    </w:p>
    <w:p>
      <w:pPr>
        <w:ind w:left="2880" w:right="180"/>
        <w:spacing w:after="0" w:line="269" w:lineRule="auto"/>
        <w:rPr>
          <w:sz w:val="20"/>
          <w:szCs w:val="20"/>
          <w:color w:val="auto"/>
        </w:rPr>
      </w:pPr>
      <w:r>
        <w:rPr>
          <w:rFonts w:ascii="Arial" w:cs="Arial" w:eastAsia="Arial" w:hAnsi="Arial"/>
          <w:sz w:val="18"/>
          <w:szCs w:val="18"/>
          <w:color w:val="4B4B4B"/>
        </w:rPr>
        <w:t>We believe Mr. Shelton is qualified to serve as a member of our Board of Directors due to his extensive experience in senior leadership roles at public companies and in the government, along with his commitment to education. The Board also considered Mr. Shelton’s self-identified race and ethnic characteristics in assembling our Board.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Class III Directors Whose Terms Expire at the 2024 Annual Meeting of Stockholders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140" w:type="dxa"/>
            <w:vAlign w:val="bottom"/>
            <w:tcBorders>
              <w:bottom w:val="single" w:sz="8" w:color="F7F7F7"/>
            </w:tcBorders>
            <w:shd w:val="clear" w:color="auto" w:fill="F7F7F7"/>
          </w:tcPr>
          <w:p>
            <w:pPr>
              <w:spacing w:after="0"/>
              <w:rPr>
                <w:sz w:val="20"/>
                <w:szCs w:val="20"/>
                <w:color w:val="auto"/>
              </w:rPr>
            </w:pPr>
          </w:p>
        </w:tc>
        <w:tc>
          <w:tcPr>
            <w:tcW w:w="2560" w:type="dxa"/>
            <w:vAlign w:val="bottom"/>
            <w:tcBorders>
              <w:bottom w:val="single" w:sz="8" w:color="F7F7F7"/>
            </w:tcBorders>
            <w:shd w:val="clear" w:color="auto" w:fill="F7F7F7"/>
          </w:tcPr>
          <w:p>
            <w:pPr>
              <w:ind w:left="20"/>
              <w:spacing w:after="0"/>
              <w:rPr>
                <w:sz w:val="20"/>
                <w:szCs w:val="20"/>
                <w:color w:val="auto"/>
              </w:rPr>
            </w:pPr>
            <w:r>
              <w:rPr>
                <w:rFonts w:ascii="Arial" w:cs="Arial" w:eastAsia="Arial" w:hAnsi="Arial"/>
                <w:sz w:val="16"/>
                <w:szCs w:val="16"/>
                <w:b w:val="1"/>
                <w:bCs w:val="1"/>
                <w:color w:val="4B4B4B"/>
              </w:rPr>
              <w:t>Class III Directors</w:t>
            </w:r>
          </w:p>
        </w:tc>
        <w:tc>
          <w:tcPr>
            <w:tcW w:w="230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6"/>
                <w:szCs w:val="16"/>
                <w:b w:val="1"/>
                <w:bCs w:val="1"/>
                <w:color w:val="4B4B4B"/>
                <w:w w:val="99"/>
              </w:rPr>
              <w:t>Age</w:t>
            </w:r>
          </w:p>
        </w:tc>
        <w:tc>
          <w:tcPr>
            <w:tcW w:w="2780" w:type="dxa"/>
            <w:vAlign w:val="bottom"/>
            <w:tcBorders>
              <w:bottom w:val="single" w:sz="8" w:color="F7F7F7"/>
            </w:tcBorders>
            <w:shd w:val="clear" w:color="auto" w:fill="F7F7F7"/>
          </w:tcPr>
          <w:p>
            <w:pPr>
              <w:jc w:val="center"/>
              <w:ind w:left="319"/>
              <w:spacing w:after="0"/>
              <w:rPr>
                <w:sz w:val="20"/>
                <w:szCs w:val="20"/>
                <w:color w:val="auto"/>
              </w:rPr>
            </w:pPr>
            <w:r>
              <w:rPr>
                <w:rFonts w:ascii="Arial" w:cs="Arial" w:eastAsia="Arial" w:hAnsi="Arial"/>
                <w:sz w:val="16"/>
                <w:szCs w:val="16"/>
                <w:b w:val="1"/>
                <w:bCs w:val="1"/>
                <w:color w:val="4B4B4B"/>
              </w:rPr>
              <w:t>Director Since</w:t>
            </w:r>
          </w:p>
        </w:tc>
        <w:tc>
          <w:tcPr>
            <w:tcW w:w="3440" w:type="dxa"/>
            <w:vAlign w:val="bottom"/>
            <w:tcBorders>
              <w:bottom w:val="single" w:sz="8" w:color="F7F7F7"/>
            </w:tcBorders>
            <w:shd w:val="clear" w:color="auto" w:fill="F7F7F7"/>
          </w:tcPr>
          <w:p>
            <w:pPr>
              <w:ind w:left="640"/>
              <w:spacing w:after="0"/>
              <w:rPr>
                <w:sz w:val="20"/>
                <w:szCs w:val="20"/>
                <w:color w:val="auto"/>
              </w:rPr>
            </w:pPr>
            <w:r>
              <w:rPr>
                <w:rFonts w:ascii="Arial" w:cs="Arial" w:eastAsia="Arial" w:hAnsi="Arial"/>
                <w:sz w:val="16"/>
                <w:szCs w:val="16"/>
                <w:b w:val="1"/>
                <w:bCs w:val="1"/>
                <w:color w:val="4B4B4B"/>
              </w:rPr>
              <w:t>Current Position with Duolingo</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2560" w:type="dxa"/>
            <w:vAlign w:val="bottom"/>
            <w:vMerge w:val="restart"/>
          </w:tcPr>
          <w:p>
            <w:pPr>
              <w:ind w:left="20"/>
              <w:spacing w:after="0"/>
              <w:rPr>
                <w:sz w:val="20"/>
                <w:szCs w:val="20"/>
                <w:color w:val="auto"/>
              </w:rPr>
            </w:pPr>
            <w:r>
              <w:rPr>
                <w:rFonts w:ascii="Arial" w:cs="Arial" w:eastAsia="Arial" w:hAnsi="Arial"/>
                <w:sz w:val="16"/>
                <w:szCs w:val="16"/>
                <w:color w:val="4B4B4B"/>
              </w:rPr>
              <w:t>Luis von Ahn, Ph.D.</w:t>
            </w:r>
          </w:p>
        </w:tc>
        <w:tc>
          <w:tcPr>
            <w:tcW w:w="2300" w:type="dxa"/>
            <w:vAlign w:val="bottom"/>
            <w:vMerge w:val="restart"/>
          </w:tcPr>
          <w:p>
            <w:pPr>
              <w:jc w:val="center"/>
              <w:spacing w:after="0"/>
              <w:rPr>
                <w:sz w:val="20"/>
                <w:szCs w:val="20"/>
                <w:color w:val="auto"/>
              </w:rPr>
            </w:pPr>
            <w:r>
              <w:rPr>
                <w:rFonts w:ascii="Arial" w:cs="Arial" w:eastAsia="Arial" w:hAnsi="Arial"/>
                <w:sz w:val="16"/>
                <w:szCs w:val="16"/>
                <w:color w:val="4B4B4B"/>
              </w:rPr>
              <w:t>43</w:t>
            </w:r>
          </w:p>
        </w:tc>
        <w:tc>
          <w:tcPr>
            <w:tcW w:w="2780" w:type="dxa"/>
            <w:vAlign w:val="bottom"/>
            <w:vMerge w:val="restart"/>
          </w:tcPr>
          <w:p>
            <w:pPr>
              <w:jc w:val="center"/>
              <w:ind w:left="299"/>
              <w:spacing w:after="0"/>
              <w:rPr>
                <w:sz w:val="20"/>
                <w:szCs w:val="20"/>
                <w:color w:val="auto"/>
              </w:rPr>
            </w:pPr>
            <w:r>
              <w:rPr>
                <w:rFonts w:ascii="Arial" w:cs="Arial" w:eastAsia="Arial" w:hAnsi="Arial"/>
                <w:sz w:val="16"/>
                <w:szCs w:val="16"/>
                <w:color w:val="4B4B4B"/>
              </w:rPr>
              <w:t>2011</w:t>
            </w:r>
          </w:p>
        </w:tc>
        <w:tc>
          <w:tcPr>
            <w:tcW w:w="3440" w:type="dxa"/>
            <w:vAlign w:val="bottom"/>
          </w:tcPr>
          <w:p>
            <w:pPr>
              <w:ind w:left="640"/>
              <w:spacing w:after="0"/>
              <w:rPr>
                <w:sz w:val="20"/>
                <w:szCs w:val="20"/>
                <w:color w:val="auto"/>
              </w:rPr>
            </w:pPr>
            <w:r>
              <w:rPr>
                <w:rFonts w:ascii="Arial" w:cs="Arial" w:eastAsia="Arial" w:hAnsi="Arial"/>
                <w:sz w:val="16"/>
                <w:szCs w:val="16"/>
                <w:color w:val="4B4B4B"/>
              </w:rPr>
              <w:t>President, Chief Executive Officer, Co-</w:t>
            </w: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2560" w:type="dxa"/>
            <w:vAlign w:val="bottom"/>
            <w:vMerge w:val="continue"/>
          </w:tcPr>
          <w:p>
            <w:pPr>
              <w:spacing w:after="0"/>
              <w:rPr>
                <w:sz w:val="8"/>
                <w:szCs w:val="8"/>
                <w:color w:val="auto"/>
              </w:rPr>
            </w:pPr>
          </w:p>
        </w:tc>
        <w:tc>
          <w:tcPr>
            <w:tcW w:w="2300" w:type="dxa"/>
            <w:vAlign w:val="bottom"/>
            <w:vMerge w:val="continue"/>
          </w:tcPr>
          <w:p>
            <w:pPr>
              <w:spacing w:after="0"/>
              <w:rPr>
                <w:sz w:val="8"/>
                <w:szCs w:val="8"/>
                <w:color w:val="auto"/>
              </w:rPr>
            </w:pPr>
          </w:p>
        </w:tc>
        <w:tc>
          <w:tcPr>
            <w:tcW w:w="2780" w:type="dxa"/>
            <w:vAlign w:val="bottom"/>
            <w:vMerge w:val="continue"/>
          </w:tcPr>
          <w:p>
            <w:pPr>
              <w:spacing w:after="0"/>
              <w:rPr>
                <w:sz w:val="8"/>
                <w:szCs w:val="8"/>
                <w:color w:val="auto"/>
              </w:rPr>
            </w:pPr>
          </w:p>
        </w:tc>
        <w:tc>
          <w:tcPr>
            <w:tcW w:w="3440" w:type="dxa"/>
            <w:vAlign w:val="bottom"/>
            <w:vMerge w:val="restart"/>
          </w:tcPr>
          <w:p>
            <w:pPr>
              <w:ind w:left="640"/>
              <w:spacing w:after="0"/>
              <w:rPr>
                <w:sz w:val="20"/>
                <w:szCs w:val="20"/>
                <w:color w:val="auto"/>
              </w:rPr>
            </w:pPr>
            <w:r>
              <w:rPr>
                <w:rFonts w:ascii="Arial" w:cs="Arial" w:eastAsia="Arial" w:hAnsi="Arial"/>
                <w:sz w:val="16"/>
                <w:szCs w:val="16"/>
                <w:color w:val="4B4B4B"/>
              </w:rPr>
              <w:t>Founder, and Chairman of the Board</w:t>
            </w: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40" w:type="dxa"/>
            <w:vAlign w:val="bottom"/>
            <w:tcBorders>
              <w:bottom w:val="single" w:sz="8" w:color="E5E5E5"/>
            </w:tcBorders>
          </w:tcPr>
          <w:p>
            <w:pPr>
              <w:spacing w:after="0"/>
              <w:rPr>
                <w:sz w:val="3"/>
                <w:szCs w:val="3"/>
                <w:color w:val="auto"/>
              </w:rPr>
            </w:pPr>
          </w:p>
        </w:tc>
        <w:tc>
          <w:tcPr>
            <w:tcW w:w="2560" w:type="dxa"/>
            <w:vAlign w:val="bottom"/>
            <w:vMerge w:val="restart"/>
          </w:tcPr>
          <w:p>
            <w:pPr>
              <w:ind w:left="20"/>
              <w:spacing w:after="0"/>
              <w:rPr>
                <w:sz w:val="20"/>
                <w:szCs w:val="20"/>
                <w:color w:val="auto"/>
              </w:rPr>
            </w:pPr>
            <w:r>
              <w:rPr>
                <w:rFonts w:ascii="Arial" w:cs="Arial" w:eastAsia="Arial" w:hAnsi="Arial"/>
                <w:sz w:val="16"/>
                <w:szCs w:val="16"/>
                <w:color w:val="4B4B4B"/>
              </w:rPr>
              <w:t>Sara Clemens</w:t>
            </w:r>
          </w:p>
        </w:tc>
        <w:tc>
          <w:tcPr>
            <w:tcW w:w="2300" w:type="dxa"/>
            <w:vAlign w:val="bottom"/>
            <w:vMerge w:val="restart"/>
          </w:tcPr>
          <w:p>
            <w:pPr>
              <w:jc w:val="center"/>
              <w:spacing w:after="0"/>
              <w:rPr>
                <w:sz w:val="20"/>
                <w:szCs w:val="20"/>
                <w:color w:val="auto"/>
              </w:rPr>
            </w:pPr>
            <w:r>
              <w:rPr>
                <w:rFonts w:ascii="Arial" w:cs="Arial" w:eastAsia="Arial" w:hAnsi="Arial"/>
                <w:sz w:val="16"/>
                <w:szCs w:val="16"/>
                <w:color w:val="4B4B4B"/>
              </w:rPr>
              <w:t>50</w:t>
            </w:r>
          </w:p>
        </w:tc>
        <w:tc>
          <w:tcPr>
            <w:tcW w:w="2780" w:type="dxa"/>
            <w:vAlign w:val="bottom"/>
            <w:vMerge w:val="restart"/>
          </w:tcPr>
          <w:p>
            <w:pPr>
              <w:jc w:val="center"/>
              <w:ind w:left="299"/>
              <w:spacing w:after="0"/>
              <w:rPr>
                <w:sz w:val="20"/>
                <w:szCs w:val="20"/>
                <w:color w:val="auto"/>
              </w:rPr>
            </w:pPr>
            <w:r>
              <w:rPr>
                <w:rFonts w:ascii="Arial" w:cs="Arial" w:eastAsia="Arial" w:hAnsi="Arial"/>
                <w:sz w:val="16"/>
                <w:szCs w:val="16"/>
                <w:color w:val="4B4B4B"/>
              </w:rPr>
              <w:t>2021</w:t>
            </w:r>
          </w:p>
        </w:tc>
        <w:tc>
          <w:tcPr>
            <w:tcW w:w="3440" w:type="dxa"/>
            <w:vAlign w:val="bottom"/>
            <w:vMerge w:val="restart"/>
          </w:tcPr>
          <w:p>
            <w:pPr>
              <w:ind w:left="640"/>
              <w:spacing w:after="0"/>
              <w:rPr>
                <w:sz w:val="20"/>
                <w:szCs w:val="20"/>
                <w:color w:val="auto"/>
              </w:rPr>
            </w:pPr>
            <w:r>
              <w:rPr>
                <w:rFonts w:ascii="Arial" w:cs="Arial" w:eastAsia="Arial" w:hAnsi="Arial"/>
                <w:sz w:val="16"/>
                <w:szCs w:val="16"/>
                <w:color w:val="4B4B4B"/>
              </w:rPr>
              <w:t>Director</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2560" w:type="dxa"/>
            <w:vAlign w:val="bottom"/>
            <w:vMerge w:val="continue"/>
          </w:tcPr>
          <w:p>
            <w:pPr>
              <w:spacing w:after="0"/>
              <w:rPr>
                <w:sz w:val="19"/>
                <w:szCs w:val="19"/>
                <w:color w:val="auto"/>
              </w:rPr>
            </w:pPr>
          </w:p>
        </w:tc>
        <w:tc>
          <w:tcPr>
            <w:tcW w:w="2300" w:type="dxa"/>
            <w:vAlign w:val="bottom"/>
            <w:vMerge w:val="continue"/>
          </w:tcPr>
          <w:p>
            <w:pPr>
              <w:spacing w:after="0"/>
              <w:rPr>
                <w:sz w:val="19"/>
                <w:szCs w:val="19"/>
                <w:color w:val="auto"/>
              </w:rPr>
            </w:pPr>
          </w:p>
        </w:tc>
        <w:tc>
          <w:tcPr>
            <w:tcW w:w="2780" w:type="dxa"/>
            <w:vAlign w:val="bottom"/>
            <w:vMerge w:val="continue"/>
          </w:tcPr>
          <w:p>
            <w:pPr>
              <w:spacing w:after="0"/>
              <w:rPr>
                <w:sz w:val="19"/>
                <w:szCs w:val="19"/>
                <w:color w:val="auto"/>
              </w:rPr>
            </w:pPr>
          </w:p>
        </w:tc>
        <w:tc>
          <w:tcPr>
            <w:tcW w:w="3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40" w:type="dxa"/>
            <w:vAlign w:val="bottom"/>
            <w:tcBorders>
              <w:bottom w:val="single" w:sz="8" w:color="E5E5E5"/>
            </w:tcBorders>
          </w:tcPr>
          <w:p>
            <w:pPr>
              <w:spacing w:after="0"/>
              <w:rPr>
                <w:sz w:val="3"/>
                <w:szCs w:val="3"/>
                <w:color w:val="auto"/>
              </w:rPr>
            </w:pPr>
          </w:p>
        </w:tc>
        <w:tc>
          <w:tcPr>
            <w:tcW w:w="2560" w:type="dxa"/>
            <w:vAlign w:val="bottom"/>
            <w:vMerge w:val="restart"/>
          </w:tcPr>
          <w:p>
            <w:pPr>
              <w:ind w:left="20"/>
              <w:spacing w:after="0"/>
              <w:rPr>
                <w:sz w:val="20"/>
                <w:szCs w:val="20"/>
                <w:color w:val="auto"/>
              </w:rPr>
            </w:pPr>
            <w:r>
              <w:rPr>
                <w:rFonts w:ascii="Arial" w:cs="Arial" w:eastAsia="Arial" w:hAnsi="Arial"/>
                <w:sz w:val="16"/>
                <w:szCs w:val="16"/>
                <w:color w:val="4B4B4B"/>
              </w:rPr>
              <w:t>Severin Hacker, Ph.D.</w:t>
            </w:r>
          </w:p>
        </w:tc>
        <w:tc>
          <w:tcPr>
            <w:tcW w:w="2300" w:type="dxa"/>
            <w:vAlign w:val="bottom"/>
            <w:vMerge w:val="restart"/>
          </w:tcPr>
          <w:p>
            <w:pPr>
              <w:jc w:val="center"/>
              <w:spacing w:after="0"/>
              <w:rPr>
                <w:sz w:val="20"/>
                <w:szCs w:val="20"/>
                <w:color w:val="auto"/>
              </w:rPr>
            </w:pPr>
            <w:r>
              <w:rPr>
                <w:rFonts w:ascii="Arial" w:cs="Arial" w:eastAsia="Arial" w:hAnsi="Arial"/>
                <w:sz w:val="16"/>
                <w:szCs w:val="16"/>
                <w:color w:val="4B4B4B"/>
              </w:rPr>
              <w:t>37</w:t>
            </w:r>
          </w:p>
        </w:tc>
        <w:tc>
          <w:tcPr>
            <w:tcW w:w="2780" w:type="dxa"/>
            <w:vAlign w:val="bottom"/>
            <w:vMerge w:val="restart"/>
          </w:tcPr>
          <w:p>
            <w:pPr>
              <w:jc w:val="center"/>
              <w:ind w:left="299"/>
              <w:spacing w:after="0"/>
              <w:rPr>
                <w:sz w:val="20"/>
                <w:szCs w:val="20"/>
                <w:color w:val="auto"/>
              </w:rPr>
            </w:pPr>
            <w:r>
              <w:rPr>
                <w:rFonts w:ascii="Arial" w:cs="Arial" w:eastAsia="Arial" w:hAnsi="Arial"/>
                <w:sz w:val="16"/>
                <w:szCs w:val="16"/>
                <w:color w:val="4B4B4B"/>
              </w:rPr>
              <w:t>2011</w:t>
            </w:r>
          </w:p>
        </w:tc>
        <w:tc>
          <w:tcPr>
            <w:tcW w:w="3440" w:type="dxa"/>
            <w:vAlign w:val="bottom"/>
            <w:vMerge w:val="restart"/>
          </w:tcPr>
          <w:p>
            <w:pPr>
              <w:ind w:left="640"/>
              <w:spacing w:after="0"/>
              <w:rPr>
                <w:sz w:val="20"/>
                <w:szCs w:val="20"/>
                <w:color w:val="auto"/>
              </w:rPr>
            </w:pPr>
            <w:r>
              <w:rPr>
                <w:rFonts w:ascii="Arial" w:cs="Arial" w:eastAsia="Arial" w:hAnsi="Arial"/>
                <w:sz w:val="16"/>
                <w:szCs w:val="16"/>
                <w:color w:val="4B4B4B"/>
              </w:rPr>
              <w:t>Chief Technology Officer, Co-Founder</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2560" w:type="dxa"/>
            <w:vAlign w:val="bottom"/>
            <w:vMerge w:val="continue"/>
          </w:tcPr>
          <w:p>
            <w:pPr>
              <w:spacing w:after="0"/>
              <w:rPr>
                <w:sz w:val="19"/>
                <w:szCs w:val="19"/>
                <w:color w:val="auto"/>
              </w:rPr>
            </w:pPr>
          </w:p>
        </w:tc>
        <w:tc>
          <w:tcPr>
            <w:tcW w:w="2300" w:type="dxa"/>
            <w:vAlign w:val="bottom"/>
            <w:vMerge w:val="continue"/>
          </w:tcPr>
          <w:p>
            <w:pPr>
              <w:spacing w:after="0"/>
              <w:rPr>
                <w:sz w:val="19"/>
                <w:szCs w:val="19"/>
                <w:color w:val="auto"/>
              </w:rPr>
            </w:pPr>
          </w:p>
        </w:tc>
        <w:tc>
          <w:tcPr>
            <w:tcW w:w="2780" w:type="dxa"/>
            <w:vAlign w:val="bottom"/>
            <w:vMerge w:val="continue"/>
          </w:tcPr>
          <w:p>
            <w:pPr>
              <w:spacing w:after="0"/>
              <w:rPr>
                <w:sz w:val="19"/>
                <w:szCs w:val="19"/>
                <w:color w:val="auto"/>
              </w:rPr>
            </w:pPr>
          </w:p>
        </w:tc>
        <w:tc>
          <w:tcPr>
            <w:tcW w:w="3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2560" w:type="dxa"/>
            <w:vAlign w:val="bottom"/>
            <w:vMerge w:val="continue"/>
          </w:tcPr>
          <w:p>
            <w:pPr>
              <w:spacing w:after="0"/>
              <w:rPr>
                <w:sz w:val="8"/>
                <w:szCs w:val="8"/>
                <w:color w:val="auto"/>
              </w:rPr>
            </w:pPr>
          </w:p>
        </w:tc>
        <w:tc>
          <w:tcPr>
            <w:tcW w:w="2300" w:type="dxa"/>
            <w:vAlign w:val="bottom"/>
            <w:vMerge w:val="continue"/>
          </w:tcPr>
          <w:p>
            <w:pPr>
              <w:spacing w:after="0"/>
              <w:rPr>
                <w:sz w:val="8"/>
                <w:szCs w:val="8"/>
                <w:color w:val="auto"/>
              </w:rPr>
            </w:pPr>
          </w:p>
        </w:tc>
        <w:tc>
          <w:tcPr>
            <w:tcW w:w="2780" w:type="dxa"/>
            <w:vAlign w:val="bottom"/>
            <w:vMerge w:val="continue"/>
          </w:tcPr>
          <w:p>
            <w:pPr>
              <w:spacing w:after="0"/>
              <w:rPr>
                <w:sz w:val="8"/>
                <w:szCs w:val="8"/>
                <w:color w:val="auto"/>
              </w:rPr>
            </w:pPr>
          </w:p>
        </w:tc>
        <w:tc>
          <w:tcPr>
            <w:tcW w:w="3440" w:type="dxa"/>
            <w:vAlign w:val="bottom"/>
            <w:vMerge w:val="restart"/>
          </w:tcPr>
          <w:p>
            <w:pPr>
              <w:ind w:left="640"/>
              <w:spacing w:after="0"/>
              <w:rPr>
                <w:sz w:val="20"/>
                <w:szCs w:val="20"/>
                <w:color w:val="auto"/>
              </w:rPr>
            </w:pPr>
            <w:r>
              <w:rPr>
                <w:rFonts w:ascii="Arial" w:cs="Arial" w:eastAsia="Arial" w:hAnsi="Arial"/>
                <w:sz w:val="16"/>
                <w:szCs w:val="16"/>
                <w:color w:val="4B4B4B"/>
              </w:rPr>
              <w:t>and Director</w:t>
            </w: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40" w:type="dxa"/>
            <w:vAlign w:val="bottom"/>
            <w:tcBorders>
              <w:bottom w:val="single" w:sz="8" w:color="E5E5E5"/>
            </w:tcBorders>
          </w:tcPr>
          <w:p>
            <w:pPr>
              <w:spacing w:after="0"/>
              <w:rPr>
                <w:sz w:val="3"/>
                <w:szCs w:val="3"/>
                <w:color w:val="auto"/>
              </w:rPr>
            </w:pPr>
          </w:p>
        </w:tc>
        <w:tc>
          <w:tcPr>
            <w:tcW w:w="256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34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-27305</wp:posOffset>
            </wp:positionV>
            <wp:extent cx="705485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-335915</wp:posOffset>
            </wp:positionV>
            <wp:extent cx="705485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-515620</wp:posOffset>
            </wp:positionV>
            <wp:extent cx="705485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1056640</wp:posOffset>
            </wp:positionV>
            <wp:extent cx="71062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13</w:t>
            </w:r>
          </w:p>
        </w:tc>
      </w:tr>
    </w:tbl>
    <w:p>
      <w:pPr>
        <w:sectPr>
          <w:pgSz w:w="11900" w:h="16838" w:orient="portrait"/>
          <w:cols w:equalWidth="0" w:num="1">
            <w:col w:w="11240"/>
          </w:cols>
          <w:pgMar w:left="320" w:top="1386" w:right="339" w:bottom="1440" w:gutter="0" w:footer="0" w:header="0"/>
        </w:sectPr>
      </w:pPr>
    </w:p>
    <w:bookmarkStart w:id="18" w:name="page19"/>
    <w:bookmarkEnd w:id="18"/>
    <w:p>
      <w:pPr>
        <w:ind w:left="2860" w:right="40"/>
        <w:spacing w:after="0" w:line="270" w:lineRule="auto"/>
        <w:rPr>
          <w:sz w:val="20"/>
          <w:szCs w:val="20"/>
          <w:color w:val="auto"/>
        </w:rPr>
      </w:pPr>
      <w:r>
        <w:rPr>
          <w:rFonts w:ascii="Arial" w:cs="Arial" w:eastAsia="Arial" w:hAnsi="Arial"/>
          <w:sz w:val="18"/>
          <w:szCs w:val="18"/>
          <w:b w:val="1"/>
          <w:bCs w:val="1"/>
          <w:color w:val="4B4B4B"/>
        </w:rPr>
        <w:t xml:space="preserve">Luis von Ahn, Ph.D. </w:t>
      </w:r>
      <w:r>
        <w:rPr>
          <w:rFonts w:ascii="Arial" w:cs="Arial" w:eastAsia="Arial" w:hAnsi="Arial"/>
          <w:sz w:val="18"/>
          <w:szCs w:val="18"/>
          <w:color w:val="4B4B4B"/>
        </w:rPr>
        <w:t>has served as a member of our Board of Directors and as our Chief Executive</w:t>
      </w:r>
      <w:r>
        <w:rPr>
          <w:rFonts w:ascii="Arial" w:cs="Arial" w:eastAsia="Arial" w:hAnsi="Arial"/>
          <w:sz w:val="18"/>
          <w:szCs w:val="18"/>
          <w:b w:val="1"/>
          <w:bCs w:val="1"/>
          <w:color w:val="4B4B4B"/>
        </w:rPr>
        <w:t xml:space="preserve"> </w:t>
      </w:r>
      <w:r>
        <w:rPr>
          <w:rFonts w:ascii="Arial" w:cs="Arial" w:eastAsia="Arial" w:hAnsi="Arial"/>
          <w:sz w:val="18"/>
          <w:szCs w:val="18"/>
          <w:color w:val="4B4B4B"/>
        </w:rPr>
        <w:t>Officer since August 2011, when he co-founded Duolingo with Dr. Hacker. Prior to founding Duolingo, he served as the Chief Executive Officer of reCAPTCHA, Inc., a fraud detection technology company, from 2007 until its acquisition by Google in 2009. Dr. von Ahn has served on the board of directors of Root, Inc., a publicly-traded technology company focusing on personal insurance, since October 2020. Dr. von Ahn holds a B.S. in Mathematics from Duke University and a Ph.D. in Computer Science from Carnegie Mellon University. We believe Dr. von Ahn is qualified to serve as a member of our Board of Directors because of his perspective and experience building and leading our business as co-founder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-1315720</wp:posOffset>
            </wp:positionV>
            <wp:extent cx="1328420" cy="13290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2860"/>
        <w:spacing w:after="0" w:line="270" w:lineRule="auto"/>
        <w:rPr>
          <w:sz w:val="20"/>
          <w:szCs w:val="20"/>
          <w:color w:val="auto"/>
        </w:rPr>
      </w:pPr>
      <w:r>
        <w:rPr>
          <w:rFonts w:ascii="Arial" w:cs="Arial" w:eastAsia="Arial" w:hAnsi="Arial"/>
          <w:sz w:val="18"/>
          <w:szCs w:val="18"/>
          <w:b w:val="1"/>
          <w:bCs w:val="1"/>
          <w:color w:val="4B4B4B"/>
        </w:rPr>
        <w:t xml:space="preserve">Sara Clemens </w:t>
      </w:r>
      <w:r>
        <w:rPr>
          <w:rFonts w:ascii="Arial" w:cs="Arial" w:eastAsia="Arial" w:hAnsi="Arial"/>
          <w:sz w:val="18"/>
          <w:szCs w:val="18"/>
          <w:color w:val="4B4B4B"/>
        </w:rPr>
        <w:t>has served as a member of our Board of Directors since June 2020. Ms. Clemens served</w:t>
      </w:r>
      <w:r>
        <w:rPr>
          <w:rFonts w:ascii="Arial" w:cs="Arial" w:eastAsia="Arial" w:hAnsi="Arial"/>
          <w:sz w:val="18"/>
          <w:szCs w:val="18"/>
          <w:b w:val="1"/>
          <w:bCs w:val="1"/>
          <w:color w:val="4B4B4B"/>
        </w:rPr>
        <w:t xml:space="preserve"> </w:t>
      </w:r>
      <w:r>
        <w:rPr>
          <w:rFonts w:ascii="Arial" w:cs="Arial" w:eastAsia="Arial" w:hAnsi="Arial"/>
          <w:sz w:val="18"/>
          <w:szCs w:val="18"/>
          <w:color w:val="4B4B4B"/>
        </w:rPr>
        <w:t>as the Chief Operating Officer at Twitch from January 2018 to February 2022. From 2014 to 2017, she served as the Chief Operating Officer at Pandora Media and, from 2012 to 2013, she served as the Vice President of Corporate Development at LinkedIn. Ms. Clemens is currently a Senior Advisor to Blackstone Growth, and serves on the board of directors of Khosla Ventures Acquisition Co. III and Karat. Ms. Clemens holds a B.A. in English and an M.A. (Hons) from the University of Canterbury, New Zealand. We believe Ms. Clemens is qualified to serve as a member of our Board of Directors due to her extensive strategic and operational expertise and experience in senior leadership roles at other technology companies. The Board also considered Ms. Clemens’s gender in the context of the Board’s objective to assemble an appropriately diverse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-1386205</wp:posOffset>
            </wp:positionV>
            <wp:extent cx="1328420" cy="13290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drawing>
          <wp:anchor simplePos="0" relativeHeight="251657728" behindDoc="1" locked="0" layoutInCell="0" allowOverlap="1">
            <wp:simplePos x="0" y="0"/>
            <wp:positionH relativeFrom="column">
              <wp:posOffset>112395</wp:posOffset>
            </wp:positionH>
            <wp:positionV relativeFrom="paragraph">
              <wp:posOffset>318770</wp:posOffset>
            </wp:positionV>
            <wp:extent cx="1328420" cy="13284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28420" cy="132842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860" w:right="100"/>
        <w:spacing w:after="0" w:line="273" w:lineRule="auto"/>
        <w:rPr>
          <w:sz w:val="20"/>
          <w:szCs w:val="20"/>
          <w:color w:val="auto"/>
        </w:rPr>
      </w:pPr>
      <w:r>
        <w:rPr>
          <w:rFonts w:ascii="Arial" w:cs="Arial" w:eastAsia="Arial" w:hAnsi="Arial"/>
          <w:sz w:val="18"/>
          <w:szCs w:val="18"/>
          <w:b w:val="1"/>
          <w:bCs w:val="1"/>
          <w:color w:val="4B4B4B"/>
        </w:rPr>
        <w:t xml:space="preserve">Severin Hacker, Ph.D. </w:t>
      </w:r>
      <w:r>
        <w:rPr>
          <w:rFonts w:ascii="Arial" w:cs="Arial" w:eastAsia="Arial" w:hAnsi="Arial"/>
          <w:sz w:val="18"/>
          <w:szCs w:val="18"/>
          <w:color w:val="4B4B4B"/>
        </w:rPr>
        <w:t>has served as a member of our Board of Directors and as our Chief Technology</w:t>
      </w:r>
      <w:r>
        <w:rPr>
          <w:rFonts w:ascii="Arial" w:cs="Arial" w:eastAsia="Arial" w:hAnsi="Arial"/>
          <w:sz w:val="18"/>
          <w:szCs w:val="18"/>
          <w:b w:val="1"/>
          <w:bCs w:val="1"/>
          <w:color w:val="4B4B4B"/>
        </w:rPr>
        <w:t xml:space="preserve"> </w:t>
      </w:r>
      <w:r>
        <w:rPr>
          <w:rFonts w:ascii="Arial" w:cs="Arial" w:eastAsia="Arial" w:hAnsi="Arial"/>
          <w:sz w:val="18"/>
          <w:szCs w:val="18"/>
          <w:color w:val="4B4B4B"/>
        </w:rPr>
        <w:t>Officer since August 2011, when he co-founded Duolingo with Dr. von Ahn. Dr. Hacker holds a B.S. in Computer Science from Eidgenossische Technische Hochschule Zurich, Switzerland and a Ph.D. in Computer Science from Carnegie Mellon University. We believe Dr. Hacker is qualified to serve as a member of our Board of Directors because of his perspective and experience building and leading our business as co-founder and Chief Technology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Board Recommendation</w:t>
      </w:r>
    </w:p>
    <w:p>
      <w:pPr>
        <w:spacing w:after="0" w:line="303" w:lineRule="exact"/>
        <w:rPr>
          <w:sz w:val="20"/>
          <w:szCs w:val="20"/>
          <w:color w:val="auto"/>
        </w:rPr>
      </w:pPr>
    </w:p>
    <w:p>
      <w:pPr>
        <w:ind w:right="720"/>
        <w:spacing w:after="0" w:line="303" w:lineRule="auto"/>
        <w:rPr>
          <w:sz w:val="20"/>
          <w:szCs w:val="20"/>
          <w:color w:val="auto"/>
        </w:rPr>
      </w:pPr>
      <w:r>
        <w:rPr>
          <w:rFonts w:ascii="Arial" w:cs="Arial" w:eastAsia="Arial" w:hAnsi="Arial"/>
          <w:sz w:val="18"/>
          <w:szCs w:val="18"/>
          <w:color w:val="4B4B4B"/>
        </w:rPr>
        <w:t xml:space="preserve">The Board of Directors unanimously recommends a vote </w:t>
      </w:r>
      <w:r>
        <w:rPr>
          <w:rFonts w:ascii="Arial" w:cs="Arial" w:eastAsia="Arial" w:hAnsi="Arial"/>
          <w:sz w:val="18"/>
          <w:szCs w:val="18"/>
          <w:b w:val="1"/>
          <w:bCs w:val="1"/>
          <w:color w:val="4B4B4B"/>
        </w:rPr>
        <w:t>FOR</w:t>
      </w:r>
      <w:r>
        <w:rPr>
          <w:rFonts w:ascii="Arial" w:cs="Arial" w:eastAsia="Arial" w:hAnsi="Arial"/>
          <w:sz w:val="18"/>
          <w:szCs w:val="18"/>
          <w:color w:val="4B4B4B"/>
        </w:rPr>
        <w:t xml:space="preserve"> the election of each of Bing Gordon, John Lilly and Laela Sturdy as a Class I director to hold office until the 2025 Annual Meeting and until his or her successor has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865505</wp:posOffset>
            </wp:positionV>
            <wp:extent cx="71062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14</w:t>
            </w:r>
          </w:p>
        </w:tc>
      </w:tr>
    </w:tbl>
    <w:p>
      <w:pPr>
        <w:sectPr>
          <w:pgSz w:w="11900" w:h="16838" w:orient="portrait"/>
          <w:cols w:equalWidth="0" w:num="1">
            <w:col w:w="11180"/>
          </w:cols>
          <w:pgMar w:left="340" w:top="1386" w:right="379" w:bottom="1440" w:gutter="0" w:footer="0" w:header="0"/>
        </w:sectPr>
      </w:pPr>
    </w:p>
    <w:bookmarkStart w:id="19" w:name="page20"/>
    <w:bookmarkEnd w:id="19"/>
    <w:p>
      <w:pPr>
        <w:ind w:right="1220"/>
        <w:spacing w:after="0" w:line="288" w:lineRule="auto"/>
        <w:rPr>
          <w:sz w:val="20"/>
          <w:szCs w:val="20"/>
          <w:color w:val="auto"/>
        </w:rPr>
      </w:pPr>
      <w:r>
        <w:rPr>
          <w:rFonts w:ascii="Arial" w:cs="Arial" w:eastAsia="Arial" w:hAnsi="Arial"/>
          <w:sz w:val="36"/>
          <w:szCs w:val="36"/>
          <w:b w:val="1"/>
          <w:bCs w:val="1"/>
          <w:color w:val="4B4B4B"/>
        </w:rPr>
        <w:t>Proposal No. 2 Ratification of Appointment of Independent Registered Public Accounting Firm</w:t>
      </w:r>
    </w:p>
    <w:p>
      <w:pPr>
        <w:spacing w:after="0" w:line="178"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Appointment of Independent Registered Public Accounting Firm</w:t>
      </w:r>
    </w:p>
    <w:p>
      <w:pPr>
        <w:spacing w:after="0" w:line="21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4B4B4B"/>
        </w:rPr>
        <w:t>The Audit, Risk and Compliance Committee (the “Audit Committee”) appoints our independent registered public accounting firm. In this regard, the Audit Committee evaluates the qualifications, performance and independence of our independent registered public accounting firm and determines whether to re-engage our current firm. As part of its evaluation, the Audit Committee considers, among other factors, the quality and efficiency of the services provided by the firm, including the performance, technical expertise, industry knowledge and experience of the lead audit partner and the audit team assigned to our account; the overall strength and reputation of the firm; the firm’s global capabilities relative to our business; and the firm’s knowledge of our operations. Deloitte &amp; Touche LLP has served as our independent registered public accounting firm since 2018. Neither the accounting firm nor any of its members has any direct or indirect financial interest in or any connection with us in any capacity other than as our auditors and providing audit and permissible non-audit related services. Upon consideration of these and other factors, the Audit Committee has appointed Deloitte &amp; Touche LLP to serve as our independent registered public accounting firm for the fiscal year ending December 31, 2022.</w:t>
      </w:r>
    </w:p>
    <w:p>
      <w:pPr>
        <w:spacing w:after="0" w:line="15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4B4B4B"/>
        </w:rPr>
        <w:t>Although ratification is not required by our amended and restated bylaws (“Bylaws”) or otherwise, the Board is submitting the selection of Deloitte &amp; Touche LLP to our stockholders for ratification because we value our stockholders’ views on the Company’s independent registered public accounting firm and it is a good corporate governance practice. If our stockholders do not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its stockholders.</w:t>
      </w:r>
    </w:p>
    <w:p>
      <w:pPr>
        <w:spacing w:after="0" w:line="1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4B4B4B"/>
        </w:rPr>
        <w:t>Representatives of Deloitte &amp; Touche LLP are expected to attend the Annual Meeting and to have an opportunity to make a statement and be available to respond to appropriate questions from stockholders.</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Audit, Audit-Related, Tax and All Other Fees</w:t>
      </w:r>
    </w:p>
    <w:p>
      <w:pPr>
        <w:spacing w:after="0" w:line="325" w:lineRule="exact"/>
        <w:rPr>
          <w:sz w:val="20"/>
          <w:szCs w:val="20"/>
          <w:color w:val="auto"/>
        </w:rPr>
      </w:pPr>
    </w:p>
    <w:p>
      <w:pPr>
        <w:ind w:left="20" w:right="80"/>
        <w:spacing w:after="0" w:line="277" w:lineRule="auto"/>
        <w:rPr>
          <w:sz w:val="20"/>
          <w:szCs w:val="20"/>
          <w:color w:val="auto"/>
        </w:rPr>
      </w:pPr>
      <w:r>
        <w:rPr>
          <w:rFonts w:ascii="Arial" w:cs="Arial" w:eastAsia="Arial" w:hAnsi="Arial"/>
          <w:sz w:val="18"/>
          <w:szCs w:val="18"/>
          <w:color w:val="4B4B4B"/>
        </w:rPr>
        <w:t>The following table sets forth the fees of Deloitte &amp; Touche LLP, our independent registered public accounting firm, billed to Duolingo in each of the last two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177165</wp:posOffset>
            </wp:positionV>
            <wp:extent cx="7123430" cy="325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3430" cy="325755"/>
                    </a:xfrm>
                    <a:prstGeom prst="rect">
                      <a:avLst/>
                    </a:prstGeom>
                    <a:noFill/>
                  </pic:spPr>
                </pic:pic>
              </a:graphicData>
            </a:graphic>
          </wp:anchor>
        </w:drawing>
      </w:r>
    </w:p>
    <w:p>
      <w:pPr>
        <w:spacing w:after="0" w:line="268"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4B4B4B"/>
        </w:rPr>
        <w:t>Year Ended December 31,</w:t>
      </w:r>
    </w:p>
    <w:p>
      <w:pPr>
        <w:spacing w:after="0" w:line="64"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8240" w:type="dxa"/>
            <w:vAlign w:val="bottom"/>
            <w:tcBorders>
              <w:bottom w:val="single" w:sz="8" w:color="F7F7F7"/>
            </w:tcBorders>
            <w:shd w:val="clear" w:color="auto" w:fill="F7F7F7"/>
          </w:tcPr>
          <w:p>
            <w:pPr>
              <w:spacing w:after="0"/>
              <w:rPr>
                <w:sz w:val="20"/>
                <w:szCs w:val="20"/>
                <w:color w:val="auto"/>
              </w:rPr>
            </w:pPr>
          </w:p>
        </w:tc>
        <w:tc>
          <w:tcPr>
            <w:tcW w:w="136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6"/>
                <w:szCs w:val="16"/>
                <w:b w:val="1"/>
                <w:bCs w:val="1"/>
                <w:color w:val="4B4B4B"/>
              </w:rPr>
              <w:t>2021</w:t>
            </w:r>
          </w:p>
        </w:tc>
        <w:tc>
          <w:tcPr>
            <w:tcW w:w="100" w:type="dxa"/>
            <w:vAlign w:val="bottom"/>
            <w:tcBorders>
              <w:bottom w:val="single" w:sz="8" w:color="F7F7F7"/>
            </w:tcBorders>
            <w:shd w:val="clear" w:color="auto" w:fill="F7F7F7"/>
          </w:tcPr>
          <w:p>
            <w:pPr>
              <w:spacing w:after="0"/>
              <w:rPr>
                <w:sz w:val="20"/>
                <w:szCs w:val="20"/>
                <w:color w:val="auto"/>
              </w:rPr>
            </w:pPr>
          </w:p>
        </w:tc>
        <w:tc>
          <w:tcPr>
            <w:tcW w:w="138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6"/>
                <w:szCs w:val="16"/>
                <w:b w:val="1"/>
                <w:bCs w:val="1"/>
                <w:color w:val="4B4B4B"/>
              </w:rPr>
              <w:t>2020</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4B4B4B"/>
              </w:rPr>
              <w:t>Audit Fees</w:t>
            </w:r>
          </w:p>
        </w:tc>
        <w:tc>
          <w:tcPr>
            <w:tcW w:w="1360" w:type="dxa"/>
            <w:vAlign w:val="bottom"/>
          </w:tcPr>
          <w:p>
            <w:pPr>
              <w:jc w:val="center"/>
              <w:spacing w:after="0"/>
              <w:rPr>
                <w:sz w:val="20"/>
                <w:szCs w:val="20"/>
                <w:color w:val="auto"/>
              </w:rPr>
            </w:pPr>
            <w:r>
              <w:rPr>
                <w:rFonts w:ascii="Arial" w:cs="Arial" w:eastAsia="Arial" w:hAnsi="Arial"/>
                <w:sz w:val="16"/>
                <w:szCs w:val="16"/>
                <w:color w:val="4B4B4B"/>
              </w:rPr>
              <w:t>$2,583,244</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4B4B4B"/>
              </w:rPr>
              <w:t>$483,971</w:t>
            </w: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Borders>
              <w:bottom w:val="single" w:sz="8" w:color="E5E5E5"/>
            </w:tcBorders>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8240" w:type="dxa"/>
            <w:vAlign w:val="bottom"/>
          </w:tcPr>
          <w:p>
            <w:pPr>
              <w:ind w:left="20"/>
              <w:spacing w:after="0"/>
              <w:rPr>
                <w:sz w:val="20"/>
                <w:szCs w:val="20"/>
                <w:color w:val="auto"/>
              </w:rPr>
            </w:pPr>
            <w:r>
              <w:rPr>
                <w:rFonts w:ascii="Arial" w:cs="Arial" w:eastAsia="Arial" w:hAnsi="Arial"/>
                <w:sz w:val="16"/>
                <w:szCs w:val="16"/>
                <w:color w:val="4B4B4B"/>
              </w:rPr>
              <w:t>Audit-Related Fees</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4B4B4B"/>
                <w:w w:val="99"/>
              </w:rPr>
              <w:t>—</w:t>
            </w:r>
          </w:p>
        </w:tc>
        <w:tc>
          <w:tcPr>
            <w:tcW w:w="138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0" w:type="dxa"/>
            <w:vAlign w:val="bottom"/>
          </w:tcPr>
          <w:p>
            <w:pPr>
              <w:spacing w:after="0"/>
              <w:rPr>
                <w:sz w:val="1"/>
                <w:szCs w:val="1"/>
                <w:color w:val="auto"/>
              </w:rPr>
            </w:pPr>
          </w:p>
        </w:tc>
      </w:tr>
      <w:tr>
        <w:trPr>
          <w:trHeight w:val="36"/>
        </w:trPr>
        <w:tc>
          <w:tcPr>
            <w:tcW w:w="8240" w:type="dxa"/>
            <w:vAlign w:val="bottom"/>
            <w:vMerge w:val="restart"/>
          </w:tcPr>
          <w:p>
            <w:pPr>
              <w:ind w:left="20"/>
              <w:spacing w:after="0"/>
              <w:rPr>
                <w:sz w:val="20"/>
                <w:szCs w:val="20"/>
                <w:color w:val="auto"/>
              </w:rPr>
            </w:pPr>
            <w:r>
              <w:rPr>
                <w:rFonts w:ascii="Arial" w:cs="Arial" w:eastAsia="Arial" w:hAnsi="Arial"/>
                <w:sz w:val="16"/>
                <w:szCs w:val="16"/>
                <w:color w:val="4B4B4B"/>
              </w:rPr>
              <w:t>Tax Fees</w:t>
            </w:r>
          </w:p>
        </w:tc>
        <w:tc>
          <w:tcPr>
            <w:tcW w:w="1360" w:type="dxa"/>
            <w:vAlign w:val="bottom"/>
            <w:vMerge w:val="restart"/>
          </w:tcPr>
          <w:p>
            <w:pPr>
              <w:jc w:val="center"/>
              <w:spacing w:after="0"/>
              <w:rPr>
                <w:sz w:val="20"/>
                <w:szCs w:val="20"/>
                <w:color w:val="auto"/>
              </w:rPr>
            </w:pPr>
            <w:r>
              <w:rPr>
                <w:rFonts w:ascii="Arial" w:cs="Arial" w:eastAsia="Arial" w:hAnsi="Arial"/>
                <w:sz w:val="16"/>
                <w:szCs w:val="16"/>
                <w:color w:val="4B4B4B"/>
              </w:rPr>
              <w:t>279,522</w:t>
            </w:r>
          </w:p>
        </w:tc>
        <w:tc>
          <w:tcPr>
            <w:tcW w:w="100" w:type="dxa"/>
            <w:vAlign w:val="bottom"/>
            <w:tcBorders>
              <w:bottom w:val="single" w:sz="8" w:color="E5E5E5"/>
            </w:tcBorders>
          </w:tcPr>
          <w:p>
            <w:pPr>
              <w:spacing w:after="0"/>
              <w:rPr>
                <w:sz w:val="3"/>
                <w:szCs w:val="3"/>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color w:val="4B4B4B"/>
              </w:rPr>
              <w:t>98,666</w:t>
            </w:r>
          </w:p>
        </w:tc>
        <w:tc>
          <w:tcPr>
            <w:tcW w:w="0" w:type="dxa"/>
            <w:vAlign w:val="bottom"/>
          </w:tcPr>
          <w:p>
            <w:pPr>
              <w:spacing w:after="0"/>
              <w:rPr>
                <w:sz w:val="1"/>
                <w:szCs w:val="1"/>
                <w:color w:val="auto"/>
              </w:rPr>
            </w:pPr>
          </w:p>
        </w:tc>
      </w:tr>
      <w:tr>
        <w:trPr>
          <w:trHeight w:val="227"/>
        </w:trPr>
        <w:tc>
          <w:tcPr>
            <w:tcW w:w="824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Borders>
              <w:bottom w:val="single" w:sz="8" w:color="E5E5E5"/>
            </w:tcBorders>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8240" w:type="dxa"/>
            <w:vAlign w:val="bottom"/>
          </w:tcPr>
          <w:p>
            <w:pPr>
              <w:ind w:left="20"/>
              <w:spacing w:after="0"/>
              <w:rPr>
                <w:sz w:val="20"/>
                <w:szCs w:val="20"/>
                <w:color w:val="auto"/>
              </w:rPr>
            </w:pPr>
            <w:r>
              <w:rPr>
                <w:rFonts w:ascii="Arial" w:cs="Arial" w:eastAsia="Arial" w:hAnsi="Arial"/>
                <w:sz w:val="16"/>
                <w:szCs w:val="16"/>
                <w:color w:val="4B4B4B"/>
              </w:rPr>
              <w:t>All Other Fees</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4B4B4B"/>
                <w:w w:val="99"/>
              </w:rPr>
              <w:t>—</w:t>
            </w:r>
          </w:p>
        </w:tc>
        <w:tc>
          <w:tcPr>
            <w:tcW w:w="1380" w:type="dxa"/>
            <w:vAlign w:val="bottom"/>
          </w:tcPr>
          <w:p>
            <w:pPr>
              <w:jc w:val="center"/>
              <w:spacing w:after="0"/>
              <w:rPr>
                <w:sz w:val="20"/>
                <w:szCs w:val="20"/>
                <w:color w:val="auto"/>
              </w:rPr>
            </w:pPr>
            <w:r>
              <w:rPr>
                <w:rFonts w:ascii="Arial" w:cs="Arial" w:eastAsia="Arial" w:hAnsi="Arial"/>
                <w:sz w:val="16"/>
                <w:szCs w:val="16"/>
                <w:color w:val="4B4B4B"/>
                <w:w w:val="99"/>
              </w:rPr>
              <w:t>5,685</w:t>
            </w:r>
          </w:p>
        </w:tc>
        <w:tc>
          <w:tcPr>
            <w:tcW w:w="0" w:type="dxa"/>
            <w:vAlign w:val="bottom"/>
          </w:tcPr>
          <w:p>
            <w:pPr>
              <w:spacing w:after="0"/>
              <w:rPr>
                <w:sz w:val="1"/>
                <w:szCs w:val="1"/>
                <w:color w:val="auto"/>
              </w:rPr>
            </w:pPr>
          </w:p>
        </w:tc>
      </w:tr>
      <w:tr>
        <w:trPr>
          <w:trHeight w:val="47"/>
        </w:trPr>
        <w:tc>
          <w:tcPr>
            <w:tcW w:w="82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240" w:type="dxa"/>
            <w:vAlign w:val="bottom"/>
          </w:tcPr>
          <w:p>
            <w:pPr>
              <w:ind w:left="20"/>
              <w:spacing w:after="0"/>
              <w:rPr>
                <w:sz w:val="20"/>
                <w:szCs w:val="20"/>
                <w:color w:val="auto"/>
              </w:rPr>
            </w:pPr>
            <w:r>
              <w:rPr>
                <w:rFonts w:ascii="Arial" w:cs="Arial" w:eastAsia="Arial" w:hAnsi="Arial"/>
                <w:sz w:val="16"/>
                <w:szCs w:val="16"/>
                <w:color w:val="4B4B4B"/>
              </w:rPr>
              <w:t>Total</w:t>
            </w:r>
          </w:p>
        </w:tc>
        <w:tc>
          <w:tcPr>
            <w:tcW w:w="1360" w:type="dxa"/>
            <w:vAlign w:val="bottom"/>
          </w:tcPr>
          <w:p>
            <w:pPr>
              <w:jc w:val="center"/>
              <w:spacing w:after="0"/>
              <w:rPr>
                <w:sz w:val="20"/>
                <w:szCs w:val="20"/>
                <w:color w:val="auto"/>
              </w:rPr>
            </w:pPr>
            <w:r>
              <w:rPr>
                <w:rFonts w:ascii="Arial" w:cs="Arial" w:eastAsia="Arial" w:hAnsi="Arial"/>
                <w:sz w:val="16"/>
                <w:szCs w:val="16"/>
                <w:color w:val="4B4B4B"/>
              </w:rPr>
              <w:t>$2,862,766</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4B4B4B"/>
              </w:rPr>
              <w:t>$588,322</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532765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2765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-226695</wp:posOffset>
            </wp:positionV>
            <wp:extent cx="532765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2765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-406400</wp:posOffset>
            </wp:positionV>
            <wp:extent cx="713613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-586740</wp:posOffset>
            </wp:positionV>
            <wp:extent cx="713613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-766445</wp:posOffset>
            </wp:positionV>
            <wp:extent cx="713613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42545"/>
                    </a:xfrm>
                    <a:prstGeom prst="rect">
                      <a:avLst/>
                    </a:prstGeom>
                    <a:noFill/>
                  </pic:spPr>
                </pic:pic>
              </a:graphicData>
            </a:graphic>
          </wp:anchor>
        </w:drawing>
      </w:r>
    </w:p>
    <w:p>
      <w:pPr>
        <w:spacing w:after="0" w:line="267"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Audit Fees</w:t>
      </w:r>
    </w:p>
    <w:p>
      <w:pPr>
        <w:spacing w:after="0" w:line="325" w:lineRule="exact"/>
        <w:rPr>
          <w:sz w:val="20"/>
          <w:szCs w:val="20"/>
          <w:color w:val="auto"/>
        </w:rPr>
      </w:pPr>
    </w:p>
    <w:p>
      <w:pPr>
        <w:ind w:left="20" w:right="60"/>
        <w:spacing w:after="0" w:line="271" w:lineRule="auto"/>
        <w:rPr>
          <w:sz w:val="20"/>
          <w:szCs w:val="20"/>
          <w:color w:val="auto"/>
        </w:rPr>
      </w:pPr>
      <w:r>
        <w:rPr>
          <w:rFonts w:ascii="Arial" w:cs="Arial" w:eastAsia="Arial" w:hAnsi="Arial"/>
          <w:sz w:val="18"/>
          <w:szCs w:val="18"/>
          <w:color w:val="4B4B4B"/>
        </w:rPr>
        <w:t>Audit fees consist of fees for professional services rendered for the audit of our financial statements and review of interim financial statements and related expenses. Audit fees also include fees for services provided by Deloitte in connection with our initial public offering in July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781050</wp:posOffset>
            </wp:positionV>
            <wp:extent cx="71062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11020" w:val="left"/>
        </w:tabs>
        <w:rPr>
          <w:sz w:val="20"/>
          <w:szCs w:val="20"/>
          <w:color w:val="auto"/>
        </w:rPr>
      </w:pPr>
      <w:r>
        <w:rPr>
          <w:rFonts w:ascii="Arial" w:cs="Arial" w:eastAsia="Arial" w:hAnsi="Arial"/>
          <w:sz w:val="14"/>
          <w:szCs w:val="14"/>
          <w:b w:val="1"/>
          <w:bCs w:val="1"/>
          <w:color w:val="AFAFAF"/>
        </w:rPr>
        <w:t>DUOLINGO 2022 PROXY STATEMENT</w:t>
      </w:r>
      <w:r>
        <w:rPr>
          <w:sz w:val="20"/>
          <w:szCs w:val="20"/>
          <w:color w:val="auto"/>
        </w:rPr>
        <w:tab/>
      </w:r>
      <w:r>
        <w:rPr>
          <w:rFonts w:ascii="Arial" w:cs="Arial" w:eastAsia="Arial" w:hAnsi="Arial"/>
          <w:sz w:val="14"/>
          <w:szCs w:val="14"/>
          <w:b w:val="1"/>
          <w:bCs w:val="1"/>
          <w:color w:val="AFAFAF"/>
        </w:rPr>
        <w:t>15</w:t>
      </w:r>
    </w:p>
    <w:p>
      <w:pPr>
        <w:sectPr>
          <w:pgSz w:w="11900" w:h="16838" w:orient="portrait"/>
          <w:cols w:equalWidth="0" w:num="1">
            <w:col w:w="11240"/>
          </w:cols>
          <w:pgMar w:left="320" w:top="1307" w:right="339" w:bottom="1440" w:gutter="0" w:footer="0" w:header="0"/>
          <w:type w:val="continuous"/>
        </w:sectPr>
      </w:pPr>
    </w:p>
    <w:bookmarkStart w:id="20" w:name="page21"/>
    <w:bookmarkEnd w:id="20"/>
    <w:p>
      <w:pPr>
        <w:ind w:left="20"/>
        <w:spacing w:after="0"/>
        <w:rPr>
          <w:sz w:val="20"/>
          <w:szCs w:val="20"/>
          <w:color w:val="auto"/>
        </w:rPr>
      </w:pPr>
      <w:r>
        <w:rPr>
          <w:rFonts w:ascii="Arial" w:cs="Arial" w:eastAsia="Arial" w:hAnsi="Arial"/>
          <w:sz w:val="23"/>
          <w:szCs w:val="23"/>
          <w:b w:val="1"/>
          <w:bCs w:val="1"/>
          <w:color w:val="4B4B4B"/>
        </w:rPr>
        <w:t>Audit-Related Fees</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4B4B4B"/>
        </w:rPr>
        <w:t>Audit-related fees consist of fees for other audit type services not denoted above.</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Tax Fees</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4B4B4B"/>
        </w:rPr>
        <w:t>Tax fees are fees for a variety of permissible services relating to tax compliance, tax planning and tax advisory services.</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All Other Fees</w:t>
      </w:r>
    </w:p>
    <w:p>
      <w:pPr>
        <w:spacing w:after="0" w:line="325" w:lineRule="exact"/>
        <w:rPr>
          <w:sz w:val="20"/>
          <w:szCs w:val="20"/>
          <w:color w:val="auto"/>
        </w:rPr>
      </w:pPr>
    </w:p>
    <w:p>
      <w:pPr>
        <w:ind w:left="20" w:right="980"/>
        <w:spacing w:after="0" w:line="277" w:lineRule="auto"/>
        <w:rPr>
          <w:sz w:val="20"/>
          <w:szCs w:val="20"/>
          <w:color w:val="auto"/>
        </w:rPr>
      </w:pPr>
      <w:r>
        <w:rPr>
          <w:rFonts w:ascii="Arial" w:cs="Arial" w:eastAsia="Arial" w:hAnsi="Arial"/>
          <w:sz w:val="18"/>
          <w:szCs w:val="18"/>
          <w:color w:val="4B4B4B"/>
        </w:rPr>
        <w:t>All other fees relate to professional services not included in the categories above, including subscriptions to Deloitte’s accounting reference library.</w:t>
      </w:r>
    </w:p>
    <w:p>
      <w:pPr>
        <w:spacing w:after="0" w:line="242"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Pre-Approval Policies and Procedures</w:t>
      </w:r>
    </w:p>
    <w:p>
      <w:pPr>
        <w:spacing w:after="0" w:line="21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4B4B4B"/>
        </w:rPr>
        <w:t>The formal written charter for our Audit Committee requires that the Audit Committee pre-approve all audit services to be provided to us, whether provided by our principal auditor or other firms, and all other services (review, attest and non-audit) to be provided to us by our independent registered public accounting firm, other than de minimis non-audit services approved in accordance with applicable SEC rules.</w:t>
      </w:r>
    </w:p>
    <w:p>
      <w:pPr>
        <w:spacing w:after="0" w:line="149" w:lineRule="exact"/>
        <w:rPr>
          <w:sz w:val="20"/>
          <w:szCs w:val="20"/>
          <w:color w:val="auto"/>
        </w:rPr>
      </w:pPr>
    </w:p>
    <w:p>
      <w:pPr>
        <w:spacing w:after="0" w:line="266" w:lineRule="auto"/>
        <w:rPr>
          <w:sz w:val="20"/>
          <w:szCs w:val="20"/>
          <w:color w:val="auto"/>
        </w:rPr>
      </w:pPr>
      <w:r>
        <w:rPr>
          <w:rFonts w:ascii="Arial" w:cs="Arial" w:eastAsia="Arial" w:hAnsi="Arial"/>
          <w:sz w:val="18"/>
          <w:szCs w:val="18"/>
          <w:color w:val="4B4B4B"/>
        </w:rPr>
        <w:t>The Audit Committee has adopted a policy (the “Pre-Approval Policy”) that sets forth the procedures and conditions pursuant to which audit and non-audit services proposed to be performed by our independent registered public accounting firm may be pre-approved. The Pre-Approval Policy generally provides that the Audit Committee will not engage an independent registered public accounting firm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our independent registered public accounting firm has received general pre-approval under the Pre-Approval Policy, it requires specific pre-approval by the Audit Committee or by a designated member of the Audit Committee to whom the committee has delegated the authority to grant pre-approvals. Any member of the Audit Committee to whom the committee delegates authority to make pre-approval decisions must report any such pre-approval decisions to the Audit Committee at its next scheduled meeting. If circumstances arise where it becomes necessary to engage the independent registered public accounting firm for additional services not contemplated in the original pre-approval categories or above the pre-approved amounts, the Audit Committee requires pre-approval for such additional services or such additional amounts. Any proposed services exceeding pre-approved cost levels or budgeted amounts will also require specific pre-approval. For both types of pre-approval, the Audit Committee will consider whether such services are consistent with the SEC’s rules on auditor independence.</w:t>
      </w:r>
    </w:p>
    <w:p>
      <w:pPr>
        <w:spacing w:after="0" w:line="16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4B4B4B"/>
        </w:rPr>
        <w:t>On an annual basis, the Audit Committee reviews and generally pre-approves the services (and related fee levels or budgeted amounts) that may be provided by our independent registered accounting firm without first obtaining specific pre-approval from the Audit Committee. The Audit Committee may revise the list of general pre-approved services from time to time, based on subsequent determinations.</w:t>
      </w:r>
    </w:p>
    <w:p>
      <w:pPr>
        <w:spacing w:after="0" w:line="14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4B4B4B"/>
        </w:rPr>
        <w:t>The above-described services provided to us by Deloitte &amp; Touche LLP prior to our initial public offering were provided under engagements entered into prior to our adoption of our pre-approval policies and, following our initial public offering, in accordance with such policies.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Board Recommendation</w:t>
      </w:r>
    </w:p>
    <w:p>
      <w:pPr>
        <w:spacing w:after="0" w:line="325" w:lineRule="exact"/>
        <w:rPr>
          <w:sz w:val="20"/>
          <w:szCs w:val="20"/>
          <w:color w:val="auto"/>
        </w:rPr>
      </w:pPr>
    </w:p>
    <w:p>
      <w:pPr>
        <w:ind w:left="20" w:right="1000"/>
        <w:spacing w:after="0" w:line="277" w:lineRule="auto"/>
        <w:rPr>
          <w:sz w:val="20"/>
          <w:szCs w:val="20"/>
          <w:color w:val="auto"/>
        </w:rPr>
      </w:pPr>
      <w:r>
        <w:rPr>
          <w:rFonts w:ascii="Arial" w:cs="Arial" w:eastAsia="Arial" w:hAnsi="Arial"/>
          <w:sz w:val="18"/>
          <w:szCs w:val="18"/>
          <w:color w:val="4B4B4B"/>
        </w:rPr>
        <w:t>The Board of Directors unanimously recommends a vote FOR the ratification of the appointment of Deloitte &amp; Touche LLP as our independent registered public accounting firm for the fiscal year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777240</wp:posOffset>
            </wp:positionV>
            <wp:extent cx="71062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tabs>
          <w:tab w:leader="none" w:pos="11020" w:val="left"/>
        </w:tabs>
        <w:rPr>
          <w:sz w:val="20"/>
          <w:szCs w:val="20"/>
          <w:color w:val="auto"/>
        </w:rPr>
      </w:pPr>
      <w:r>
        <w:rPr>
          <w:rFonts w:ascii="Arial" w:cs="Arial" w:eastAsia="Arial" w:hAnsi="Arial"/>
          <w:sz w:val="14"/>
          <w:szCs w:val="14"/>
          <w:b w:val="1"/>
          <w:bCs w:val="1"/>
          <w:color w:val="AFAFAF"/>
        </w:rPr>
        <w:t>DUOLINGO 2022 PROXY STATEMENT</w:t>
      </w:r>
      <w:r>
        <w:rPr>
          <w:sz w:val="20"/>
          <w:szCs w:val="20"/>
          <w:color w:val="auto"/>
        </w:rPr>
        <w:tab/>
      </w:r>
      <w:r>
        <w:rPr>
          <w:rFonts w:ascii="Arial" w:cs="Arial" w:eastAsia="Arial" w:hAnsi="Arial"/>
          <w:sz w:val="14"/>
          <w:szCs w:val="14"/>
          <w:b w:val="1"/>
          <w:bCs w:val="1"/>
          <w:color w:val="AFAFAF"/>
        </w:rPr>
        <w:t>16</w:t>
      </w:r>
    </w:p>
    <w:p>
      <w:pPr>
        <w:sectPr>
          <w:pgSz w:w="11900" w:h="16838" w:orient="portrait"/>
          <w:cols w:equalWidth="0" w:num="1">
            <w:col w:w="11240"/>
          </w:cols>
          <w:pgMar w:left="320" w:top="138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23"/>
          <w:szCs w:val="23"/>
          <w:b w:val="1"/>
          <w:bCs w:val="1"/>
          <w:color w:val="4B4B4B"/>
        </w:rPr>
        <w:t>Audit Committee Report</w:t>
      </w:r>
    </w:p>
    <w:p>
      <w:pPr>
        <w:spacing w:after="0" w:line="325"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4B4B4B"/>
        </w:rPr>
        <w:t>The Audit Committee operates pursuant to a charter which is reviewed annually by the Audit Committee. Additionally, a brief description of the primary responsibilities of the Audit Committee is included in this Proxy Statement under the discussion of “Corporate Governance— Audit Committee.” Under the Audit Committee charter, management is responsible for the preparation, presentation and integrity of the Company’s financial statements, the appropriateness of accounting principles and financial reporting policies and for establishing and maintaining our internal control over financial reporting. The independent registered public accounting firm is responsible for auditing our financial statements and expressing an opinion as to their conformity with accounting principles generally accepted in the United States.</w:t>
      </w:r>
    </w:p>
    <w:p>
      <w:pPr>
        <w:spacing w:after="0" w:line="136"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4B4B4B"/>
        </w:rPr>
        <w:t>In the performance of its oversight function, the Audit Committee reviewed and discussed with management and Deloitte &amp; Touche LLP, as the Company’s independent registered public accounting firm, the Company’s audited financial statements for the fiscal year ended December 31, 2021. The Audit Committee also discussed with the Company’s independent registered public accounting firm the matters required to be discussed by the applicable requirements of the Public Company Accounting Oversight Board (the “PCAOB”). In addition, the Audit Committee received and reviewed the written disclosures and the letters from the Company’s independent registered public accounting firm required by applicable requirements of the PCAOB, regarding such independent registered public accounting firm’s communications with the Audit Committee concerning independence, and discussed with the Company’s independent registered public accounting firm their independence from the Company.</w:t>
      </w:r>
    </w:p>
    <w:p>
      <w:pPr>
        <w:spacing w:after="0" w:line="15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4B4B4B"/>
        </w:rPr>
        <w:t>Based upon the review and discussions described in the preceding paragraph, the Audit Committee recommended to the Board that the Company’s audited financial statements be included in its Annual Report on Form 10-K for the fiscal year ended December 31, 2021 filed with the SEC.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Submitted by the Audit, Risk and Compliance Committee of the Company’s Board of Directors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4B4B4B"/>
        </w:rPr>
        <w:t>Gillian Munson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4B4B4B"/>
        </w:rPr>
        <w:t>Amy Bohutinsky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4B4B4B"/>
        </w:rPr>
        <w:t>Jim Shelton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4B4B4B"/>
        </w:rPr>
        <w:t>Laela Sturdy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803275</wp:posOffset>
            </wp:positionV>
            <wp:extent cx="71062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17</w:t>
            </w:r>
          </w:p>
        </w:tc>
      </w:tr>
    </w:tbl>
    <w:p>
      <w:pPr>
        <w:sectPr>
          <w:pgSz w:w="11900" w:h="16838" w:orient="portrait"/>
          <w:cols w:equalWidth="0" w:num="1">
            <w:col w:w="11180"/>
          </w:cols>
          <w:pgMar w:left="340" w:top="1385" w:right="379" w:bottom="1440" w:gutter="0" w:footer="0" w:header="0"/>
        </w:sectPr>
      </w:pPr>
    </w:p>
    <w:bookmarkStart w:id="22" w:name="page23"/>
    <w:bookmarkEnd w:id="22"/>
    <w:p>
      <w:pPr>
        <w:spacing w:after="0"/>
        <w:rPr>
          <w:sz w:val="20"/>
          <w:szCs w:val="20"/>
          <w:color w:val="auto"/>
        </w:rPr>
      </w:pPr>
      <w:r>
        <w:rPr>
          <w:rFonts w:ascii="Arial" w:cs="Arial" w:eastAsia="Arial" w:hAnsi="Arial"/>
          <w:sz w:val="36"/>
          <w:szCs w:val="36"/>
          <w:b w:val="1"/>
          <w:bCs w:val="1"/>
          <w:color w:val="4B4B4B"/>
        </w:rPr>
        <w:t>Executive Officers</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identifies and sets forth certain biographical and other information regarding our executive officers as of April 22,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140" w:type="dxa"/>
            <w:vAlign w:val="bottom"/>
            <w:tcBorders>
              <w:bottom w:val="single" w:sz="8" w:color="F7F7F7"/>
            </w:tcBorders>
            <w:shd w:val="clear" w:color="auto" w:fill="F7F7F7"/>
          </w:tcPr>
          <w:p>
            <w:pPr>
              <w:spacing w:after="0"/>
              <w:rPr>
                <w:sz w:val="20"/>
                <w:szCs w:val="20"/>
                <w:color w:val="auto"/>
              </w:rPr>
            </w:pPr>
          </w:p>
        </w:tc>
        <w:tc>
          <w:tcPr>
            <w:tcW w:w="2500" w:type="dxa"/>
            <w:vAlign w:val="bottom"/>
            <w:tcBorders>
              <w:bottom w:val="single" w:sz="8" w:color="F7F7F7"/>
            </w:tcBorders>
            <w:shd w:val="clear" w:color="auto" w:fill="F7F7F7"/>
          </w:tcPr>
          <w:p>
            <w:pPr>
              <w:ind w:left="20"/>
              <w:spacing w:after="0"/>
              <w:rPr>
                <w:sz w:val="20"/>
                <w:szCs w:val="20"/>
                <w:color w:val="auto"/>
              </w:rPr>
            </w:pPr>
            <w:r>
              <w:rPr>
                <w:rFonts w:ascii="Arial" w:cs="Arial" w:eastAsia="Arial" w:hAnsi="Arial"/>
                <w:sz w:val="16"/>
                <w:szCs w:val="16"/>
                <w:b w:val="1"/>
                <w:bCs w:val="1"/>
                <w:color w:val="4B4B4B"/>
              </w:rPr>
              <w:t>Executive Officer</w:t>
            </w:r>
          </w:p>
        </w:tc>
        <w:tc>
          <w:tcPr>
            <w:tcW w:w="1540" w:type="dxa"/>
            <w:vAlign w:val="bottom"/>
            <w:tcBorders>
              <w:bottom w:val="single" w:sz="8" w:color="F7F7F7"/>
            </w:tcBorders>
            <w:shd w:val="clear" w:color="auto" w:fill="F7F7F7"/>
          </w:tcPr>
          <w:p>
            <w:pPr>
              <w:jc w:val="center"/>
              <w:ind w:left="479"/>
              <w:spacing w:after="0"/>
              <w:rPr>
                <w:sz w:val="20"/>
                <w:szCs w:val="20"/>
                <w:color w:val="auto"/>
              </w:rPr>
            </w:pPr>
            <w:r>
              <w:rPr>
                <w:rFonts w:ascii="Arial" w:cs="Arial" w:eastAsia="Arial" w:hAnsi="Arial"/>
                <w:sz w:val="16"/>
                <w:szCs w:val="16"/>
                <w:b w:val="1"/>
                <w:bCs w:val="1"/>
                <w:color w:val="4B4B4B"/>
                <w:w w:val="99"/>
              </w:rPr>
              <w:t>Age</w:t>
            </w:r>
          </w:p>
        </w:tc>
        <w:tc>
          <w:tcPr>
            <w:tcW w:w="5020" w:type="dxa"/>
            <w:vAlign w:val="bottom"/>
            <w:tcBorders>
              <w:bottom w:val="single" w:sz="8" w:color="F7F7F7"/>
            </w:tcBorders>
            <w:shd w:val="clear" w:color="auto" w:fill="F7F7F7"/>
          </w:tcPr>
          <w:p>
            <w:pPr>
              <w:ind w:left="340"/>
              <w:spacing w:after="0"/>
              <w:rPr>
                <w:sz w:val="20"/>
                <w:szCs w:val="20"/>
                <w:color w:val="auto"/>
              </w:rPr>
            </w:pPr>
            <w:r>
              <w:rPr>
                <w:rFonts w:ascii="Arial" w:cs="Arial" w:eastAsia="Arial" w:hAnsi="Arial"/>
                <w:sz w:val="16"/>
                <w:szCs w:val="16"/>
                <w:b w:val="1"/>
                <w:bCs w:val="1"/>
                <w:color w:val="4B4B4B"/>
              </w:rPr>
              <w:t>Position</w:t>
            </w:r>
          </w:p>
        </w:tc>
        <w:tc>
          <w:tcPr>
            <w:tcW w:w="202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6"/>
                <w:szCs w:val="16"/>
                <w:b w:val="1"/>
                <w:bCs w:val="1"/>
                <w:color w:val="4B4B4B"/>
              </w:rPr>
              <w:t>In Current Position Since</w:t>
            </w: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2500" w:type="dxa"/>
            <w:vAlign w:val="bottom"/>
            <w:vMerge w:val="restart"/>
          </w:tcPr>
          <w:p>
            <w:pPr>
              <w:ind w:left="20"/>
              <w:spacing w:after="0"/>
              <w:rPr>
                <w:sz w:val="20"/>
                <w:szCs w:val="20"/>
                <w:color w:val="auto"/>
              </w:rPr>
            </w:pPr>
            <w:r>
              <w:rPr>
                <w:rFonts w:ascii="Arial" w:cs="Arial" w:eastAsia="Arial" w:hAnsi="Arial"/>
                <w:sz w:val="16"/>
                <w:szCs w:val="16"/>
                <w:color w:val="4B4B4B"/>
              </w:rPr>
              <w:t>Luis von Ahn, Ph.D.</w:t>
            </w:r>
          </w:p>
        </w:tc>
        <w:tc>
          <w:tcPr>
            <w:tcW w:w="1540" w:type="dxa"/>
            <w:vAlign w:val="bottom"/>
            <w:vMerge w:val="restart"/>
          </w:tcPr>
          <w:p>
            <w:pPr>
              <w:jc w:val="center"/>
              <w:ind w:left="479"/>
              <w:spacing w:after="0"/>
              <w:rPr>
                <w:sz w:val="20"/>
                <w:szCs w:val="20"/>
                <w:color w:val="auto"/>
              </w:rPr>
            </w:pPr>
            <w:r>
              <w:rPr>
                <w:rFonts w:ascii="Arial" w:cs="Arial" w:eastAsia="Arial" w:hAnsi="Arial"/>
                <w:sz w:val="16"/>
                <w:szCs w:val="16"/>
                <w:color w:val="4B4B4B"/>
              </w:rPr>
              <w:t>43</w:t>
            </w:r>
          </w:p>
        </w:tc>
        <w:tc>
          <w:tcPr>
            <w:tcW w:w="5020" w:type="dxa"/>
            <w:vAlign w:val="bottom"/>
          </w:tcPr>
          <w:p>
            <w:pPr>
              <w:ind w:left="340"/>
              <w:spacing w:after="0"/>
              <w:rPr>
                <w:sz w:val="20"/>
                <w:szCs w:val="20"/>
                <w:color w:val="auto"/>
              </w:rPr>
            </w:pPr>
            <w:r>
              <w:rPr>
                <w:rFonts w:ascii="Arial" w:cs="Arial" w:eastAsia="Arial" w:hAnsi="Arial"/>
                <w:sz w:val="16"/>
                <w:szCs w:val="16"/>
                <w:color w:val="4B4B4B"/>
              </w:rPr>
              <w:t>President, Chief Executive Officer, Co-Founder, and Chairman of</w:t>
            </w:r>
          </w:p>
        </w:tc>
        <w:tc>
          <w:tcPr>
            <w:tcW w:w="2020" w:type="dxa"/>
            <w:vAlign w:val="bottom"/>
            <w:vMerge w:val="restart"/>
          </w:tcPr>
          <w:p>
            <w:pPr>
              <w:jc w:val="center"/>
              <w:spacing w:after="0"/>
              <w:rPr>
                <w:sz w:val="20"/>
                <w:szCs w:val="20"/>
                <w:color w:val="auto"/>
              </w:rPr>
            </w:pPr>
            <w:r>
              <w:rPr>
                <w:rFonts w:ascii="Arial" w:cs="Arial" w:eastAsia="Arial" w:hAnsi="Arial"/>
                <w:sz w:val="16"/>
                <w:szCs w:val="16"/>
                <w:color w:val="4B4B4B"/>
              </w:rPr>
              <w:t>2011</w:t>
            </w:r>
          </w:p>
        </w:tc>
        <w:tc>
          <w:tcPr>
            <w:tcW w:w="0" w:type="dxa"/>
            <w:vAlign w:val="bottom"/>
          </w:tcPr>
          <w:p>
            <w:pPr>
              <w:spacing w:after="0"/>
              <w:rPr>
                <w:sz w:val="1"/>
                <w:szCs w:val="1"/>
                <w:color w:val="auto"/>
              </w:rPr>
            </w:pPr>
          </w:p>
        </w:tc>
      </w:tr>
      <w:tr>
        <w:trPr>
          <w:trHeight w:val="94"/>
        </w:trPr>
        <w:tc>
          <w:tcPr>
            <w:tcW w:w="140" w:type="dxa"/>
            <w:vAlign w:val="bottom"/>
          </w:tcPr>
          <w:p>
            <w:pPr>
              <w:spacing w:after="0"/>
              <w:rPr>
                <w:sz w:val="8"/>
                <w:szCs w:val="8"/>
                <w:color w:val="auto"/>
              </w:rPr>
            </w:pPr>
          </w:p>
        </w:tc>
        <w:tc>
          <w:tcPr>
            <w:tcW w:w="250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5020" w:type="dxa"/>
            <w:vAlign w:val="bottom"/>
            <w:vMerge w:val="restart"/>
          </w:tcPr>
          <w:p>
            <w:pPr>
              <w:ind w:left="340"/>
              <w:spacing w:after="0"/>
              <w:rPr>
                <w:sz w:val="20"/>
                <w:szCs w:val="20"/>
                <w:color w:val="auto"/>
              </w:rPr>
            </w:pPr>
            <w:r>
              <w:rPr>
                <w:rFonts w:ascii="Arial" w:cs="Arial" w:eastAsia="Arial" w:hAnsi="Arial"/>
                <w:sz w:val="16"/>
                <w:szCs w:val="16"/>
                <w:color w:val="4B4B4B"/>
              </w:rPr>
              <w:t>the Board</w:t>
            </w: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20" w:type="dxa"/>
            <w:vAlign w:val="bottom"/>
            <w:vMerge w:val="continue"/>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140" w:type="dxa"/>
            <w:vAlign w:val="bottom"/>
            <w:tcBorders>
              <w:bottom w:val="single" w:sz="8" w:color="E5E5E5"/>
            </w:tcBorders>
          </w:tcPr>
          <w:p>
            <w:pPr>
              <w:spacing w:after="0"/>
              <w:rPr>
                <w:sz w:val="3"/>
                <w:szCs w:val="3"/>
                <w:color w:val="auto"/>
              </w:rPr>
            </w:pPr>
          </w:p>
        </w:tc>
        <w:tc>
          <w:tcPr>
            <w:tcW w:w="2500" w:type="dxa"/>
            <w:vAlign w:val="bottom"/>
            <w:vMerge w:val="restart"/>
          </w:tcPr>
          <w:p>
            <w:pPr>
              <w:ind w:left="20"/>
              <w:spacing w:after="0"/>
              <w:rPr>
                <w:sz w:val="20"/>
                <w:szCs w:val="20"/>
                <w:color w:val="auto"/>
              </w:rPr>
            </w:pPr>
            <w:r>
              <w:rPr>
                <w:rFonts w:ascii="Arial" w:cs="Arial" w:eastAsia="Arial" w:hAnsi="Arial"/>
                <w:sz w:val="16"/>
                <w:szCs w:val="16"/>
                <w:color w:val="4B4B4B"/>
              </w:rPr>
              <w:t>Severin Hacker, Ph.D.</w:t>
            </w:r>
          </w:p>
        </w:tc>
        <w:tc>
          <w:tcPr>
            <w:tcW w:w="1540" w:type="dxa"/>
            <w:vAlign w:val="bottom"/>
            <w:vMerge w:val="restart"/>
          </w:tcPr>
          <w:p>
            <w:pPr>
              <w:jc w:val="center"/>
              <w:ind w:left="479"/>
              <w:spacing w:after="0"/>
              <w:rPr>
                <w:sz w:val="20"/>
                <w:szCs w:val="20"/>
                <w:color w:val="auto"/>
              </w:rPr>
            </w:pPr>
            <w:r>
              <w:rPr>
                <w:rFonts w:ascii="Arial" w:cs="Arial" w:eastAsia="Arial" w:hAnsi="Arial"/>
                <w:sz w:val="16"/>
                <w:szCs w:val="16"/>
                <w:color w:val="4B4B4B"/>
              </w:rPr>
              <w:t>37</w:t>
            </w:r>
          </w:p>
        </w:tc>
        <w:tc>
          <w:tcPr>
            <w:tcW w:w="5020" w:type="dxa"/>
            <w:vAlign w:val="bottom"/>
            <w:vMerge w:val="restart"/>
          </w:tcPr>
          <w:p>
            <w:pPr>
              <w:ind w:left="340"/>
              <w:spacing w:after="0"/>
              <w:rPr>
                <w:sz w:val="20"/>
                <w:szCs w:val="20"/>
                <w:color w:val="auto"/>
              </w:rPr>
            </w:pPr>
            <w:r>
              <w:rPr>
                <w:rFonts w:ascii="Arial" w:cs="Arial" w:eastAsia="Arial" w:hAnsi="Arial"/>
                <w:sz w:val="16"/>
                <w:szCs w:val="16"/>
                <w:color w:val="4B4B4B"/>
              </w:rPr>
              <w:t>Chief Technology Officer and Director</w:t>
            </w:r>
          </w:p>
        </w:tc>
        <w:tc>
          <w:tcPr>
            <w:tcW w:w="2020" w:type="dxa"/>
            <w:vAlign w:val="bottom"/>
            <w:vMerge w:val="restart"/>
          </w:tcPr>
          <w:p>
            <w:pPr>
              <w:jc w:val="center"/>
              <w:spacing w:after="0"/>
              <w:rPr>
                <w:sz w:val="20"/>
                <w:szCs w:val="20"/>
                <w:color w:val="auto"/>
              </w:rPr>
            </w:pPr>
            <w:r>
              <w:rPr>
                <w:rFonts w:ascii="Arial" w:cs="Arial" w:eastAsia="Arial" w:hAnsi="Arial"/>
                <w:sz w:val="16"/>
                <w:szCs w:val="16"/>
                <w:color w:val="4B4B4B"/>
              </w:rPr>
              <w:t>2011</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250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502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40" w:type="dxa"/>
            <w:vAlign w:val="bottom"/>
            <w:tcBorders>
              <w:bottom w:val="single" w:sz="8" w:color="E5E5E5"/>
            </w:tcBorders>
          </w:tcPr>
          <w:p>
            <w:pPr>
              <w:spacing w:after="0"/>
              <w:rPr>
                <w:sz w:val="3"/>
                <w:szCs w:val="3"/>
                <w:color w:val="auto"/>
              </w:rPr>
            </w:pPr>
          </w:p>
        </w:tc>
        <w:tc>
          <w:tcPr>
            <w:tcW w:w="2500" w:type="dxa"/>
            <w:vAlign w:val="bottom"/>
            <w:vMerge w:val="restart"/>
          </w:tcPr>
          <w:p>
            <w:pPr>
              <w:ind w:left="20"/>
              <w:spacing w:after="0"/>
              <w:rPr>
                <w:sz w:val="20"/>
                <w:szCs w:val="20"/>
                <w:color w:val="auto"/>
              </w:rPr>
            </w:pPr>
            <w:r>
              <w:rPr>
                <w:rFonts w:ascii="Arial" w:cs="Arial" w:eastAsia="Arial" w:hAnsi="Arial"/>
                <w:sz w:val="16"/>
                <w:szCs w:val="16"/>
                <w:color w:val="4B4B4B"/>
              </w:rPr>
              <w:t>Matthew Skaruppa</w:t>
            </w:r>
          </w:p>
        </w:tc>
        <w:tc>
          <w:tcPr>
            <w:tcW w:w="1540" w:type="dxa"/>
            <w:vAlign w:val="bottom"/>
            <w:vMerge w:val="restart"/>
          </w:tcPr>
          <w:p>
            <w:pPr>
              <w:jc w:val="center"/>
              <w:ind w:left="479"/>
              <w:spacing w:after="0"/>
              <w:rPr>
                <w:sz w:val="20"/>
                <w:szCs w:val="20"/>
                <w:color w:val="auto"/>
              </w:rPr>
            </w:pPr>
            <w:r>
              <w:rPr>
                <w:rFonts w:ascii="Arial" w:cs="Arial" w:eastAsia="Arial" w:hAnsi="Arial"/>
                <w:sz w:val="16"/>
                <w:szCs w:val="16"/>
                <w:color w:val="4B4B4B"/>
              </w:rPr>
              <w:t>40</w:t>
            </w:r>
          </w:p>
        </w:tc>
        <w:tc>
          <w:tcPr>
            <w:tcW w:w="5020" w:type="dxa"/>
            <w:vAlign w:val="bottom"/>
            <w:vMerge w:val="restart"/>
          </w:tcPr>
          <w:p>
            <w:pPr>
              <w:ind w:left="340"/>
              <w:spacing w:after="0"/>
              <w:rPr>
                <w:sz w:val="20"/>
                <w:szCs w:val="20"/>
                <w:color w:val="auto"/>
              </w:rPr>
            </w:pPr>
            <w:r>
              <w:rPr>
                <w:rFonts w:ascii="Arial" w:cs="Arial" w:eastAsia="Arial" w:hAnsi="Arial"/>
                <w:sz w:val="16"/>
                <w:szCs w:val="16"/>
                <w:color w:val="4B4B4B"/>
              </w:rPr>
              <w:t>Chief Financial Officer</w:t>
            </w:r>
          </w:p>
        </w:tc>
        <w:tc>
          <w:tcPr>
            <w:tcW w:w="2020" w:type="dxa"/>
            <w:vAlign w:val="bottom"/>
            <w:vMerge w:val="restart"/>
          </w:tcPr>
          <w:p>
            <w:pPr>
              <w:jc w:val="center"/>
              <w:spacing w:after="0"/>
              <w:rPr>
                <w:sz w:val="20"/>
                <w:szCs w:val="20"/>
                <w:color w:val="auto"/>
              </w:rPr>
            </w:pPr>
            <w:r>
              <w:rPr>
                <w:rFonts w:ascii="Arial" w:cs="Arial" w:eastAsia="Arial" w:hAnsi="Arial"/>
                <w:sz w:val="16"/>
                <w:szCs w:val="16"/>
                <w:color w:val="4B4B4B"/>
              </w:rPr>
              <w:t>2020</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250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502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40" w:type="dxa"/>
            <w:vAlign w:val="bottom"/>
            <w:tcBorders>
              <w:bottom w:val="single" w:sz="8" w:color="E5E5E5"/>
            </w:tcBorders>
          </w:tcPr>
          <w:p>
            <w:pPr>
              <w:spacing w:after="0"/>
              <w:rPr>
                <w:sz w:val="3"/>
                <w:szCs w:val="3"/>
                <w:color w:val="auto"/>
              </w:rPr>
            </w:pPr>
          </w:p>
        </w:tc>
        <w:tc>
          <w:tcPr>
            <w:tcW w:w="2500" w:type="dxa"/>
            <w:vAlign w:val="bottom"/>
            <w:vMerge w:val="restart"/>
          </w:tcPr>
          <w:p>
            <w:pPr>
              <w:ind w:left="20"/>
              <w:spacing w:after="0"/>
              <w:rPr>
                <w:sz w:val="20"/>
                <w:szCs w:val="20"/>
                <w:color w:val="auto"/>
              </w:rPr>
            </w:pPr>
            <w:r>
              <w:rPr>
                <w:rFonts w:ascii="Arial" w:cs="Arial" w:eastAsia="Arial" w:hAnsi="Arial"/>
                <w:sz w:val="16"/>
                <w:szCs w:val="16"/>
                <w:color w:val="4B4B4B"/>
              </w:rPr>
              <w:t>Robert Meese</w:t>
            </w:r>
          </w:p>
        </w:tc>
        <w:tc>
          <w:tcPr>
            <w:tcW w:w="1540" w:type="dxa"/>
            <w:vAlign w:val="bottom"/>
            <w:vMerge w:val="restart"/>
          </w:tcPr>
          <w:p>
            <w:pPr>
              <w:jc w:val="center"/>
              <w:ind w:left="479"/>
              <w:spacing w:after="0"/>
              <w:rPr>
                <w:sz w:val="20"/>
                <w:szCs w:val="20"/>
                <w:color w:val="auto"/>
              </w:rPr>
            </w:pPr>
            <w:r>
              <w:rPr>
                <w:rFonts w:ascii="Arial" w:cs="Arial" w:eastAsia="Arial" w:hAnsi="Arial"/>
                <w:sz w:val="16"/>
                <w:szCs w:val="16"/>
                <w:color w:val="4B4B4B"/>
              </w:rPr>
              <w:t>45</w:t>
            </w:r>
          </w:p>
        </w:tc>
        <w:tc>
          <w:tcPr>
            <w:tcW w:w="5020" w:type="dxa"/>
            <w:vAlign w:val="bottom"/>
            <w:vMerge w:val="restart"/>
          </w:tcPr>
          <w:p>
            <w:pPr>
              <w:ind w:left="340"/>
              <w:spacing w:after="0"/>
              <w:rPr>
                <w:sz w:val="20"/>
                <w:szCs w:val="20"/>
                <w:color w:val="auto"/>
              </w:rPr>
            </w:pPr>
            <w:r>
              <w:rPr>
                <w:rFonts w:ascii="Arial" w:cs="Arial" w:eastAsia="Arial" w:hAnsi="Arial"/>
                <w:sz w:val="16"/>
                <w:szCs w:val="16"/>
                <w:color w:val="4B4B4B"/>
              </w:rPr>
              <w:t>Chief Business Officer</w:t>
            </w:r>
          </w:p>
        </w:tc>
        <w:tc>
          <w:tcPr>
            <w:tcW w:w="2020" w:type="dxa"/>
            <w:vAlign w:val="bottom"/>
            <w:vMerge w:val="restart"/>
          </w:tcPr>
          <w:p>
            <w:pPr>
              <w:jc w:val="center"/>
              <w:spacing w:after="0"/>
              <w:rPr>
                <w:sz w:val="20"/>
                <w:szCs w:val="20"/>
                <w:color w:val="auto"/>
              </w:rPr>
            </w:pPr>
            <w:r>
              <w:rPr>
                <w:rFonts w:ascii="Arial" w:cs="Arial" w:eastAsia="Arial" w:hAnsi="Arial"/>
                <w:sz w:val="16"/>
                <w:szCs w:val="16"/>
                <w:color w:val="4B4B4B"/>
              </w:rPr>
              <w:t>2021</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250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502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40" w:type="dxa"/>
            <w:vAlign w:val="bottom"/>
            <w:tcBorders>
              <w:bottom w:val="single" w:sz="8" w:color="E5E5E5"/>
            </w:tcBorders>
          </w:tcPr>
          <w:p>
            <w:pPr>
              <w:spacing w:after="0"/>
              <w:rPr>
                <w:sz w:val="3"/>
                <w:szCs w:val="3"/>
                <w:color w:val="auto"/>
              </w:rPr>
            </w:pPr>
          </w:p>
        </w:tc>
        <w:tc>
          <w:tcPr>
            <w:tcW w:w="2500" w:type="dxa"/>
            <w:vAlign w:val="bottom"/>
            <w:vMerge w:val="restart"/>
          </w:tcPr>
          <w:p>
            <w:pPr>
              <w:ind w:left="20"/>
              <w:spacing w:after="0"/>
              <w:rPr>
                <w:sz w:val="20"/>
                <w:szCs w:val="20"/>
                <w:color w:val="auto"/>
              </w:rPr>
            </w:pPr>
            <w:r>
              <w:rPr>
                <w:rFonts w:ascii="Arial" w:cs="Arial" w:eastAsia="Arial" w:hAnsi="Arial"/>
                <w:sz w:val="16"/>
                <w:szCs w:val="16"/>
                <w:color w:val="4B4B4B"/>
              </w:rPr>
              <w:t>Natalie Glance, Ph.D.</w:t>
            </w:r>
          </w:p>
        </w:tc>
        <w:tc>
          <w:tcPr>
            <w:tcW w:w="1540" w:type="dxa"/>
            <w:vAlign w:val="bottom"/>
            <w:vMerge w:val="restart"/>
          </w:tcPr>
          <w:p>
            <w:pPr>
              <w:jc w:val="center"/>
              <w:ind w:left="479"/>
              <w:spacing w:after="0"/>
              <w:rPr>
                <w:sz w:val="20"/>
                <w:szCs w:val="20"/>
                <w:color w:val="auto"/>
              </w:rPr>
            </w:pPr>
            <w:r>
              <w:rPr>
                <w:rFonts w:ascii="Arial" w:cs="Arial" w:eastAsia="Arial" w:hAnsi="Arial"/>
                <w:sz w:val="16"/>
                <w:szCs w:val="16"/>
                <w:color w:val="4B4B4B"/>
              </w:rPr>
              <w:t>54</w:t>
            </w:r>
          </w:p>
        </w:tc>
        <w:tc>
          <w:tcPr>
            <w:tcW w:w="5020" w:type="dxa"/>
            <w:vAlign w:val="bottom"/>
            <w:vMerge w:val="restart"/>
          </w:tcPr>
          <w:p>
            <w:pPr>
              <w:ind w:left="340"/>
              <w:spacing w:after="0"/>
              <w:rPr>
                <w:sz w:val="20"/>
                <w:szCs w:val="20"/>
                <w:color w:val="auto"/>
              </w:rPr>
            </w:pPr>
            <w:r>
              <w:rPr>
                <w:rFonts w:ascii="Arial" w:cs="Arial" w:eastAsia="Arial" w:hAnsi="Arial"/>
                <w:sz w:val="16"/>
                <w:szCs w:val="16"/>
                <w:color w:val="4B4B4B"/>
              </w:rPr>
              <w:t>Senior Vice President, Engineering</w:t>
            </w:r>
          </w:p>
        </w:tc>
        <w:tc>
          <w:tcPr>
            <w:tcW w:w="2020" w:type="dxa"/>
            <w:vAlign w:val="bottom"/>
            <w:vMerge w:val="restart"/>
          </w:tcPr>
          <w:p>
            <w:pPr>
              <w:jc w:val="center"/>
              <w:spacing w:after="0"/>
              <w:rPr>
                <w:sz w:val="20"/>
                <w:szCs w:val="20"/>
                <w:color w:val="auto"/>
              </w:rPr>
            </w:pPr>
            <w:r>
              <w:rPr>
                <w:rFonts w:ascii="Arial" w:cs="Arial" w:eastAsia="Arial" w:hAnsi="Arial"/>
                <w:sz w:val="16"/>
                <w:szCs w:val="16"/>
                <w:color w:val="4B4B4B"/>
              </w:rPr>
              <w:t>2019</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250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502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40" w:type="dxa"/>
            <w:vAlign w:val="bottom"/>
            <w:tcBorders>
              <w:bottom w:val="single" w:sz="8" w:color="E5E5E5"/>
            </w:tcBorders>
          </w:tcPr>
          <w:p>
            <w:pPr>
              <w:spacing w:after="0"/>
              <w:rPr>
                <w:sz w:val="3"/>
                <w:szCs w:val="3"/>
                <w:color w:val="auto"/>
              </w:rPr>
            </w:pPr>
          </w:p>
        </w:tc>
        <w:tc>
          <w:tcPr>
            <w:tcW w:w="2500" w:type="dxa"/>
            <w:vAlign w:val="bottom"/>
            <w:vMerge w:val="restart"/>
          </w:tcPr>
          <w:p>
            <w:pPr>
              <w:ind w:left="20"/>
              <w:spacing w:after="0"/>
              <w:rPr>
                <w:sz w:val="20"/>
                <w:szCs w:val="20"/>
                <w:color w:val="auto"/>
              </w:rPr>
            </w:pPr>
            <w:r>
              <w:rPr>
                <w:rFonts w:ascii="Arial" w:cs="Arial" w:eastAsia="Arial" w:hAnsi="Arial"/>
                <w:sz w:val="16"/>
                <w:szCs w:val="16"/>
                <w:color w:val="4B4B4B"/>
              </w:rPr>
              <w:t>Stephen Chen</w:t>
            </w:r>
          </w:p>
        </w:tc>
        <w:tc>
          <w:tcPr>
            <w:tcW w:w="1540" w:type="dxa"/>
            <w:vAlign w:val="bottom"/>
            <w:vMerge w:val="restart"/>
          </w:tcPr>
          <w:p>
            <w:pPr>
              <w:jc w:val="center"/>
              <w:ind w:left="479"/>
              <w:spacing w:after="0"/>
              <w:rPr>
                <w:sz w:val="20"/>
                <w:szCs w:val="20"/>
                <w:color w:val="auto"/>
              </w:rPr>
            </w:pPr>
            <w:r>
              <w:rPr>
                <w:rFonts w:ascii="Arial" w:cs="Arial" w:eastAsia="Arial" w:hAnsi="Arial"/>
                <w:sz w:val="16"/>
                <w:szCs w:val="16"/>
                <w:color w:val="4B4B4B"/>
              </w:rPr>
              <w:t>48</w:t>
            </w:r>
          </w:p>
        </w:tc>
        <w:tc>
          <w:tcPr>
            <w:tcW w:w="5020" w:type="dxa"/>
            <w:vAlign w:val="bottom"/>
            <w:vMerge w:val="restart"/>
          </w:tcPr>
          <w:p>
            <w:pPr>
              <w:ind w:left="340"/>
              <w:spacing w:after="0"/>
              <w:rPr>
                <w:sz w:val="20"/>
                <w:szCs w:val="20"/>
                <w:color w:val="auto"/>
              </w:rPr>
            </w:pPr>
            <w:r>
              <w:rPr>
                <w:rFonts w:ascii="Arial" w:cs="Arial" w:eastAsia="Arial" w:hAnsi="Arial"/>
                <w:sz w:val="16"/>
                <w:szCs w:val="16"/>
                <w:color w:val="4B4B4B"/>
              </w:rPr>
              <w:t>General Counsel</w:t>
            </w:r>
          </w:p>
        </w:tc>
        <w:tc>
          <w:tcPr>
            <w:tcW w:w="2020" w:type="dxa"/>
            <w:vAlign w:val="bottom"/>
            <w:vMerge w:val="restart"/>
          </w:tcPr>
          <w:p>
            <w:pPr>
              <w:jc w:val="center"/>
              <w:spacing w:after="0"/>
              <w:rPr>
                <w:sz w:val="20"/>
                <w:szCs w:val="20"/>
                <w:color w:val="auto"/>
              </w:rPr>
            </w:pPr>
            <w:r>
              <w:rPr>
                <w:rFonts w:ascii="Arial" w:cs="Arial" w:eastAsia="Arial" w:hAnsi="Arial"/>
                <w:sz w:val="16"/>
                <w:szCs w:val="16"/>
                <w:color w:val="4B4B4B"/>
              </w:rPr>
              <w:t>2020</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250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502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40" w:type="dxa"/>
            <w:vAlign w:val="bottom"/>
            <w:tcBorders>
              <w:bottom w:val="single" w:sz="8" w:color="E5E5E5"/>
            </w:tcBorders>
          </w:tcPr>
          <w:p>
            <w:pPr>
              <w:spacing w:after="0"/>
              <w:rPr>
                <w:sz w:val="3"/>
                <w:szCs w:val="3"/>
                <w:color w:val="auto"/>
              </w:rPr>
            </w:pPr>
          </w:p>
        </w:tc>
        <w:tc>
          <w:tcPr>
            <w:tcW w:w="25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50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-26670</wp:posOffset>
            </wp:positionV>
            <wp:extent cx="705485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-207010</wp:posOffset>
            </wp:positionV>
            <wp:extent cx="705485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-386715</wp:posOffset>
            </wp:positionV>
            <wp:extent cx="705485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-567055</wp:posOffset>
            </wp:positionV>
            <wp:extent cx="705485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-747395</wp:posOffset>
            </wp:positionV>
            <wp:extent cx="705485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-927100</wp:posOffset>
            </wp:positionV>
            <wp:extent cx="705485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5485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page 14 of this Proxy Statement for the biographies of Luis von Ahn and Severin 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140335</wp:posOffset>
            </wp:positionV>
            <wp:extent cx="1328420" cy="13290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r>
    </w:p>
    <w:p>
      <w:pPr>
        <w:spacing w:after="0" w:line="219" w:lineRule="exact"/>
        <w:rPr>
          <w:sz w:val="20"/>
          <w:szCs w:val="20"/>
          <w:color w:val="auto"/>
        </w:rPr>
      </w:pPr>
    </w:p>
    <w:p>
      <w:pPr>
        <w:ind w:left="2880" w:right="60"/>
        <w:spacing w:after="0" w:line="275" w:lineRule="auto"/>
        <w:rPr>
          <w:sz w:val="20"/>
          <w:szCs w:val="20"/>
          <w:color w:val="auto"/>
        </w:rPr>
      </w:pPr>
      <w:r>
        <w:rPr>
          <w:rFonts w:ascii="Arial" w:cs="Arial" w:eastAsia="Arial" w:hAnsi="Arial"/>
          <w:sz w:val="18"/>
          <w:szCs w:val="18"/>
          <w:b w:val="1"/>
          <w:bCs w:val="1"/>
          <w:color w:val="4B4B4B"/>
        </w:rPr>
        <w:t xml:space="preserve">Matthew Skaruppa </w:t>
      </w:r>
      <w:r>
        <w:rPr>
          <w:rFonts w:ascii="Arial" w:cs="Arial" w:eastAsia="Arial" w:hAnsi="Arial"/>
          <w:sz w:val="18"/>
          <w:szCs w:val="18"/>
          <w:color w:val="4B4B4B"/>
        </w:rPr>
        <w:t>has served as our Chief Financial Officer since February 2020. From January 2016</w:t>
      </w:r>
      <w:r>
        <w:rPr>
          <w:rFonts w:ascii="Arial" w:cs="Arial" w:eastAsia="Arial" w:hAnsi="Arial"/>
          <w:sz w:val="18"/>
          <w:szCs w:val="18"/>
          <w:b w:val="1"/>
          <w:bCs w:val="1"/>
          <w:color w:val="4B4B4B"/>
        </w:rPr>
        <w:t xml:space="preserve"> </w:t>
      </w:r>
      <w:r>
        <w:rPr>
          <w:rFonts w:ascii="Arial" w:cs="Arial" w:eastAsia="Arial" w:hAnsi="Arial"/>
          <w:sz w:val="18"/>
          <w:szCs w:val="18"/>
          <w:color w:val="4B4B4B"/>
        </w:rPr>
        <w:t>to February 2020, he served as a Vice President of Goldman Sachs. Previously, Mr. Skaruppa served as Principal at KKR Capstone from 2010 to 2015 and as a consultant at Bain &amp; Company from 2004 to 2008. Mr. Skaruppa holds a B.S. in Chemical Engineering from Northwestern University and an M.B.A. from the Stanford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830580</wp:posOffset>
            </wp:positionV>
            <wp:extent cx="1328420" cy="13284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28420"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80" w:right="220"/>
        <w:spacing w:after="0" w:line="273" w:lineRule="auto"/>
        <w:rPr>
          <w:sz w:val="20"/>
          <w:szCs w:val="20"/>
          <w:color w:val="auto"/>
        </w:rPr>
      </w:pPr>
      <w:r>
        <w:rPr>
          <w:rFonts w:ascii="Arial" w:cs="Arial" w:eastAsia="Arial" w:hAnsi="Arial"/>
          <w:sz w:val="18"/>
          <w:szCs w:val="18"/>
          <w:b w:val="1"/>
          <w:bCs w:val="1"/>
          <w:color w:val="4B4B4B"/>
        </w:rPr>
        <w:t xml:space="preserve">Robert Meese </w:t>
      </w:r>
      <w:r>
        <w:rPr>
          <w:rFonts w:ascii="Arial" w:cs="Arial" w:eastAsia="Arial" w:hAnsi="Arial"/>
          <w:sz w:val="18"/>
          <w:szCs w:val="18"/>
          <w:color w:val="4B4B4B"/>
        </w:rPr>
        <w:t>has served as our Chief Business Officer since March 2021, after having served as our</w:t>
      </w:r>
      <w:r>
        <w:rPr>
          <w:rFonts w:ascii="Arial" w:cs="Arial" w:eastAsia="Arial" w:hAnsi="Arial"/>
          <w:sz w:val="18"/>
          <w:szCs w:val="18"/>
          <w:b w:val="1"/>
          <w:bCs w:val="1"/>
          <w:color w:val="4B4B4B"/>
        </w:rPr>
        <w:t xml:space="preserve"> </w:t>
      </w:r>
      <w:r>
        <w:rPr>
          <w:rFonts w:ascii="Arial" w:cs="Arial" w:eastAsia="Arial" w:hAnsi="Arial"/>
          <w:sz w:val="18"/>
          <w:szCs w:val="18"/>
          <w:color w:val="4B4B4B"/>
        </w:rPr>
        <w:t>Chief Revenue Officer from December 2018 to March 2021 and our Vice President of Business from September 2016 to December 2018. From August 2008 to September 2016, he held various roles at Google, including most recently as Director, Global Head of Games Business Development, Google Play. Mr. Meese holds a B.S. in Economics and a B.S. in Computer Science from the University of Pennsylvania and an M.B.A. from the Massachusetts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1294765</wp:posOffset>
            </wp:positionV>
            <wp:extent cx="71062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18</w:t>
            </w:r>
          </w:p>
        </w:tc>
      </w:tr>
    </w:tbl>
    <w:p>
      <w:pPr>
        <w:sectPr>
          <w:pgSz w:w="11900" w:h="16838" w:orient="portrait"/>
          <w:cols w:equalWidth="0" w:num="1">
            <w:col w:w="11240"/>
          </w:cols>
          <w:pgMar w:left="320" w:top="1307" w:right="339" w:bottom="1440" w:gutter="0" w:footer="0" w:header="0"/>
        </w:sectPr>
      </w:pPr>
    </w:p>
    <w:bookmarkStart w:id="23" w:name="page24"/>
    <w:bookmarkEnd w:id="23"/>
    <w:p>
      <w:pPr>
        <w:ind w:left="2840"/>
        <w:spacing w:after="0" w:line="275" w:lineRule="auto"/>
        <w:rPr>
          <w:sz w:val="20"/>
          <w:szCs w:val="20"/>
          <w:color w:val="auto"/>
        </w:rPr>
      </w:pPr>
      <w:r>
        <w:rPr>
          <w:rFonts w:ascii="Arial" w:cs="Arial" w:eastAsia="Arial" w:hAnsi="Arial"/>
          <w:sz w:val="18"/>
          <w:szCs w:val="18"/>
          <w:b w:val="1"/>
          <w:bCs w:val="1"/>
          <w:color w:val="4B4B4B"/>
        </w:rPr>
        <w:drawing>
          <wp:anchor simplePos="0" relativeHeight="251657728" behindDoc="1" locked="0" layoutInCell="0" allowOverlap="1">
            <wp:simplePos x="0" y="0"/>
            <wp:positionH relativeFrom="page">
              <wp:posOffset>328295</wp:posOffset>
            </wp:positionH>
            <wp:positionV relativeFrom="page">
              <wp:posOffset>868680</wp:posOffset>
            </wp:positionV>
            <wp:extent cx="1328420" cy="13290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t xml:space="preserve">Natalie Glance, Ph.D. </w:t>
      </w:r>
      <w:r>
        <w:rPr>
          <w:rFonts w:ascii="Arial" w:cs="Arial" w:eastAsia="Arial" w:hAnsi="Arial"/>
          <w:sz w:val="18"/>
          <w:szCs w:val="18"/>
          <w:color w:val="4B4B4B"/>
        </w:rPr>
        <w:t>has served as our Senior Vice President of Engineering since December 2019,</w:t>
      </w:r>
      <w:r>
        <w:rPr>
          <w:rFonts w:ascii="Arial" w:cs="Arial" w:eastAsia="Arial" w:hAnsi="Arial"/>
          <w:sz w:val="18"/>
          <w:szCs w:val="18"/>
          <w:b w:val="1"/>
          <w:bCs w:val="1"/>
          <w:color w:val="4B4B4B"/>
        </w:rPr>
        <w:t xml:space="preserve"> </w:t>
      </w:r>
      <w:r>
        <w:rPr>
          <w:rFonts w:ascii="Arial" w:cs="Arial" w:eastAsia="Arial" w:hAnsi="Arial"/>
          <w:sz w:val="18"/>
          <w:szCs w:val="18"/>
          <w:color w:val="4B4B4B"/>
        </w:rPr>
        <w:t>after having served as our Vice President of Engineering from February 2017 to December 2019 and our Director of Engineering from March 2015 to February 2017. From 2007 to 2015, Dr. Glance served as an Engineering Manager at Google. Dr. Glance holds a B.A. in Physics from Princeton University and a Ph.D. in Physics from Stanford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830580</wp:posOffset>
            </wp:positionV>
            <wp:extent cx="1328420" cy="13290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40" w:right="80"/>
        <w:spacing w:after="0" w:line="275" w:lineRule="auto"/>
        <w:rPr>
          <w:sz w:val="20"/>
          <w:szCs w:val="20"/>
          <w:color w:val="auto"/>
        </w:rPr>
      </w:pPr>
      <w:r>
        <w:rPr>
          <w:rFonts w:ascii="Arial" w:cs="Arial" w:eastAsia="Arial" w:hAnsi="Arial"/>
          <w:sz w:val="18"/>
          <w:szCs w:val="18"/>
          <w:b w:val="1"/>
          <w:bCs w:val="1"/>
          <w:color w:val="4B4B4B"/>
        </w:rPr>
        <w:t xml:space="preserve">Stephen Chen </w:t>
      </w:r>
      <w:r>
        <w:rPr>
          <w:rFonts w:ascii="Arial" w:cs="Arial" w:eastAsia="Arial" w:hAnsi="Arial"/>
          <w:sz w:val="18"/>
          <w:szCs w:val="18"/>
          <w:color w:val="4B4B4B"/>
        </w:rPr>
        <w:t>has served as our General Counsel since March 2020. From July 2014 to February</w:t>
      </w:r>
      <w:r>
        <w:rPr>
          <w:rFonts w:ascii="Arial" w:cs="Arial" w:eastAsia="Arial" w:hAnsi="Arial"/>
          <w:sz w:val="18"/>
          <w:szCs w:val="18"/>
          <w:b w:val="1"/>
          <w:bCs w:val="1"/>
          <w:color w:val="4B4B4B"/>
        </w:rPr>
        <w:t xml:space="preserve"> </w:t>
      </w:r>
      <w:r>
        <w:rPr>
          <w:rFonts w:ascii="Arial" w:cs="Arial" w:eastAsia="Arial" w:hAnsi="Arial"/>
          <w:sz w:val="18"/>
          <w:szCs w:val="18"/>
          <w:color w:val="4B4B4B"/>
        </w:rPr>
        <w:t>2020, he served as Associate General Counsel for Proofpoint, Inc., an enterprise security company. Mr. Chen previously served as Associate General Counsel of Marin Software, Director and Senior Counsel, Mergers and Acquisition at VMWare, Inc. and Legal Director of Yahoo!. Mr. Chen holds a B.A. in History and a J.D. from Harvard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1438910</wp:posOffset>
            </wp:positionV>
            <wp:extent cx="71062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19</w:t>
            </w:r>
          </w:p>
        </w:tc>
      </w:tr>
    </w:tbl>
    <w:p>
      <w:pPr>
        <w:sectPr>
          <w:pgSz w:w="11900" w:h="16838" w:orient="portrait"/>
          <w:cols w:equalWidth="0" w:num="1">
            <w:col w:w="11160"/>
          </w:cols>
          <w:pgMar w:left="360" w:top="1386" w:right="379" w:bottom="1440" w:gutter="0" w:footer="0" w:header="0"/>
        </w:sectPr>
      </w:pPr>
    </w:p>
    <w:bookmarkStart w:id="24" w:name="page25"/>
    <w:bookmarkEnd w:id="24"/>
    <w:p>
      <w:pPr>
        <w:spacing w:after="0"/>
        <w:rPr>
          <w:sz w:val="20"/>
          <w:szCs w:val="20"/>
          <w:color w:val="auto"/>
        </w:rPr>
      </w:pPr>
      <w:r>
        <w:rPr>
          <w:rFonts w:ascii="Arial" w:cs="Arial" w:eastAsia="Arial" w:hAnsi="Arial"/>
          <w:sz w:val="36"/>
          <w:szCs w:val="36"/>
          <w:b w:val="1"/>
          <w:bCs w:val="1"/>
          <w:color w:val="4B4B4B"/>
        </w:rPr>
        <w:t>Corporate Governance</w:t>
      </w:r>
    </w:p>
    <w:p>
      <w:pPr>
        <w:spacing w:after="0" w:line="380"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Corporate Governance Guidelines</w:t>
      </w:r>
    </w:p>
    <w:p>
      <w:pPr>
        <w:spacing w:after="0" w:line="325" w:lineRule="exact"/>
        <w:rPr>
          <w:sz w:val="20"/>
          <w:szCs w:val="20"/>
          <w:color w:val="auto"/>
        </w:rPr>
      </w:pPr>
    </w:p>
    <w:p>
      <w:pPr>
        <w:jc w:val="both"/>
        <w:ind w:left="20" w:right="80"/>
        <w:spacing w:after="0" w:line="294" w:lineRule="auto"/>
        <w:rPr>
          <w:sz w:val="20"/>
          <w:szCs w:val="20"/>
          <w:color w:val="auto"/>
        </w:rPr>
      </w:pPr>
      <w:r>
        <w:rPr>
          <w:rFonts w:ascii="Arial" w:cs="Arial" w:eastAsia="Arial" w:hAnsi="Arial"/>
          <w:sz w:val="17"/>
          <w:szCs w:val="17"/>
          <w:color w:val="4B4B4B"/>
        </w:rPr>
        <w:t>Our Board of Directors has adopted Corporate Governance Guidelines. A copy of these Corporate Governance Guidelines can be found in the “Governance” section of the “Investors” page of our website located at www.investors.duolingo.com, or by writing to our Secretary at our offices at 5900 Penn Avenue, Pittsburgh, Pennsylvania 15206. Among the topics addressed in our Corporate Governance Guidelines are:</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40" w:type="dxa"/>
            <w:vAlign w:val="bottom"/>
          </w:tcPr>
          <w:p>
            <w:pPr>
              <w:spacing w:after="0"/>
              <w:rPr>
                <w:sz w:val="20"/>
                <w:szCs w:val="20"/>
                <w:color w:val="auto"/>
              </w:rPr>
            </w:pPr>
            <w:r>
              <w:rPr>
                <w:rFonts w:ascii="Arial" w:cs="Arial" w:eastAsia="Arial" w:hAnsi="Arial"/>
                <w:sz w:val="18"/>
                <w:szCs w:val="18"/>
                <w:color w:val="4B4B4B"/>
              </w:rPr>
              <w:t>•</w:t>
            </w:r>
          </w:p>
        </w:tc>
        <w:tc>
          <w:tcPr>
            <w:tcW w:w="4560" w:type="dxa"/>
            <w:vAlign w:val="bottom"/>
          </w:tcPr>
          <w:p>
            <w:pPr>
              <w:ind w:left="100"/>
              <w:spacing w:after="0"/>
              <w:rPr>
                <w:sz w:val="20"/>
                <w:szCs w:val="20"/>
                <w:color w:val="auto"/>
              </w:rPr>
            </w:pPr>
            <w:r>
              <w:rPr>
                <w:rFonts w:ascii="Arial" w:cs="Arial" w:eastAsia="Arial" w:hAnsi="Arial"/>
                <w:sz w:val="18"/>
                <w:szCs w:val="18"/>
                <w:color w:val="4B4B4B"/>
              </w:rPr>
              <w:t>Board independence and qualifications</w:t>
            </w:r>
          </w:p>
        </w:tc>
        <w:tc>
          <w:tcPr>
            <w:tcW w:w="1060" w:type="dxa"/>
            <w:vAlign w:val="bottom"/>
          </w:tcPr>
          <w:p>
            <w:pPr>
              <w:ind w:left="900"/>
              <w:spacing w:after="0"/>
              <w:rPr>
                <w:sz w:val="20"/>
                <w:szCs w:val="20"/>
                <w:color w:val="auto"/>
              </w:rPr>
            </w:pPr>
            <w:r>
              <w:rPr>
                <w:rFonts w:ascii="Arial" w:cs="Arial" w:eastAsia="Arial" w:hAnsi="Arial"/>
                <w:sz w:val="18"/>
                <w:szCs w:val="18"/>
                <w:color w:val="4B4B4B"/>
              </w:rPr>
              <w:t>•</w:t>
            </w:r>
          </w:p>
        </w:tc>
        <w:tc>
          <w:tcPr>
            <w:tcW w:w="4080" w:type="dxa"/>
            <w:vAlign w:val="bottom"/>
          </w:tcPr>
          <w:p>
            <w:pPr>
              <w:ind w:left="80"/>
              <w:spacing w:after="0"/>
              <w:rPr>
                <w:sz w:val="20"/>
                <w:szCs w:val="20"/>
                <w:color w:val="auto"/>
              </w:rPr>
            </w:pPr>
            <w:r>
              <w:rPr>
                <w:rFonts w:ascii="Arial" w:cs="Arial" w:eastAsia="Arial" w:hAnsi="Arial"/>
                <w:sz w:val="18"/>
                <w:szCs w:val="18"/>
                <w:color w:val="4B4B4B"/>
              </w:rPr>
              <w:t>Stock ownership</w:t>
            </w:r>
          </w:p>
        </w:tc>
      </w:tr>
      <w:tr>
        <w:trPr>
          <w:trHeight w:val="229"/>
        </w:trPr>
        <w:tc>
          <w:tcPr>
            <w:tcW w:w="140" w:type="dxa"/>
            <w:vAlign w:val="bottom"/>
          </w:tcPr>
          <w:p>
            <w:pPr>
              <w:spacing w:after="0"/>
              <w:rPr>
                <w:sz w:val="20"/>
                <w:szCs w:val="20"/>
                <w:color w:val="auto"/>
              </w:rPr>
            </w:pPr>
            <w:r>
              <w:rPr>
                <w:rFonts w:ascii="Arial" w:cs="Arial" w:eastAsia="Arial" w:hAnsi="Arial"/>
                <w:sz w:val="18"/>
                <w:szCs w:val="18"/>
                <w:color w:val="4B4B4B"/>
              </w:rPr>
              <w:t>•</w:t>
            </w:r>
          </w:p>
        </w:tc>
        <w:tc>
          <w:tcPr>
            <w:tcW w:w="4560" w:type="dxa"/>
            <w:vAlign w:val="bottom"/>
          </w:tcPr>
          <w:p>
            <w:pPr>
              <w:ind w:left="100"/>
              <w:spacing w:after="0"/>
              <w:rPr>
                <w:sz w:val="20"/>
                <w:szCs w:val="20"/>
                <w:color w:val="auto"/>
              </w:rPr>
            </w:pPr>
            <w:r>
              <w:rPr>
                <w:rFonts w:ascii="Arial" w:cs="Arial" w:eastAsia="Arial" w:hAnsi="Arial"/>
                <w:sz w:val="18"/>
                <w:szCs w:val="18"/>
                <w:color w:val="4B4B4B"/>
              </w:rPr>
              <w:t>Executive sessions of independent directors</w:t>
            </w:r>
          </w:p>
        </w:tc>
        <w:tc>
          <w:tcPr>
            <w:tcW w:w="1060" w:type="dxa"/>
            <w:vAlign w:val="bottom"/>
          </w:tcPr>
          <w:p>
            <w:pPr>
              <w:ind w:left="900"/>
              <w:spacing w:after="0"/>
              <w:rPr>
                <w:sz w:val="20"/>
                <w:szCs w:val="20"/>
                <w:color w:val="auto"/>
              </w:rPr>
            </w:pPr>
            <w:r>
              <w:rPr>
                <w:rFonts w:ascii="Arial" w:cs="Arial" w:eastAsia="Arial" w:hAnsi="Arial"/>
                <w:sz w:val="18"/>
                <w:szCs w:val="18"/>
                <w:color w:val="4B4B4B"/>
              </w:rPr>
              <w:t>•</w:t>
            </w:r>
          </w:p>
        </w:tc>
        <w:tc>
          <w:tcPr>
            <w:tcW w:w="4080" w:type="dxa"/>
            <w:vAlign w:val="bottom"/>
          </w:tcPr>
          <w:p>
            <w:pPr>
              <w:ind w:left="80"/>
              <w:spacing w:after="0"/>
              <w:rPr>
                <w:sz w:val="20"/>
                <w:szCs w:val="20"/>
                <w:color w:val="auto"/>
              </w:rPr>
            </w:pPr>
            <w:r>
              <w:rPr>
                <w:rFonts w:ascii="Arial" w:cs="Arial" w:eastAsia="Arial" w:hAnsi="Arial"/>
                <w:sz w:val="18"/>
                <w:szCs w:val="18"/>
                <w:color w:val="4B4B4B"/>
              </w:rPr>
              <w:t>Conflicts of interest</w:t>
            </w:r>
          </w:p>
        </w:tc>
      </w:tr>
      <w:tr>
        <w:trPr>
          <w:trHeight w:val="229"/>
        </w:trPr>
        <w:tc>
          <w:tcPr>
            <w:tcW w:w="140" w:type="dxa"/>
            <w:vAlign w:val="bottom"/>
          </w:tcPr>
          <w:p>
            <w:pPr>
              <w:spacing w:after="0"/>
              <w:rPr>
                <w:sz w:val="20"/>
                <w:szCs w:val="20"/>
                <w:color w:val="auto"/>
              </w:rPr>
            </w:pPr>
            <w:r>
              <w:rPr>
                <w:rFonts w:ascii="Arial" w:cs="Arial" w:eastAsia="Arial" w:hAnsi="Arial"/>
                <w:sz w:val="18"/>
                <w:szCs w:val="18"/>
                <w:color w:val="4B4B4B"/>
              </w:rPr>
              <w:t>•</w:t>
            </w:r>
          </w:p>
        </w:tc>
        <w:tc>
          <w:tcPr>
            <w:tcW w:w="4560" w:type="dxa"/>
            <w:vAlign w:val="bottom"/>
          </w:tcPr>
          <w:p>
            <w:pPr>
              <w:ind w:left="100"/>
              <w:spacing w:after="0"/>
              <w:rPr>
                <w:sz w:val="20"/>
                <w:szCs w:val="20"/>
                <w:color w:val="auto"/>
              </w:rPr>
            </w:pPr>
            <w:r>
              <w:rPr>
                <w:rFonts w:ascii="Arial" w:cs="Arial" w:eastAsia="Arial" w:hAnsi="Arial"/>
                <w:sz w:val="18"/>
                <w:szCs w:val="18"/>
                <w:color w:val="4B4B4B"/>
              </w:rPr>
              <w:t>Selection of new directors</w:t>
            </w:r>
          </w:p>
        </w:tc>
        <w:tc>
          <w:tcPr>
            <w:tcW w:w="5140" w:type="dxa"/>
            <w:vAlign w:val="bottom"/>
            <w:gridSpan w:val="2"/>
          </w:tcPr>
          <w:p>
            <w:pPr>
              <w:ind w:left="900"/>
              <w:spacing w:after="0"/>
              <w:rPr>
                <w:sz w:val="20"/>
                <w:szCs w:val="20"/>
                <w:color w:val="auto"/>
              </w:rPr>
            </w:pPr>
            <w:r>
              <w:rPr>
                <w:rFonts w:ascii="Arial" w:cs="Arial" w:eastAsia="Arial" w:hAnsi="Arial"/>
                <w:sz w:val="18"/>
                <w:szCs w:val="18"/>
                <w:color w:val="4B4B4B"/>
              </w:rPr>
              <w:t>•  Board access to senior management</w:t>
            </w:r>
          </w:p>
        </w:tc>
      </w:tr>
      <w:tr>
        <w:trPr>
          <w:trHeight w:val="230"/>
        </w:trPr>
        <w:tc>
          <w:tcPr>
            <w:tcW w:w="140" w:type="dxa"/>
            <w:vAlign w:val="bottom"/>
          </w:tcPr>
          <w:p>
            <w:pPr>
              <w:spacing w:after="0"/>
              <w:rPr>
                <w:sz w:val="20"/>
                <w:szCs w:val="20"/>
                <w:color w:val="auto"/>
              </w:rPr>
            </w:pPr>
            <w:r>
              <w:rPr>
                <w:rFonts w:ascii="Arial" w:cs="Arial" w:eastAsia="Arial" w:hAnsi="Arial"/>
                <w:sz w:val="18"/>
                <w:szCs w:val="18"/>
                <w:color w:val="4B4B4B"/>
              </w:rPr>
              <w:t>•</w:t>
            </w:r>
          </w:p>
        </w:tc>
        <w:tc>
          <w:tcPr>
            <w:tcW w:w="4560" w:type="dxa"/>
            <w:vAlign w:val="bottom"/>
          </w:tcPr>
          <w:p>
            <w:pPr>
              <w:ind w:left="100"/>
              <w:spacing w:after="0"/>
              <w:rPr>
                <w:sz w:val="20"/>
                <w:szCs w:val="20"/>
                <w:color w:val="auto"/>
              </w:rPr>
            </w:pPr>
            <w:r>
              <w:rPr>
                <w:rFonts w:ascii="Arial" w:cs="Arial" w:eastAsia="Arial" w:hAnsi="Arial"/>
                <w:sz w:val="18"/>
                <w:szCs w:val="18"/>
                <w:color w:val="4B4B4B"/>
              </w:rPr>
              <w:t>Director orientation and continuing education</w:t>
            </w:r>
          </w:p>
        </w:tc>
        <w:tc>
          <w:tcPr>
            <w:tcW w:w="5140" w:type="dxa"/>
            <w:vAlign w:val="bottom"/>
            <w:gridSpan w:val="2"/>
          </w:tcPr>
          <w:p>
            <w:pPr>
              <w:ind w:left="900"/>
              <w:spacing w:after="0"/>
              <w:rPr>
                <w:sz w:val="20"/>
                <w:szCs w:val="20"/>
                <w:color w:val="auto"/>
              </w:rPr>
            </w:pPr>
            <w:r>
              <w:rPr>
                <w:rFonts w:ascii="Arial" w:cs="Arial" w:eastAsia="Arial" w:hAnsi="Arial"/>
                <w:sz w:val="18"/>
                <w:szCs w:val="18"/>
                <w:color w:val="4B4B4B"/>
              </w:rPr>
              <w:t>•  Board access to independent advisors</w:t>
            </w:r>
          </w:p>
        </w:tc>
      </w:tr>
      <w:tr>
        <w:trPr>
          <w:trHeight w:val="229"/>
        </w:trPr>
        <w:tc>
          <w:tcPr>
            <w:tcW w:w="140" w:type="dxa"/>
            <w:vAlign w:val="bottom"/>
          </w:tcPr>
          <w:p>
            <w:pPr>
              <w:spacing w:after="0"/>
              <w:rPr>
                <w:sz w:val="20"/>
                <w:szCs w:val="20"/>
                <w:color w:val="auto"/>
              </w:rPr>
            </w:pPr>
            <w:r>
              <w:rPr>
                <w:rFonts w:ascii="Arial" w:cs="Arial" w:eastAsia="Arial" w:hAnsi="Arial"/>
                <w:sz w:val="18"/>
                <w:szCs w:val="18"/>
                <w:color w:val="4B4B4B"/>
              </w:rPr>
              <w:t>•</w:t>
            </w:r>
          </w:p>
        </w:tc>
        <w:tc>
          <w:tcPr>
            <w:tcW w:w="4560" w:type="dxa"/>
            <w:vAlign w:val="bottom"/>
          </w:tcPr>
          <w:p>
            <w:pPr>
              <w:ind w:left="100"/>
              <w:spacing w:after="0"/>
              <w:rPr>
                <w:sz w:val="20"/>
                <w:szCs w:val="20"/>
                <w:color w:val="auto"/>
              </w:rPr>
            </w:pPr>
            <w:r>
              <w:rPr>
                <w:rFonts w:ascii="Arial" w:cs="Arial" w:eastAsia="Arial" w:hAnsi="Arial"/>
                <w:sz w:val="18"/>
                <w:szCs w:val="18"/>
                <w:color w:val="4B4B4B"/>
              </w:rPr>
              <w:t>Limits on board service</w:t>
            </w:r>
          </w:p>
        </w:tc>
        <w:tc>
          <w:tcPr>
            <w:tcW w:w="1060" w:type="dxa"/>
            <w:vAlign w:val="bottom"/>
          </w:tcPr>
          <w:p>
            <w:pPr>
              <w:ind w:left="900"/>
              <w:spacing w:after="0"/>
              <w:rPr>
                <w:sz w:val="20"/>
                <w:szCs w:val="20"/>
                <w:color w:val="auto"/>
              </w:rPr>
            </w:pPr>
            <w:r>
              <w:rPr>
                <w:rFonts w:ascii="Arial" w:cs="Arial" w:eastAsia="Arial" w:hAnsi="Arial"/>
                <w:sz w:val="18"/>
                <w:szCs w:val="18"/>
                <w:color w:val="4B4B4B"/>
              </w:rPr>
              <w:t>•</w:t>
            </w:r>
          </w:p>
        </w:tc>
        <w:tc>
          <w:tcPr>
            <w:tcW w:w="4080" w:type="dxa"/>
            <w:vAlign w:val="bottom"/>
          </w:tcPr>
          <w:p>
            <w:pPr>
              <w:ind w:left="80"/>
              <w:spacing w:after="0"/>
              <w:rPr>
                <w:sz w:val="20"/>
                <w:szCs w:val="20"/>
                <w:color w:val="auto"/>
              </w:rPr>
            </w:pPr>
            <w:r>
              <w:rPr>
                <w:rFonts w:ascii="Arial" w:cs="Arial" w:eastAsia="Arial" w:hAnsi="Arial"/>
                <w:sz w:val="18"/>
                <w:szCs w:val="18"/>
                <w:color w:val="4B4B4B"/>
              </w:rPr>
              <w:t>Board self-evaluations</w:t>
            </w:r>
          </w:p>
        </w:tc>
      </w:tr>
      <w:tr>
        <w:trPr>
          <w:trHeight w:val="230"/>
        </w:trPr>
        <w:tc>
          <w:tcPr>
            <w:tcW w:w="140" w:type="dxa"/>
            <w:vAlign w:val="bottom"/>
          </w:tcPr>
          <w:p>
            <w:pPr>
              <w:spacing w:after="0"/>
              <w:rPr>
                <w:sz w:val="20"/>
                <w:szCs w:val="20"/>
                <w:color w:val="auto"/>
              </w:rPr>
            </w:pPr>
            <w:r>
              <w:rPr>
                <w:rFonts w:ascii="Arial" w:cs="Arial" w:eastAsia="Arial" w:hAnsi="Arial"/>
                <w:sz w:val="18"/>
                <w:szCs w:val="18"/>
                <w:color w:val="4B4B4B"/>
              </w:rPr>
              <w:t>•</w:t>
            </w:r>
          </w:p>
        </w:tc>
        <w:tc>
          <w:tcPr>
            <w:tcW w:w="4560" w:type="dxa"/>
            <w:vAlign w:val="bottom"/>
          </w:tcPr>
          <w:p>
            <w:pPr>
              <w:ind w:left="100"/>
              <w:spacing w:after="0"/>
              <w:rPr>
                <w:sz w:val="20"/>
                <w:szCs w:val="20"/>
                <w:color w:val="auto"/>
              </w:rPr>
            </w:pPr>
            <w:r>
              <w:rPr>
                <w:rFonts w:ascii="Arial" w:cs="Arial" w:eastAsia="Arial" w:hAnsi="Arial"/>
                <w:sz w:val="18"/>
                <w:szCs w:val="18"/>
                <w:color w:val="4B4B4B"/>
              </w:rPr>
              <w:t>Change of principal occupation</w:t>
            </w:r>
          </w:p>
        </w:tc>
        <w:tc>
          <w:tcPr>
            <w:tcW w:w="1060" w:type="dxa"/>
            <w:vAlign w:val="bottom"/>
          </w:tcPr>
          <w:p>
            <w:pPr>
              <w:ind w:left="900"/>
              <w:spacing w:after="0"/>
              <w:rPr>
                <w:sz w:val="20"/>
                <w:szCs w:val="20"/>
                <w:color w:val="auto"/>
              </w:rPr>
            </w:pPr>
            <w:r>
              <w:rPr>
                <w:rFonts w:ascii="Arial" w:cs="Arial" w:eastAsia="Arial" w:hAnsi="Arial"/>
                <w:sz w:val="18"/>
                <w:szCs w:val="18"/>
                <w:color w:val="4B4B4B"/>
              </w:rPr>
              <w:t>•</w:t>
            </w:r>
          </w:p>
        </w:tc>
        <w:tc>
          <w:tcPr>
            <w:tcW w:w="4080" w:type="dxa"/>
            <w:vAlign w:val="bottom"/>
          </w:tcPr>
          <w:p>
            <w:pPr>
              <w:ind w:left="80"/>
              <w:spacing w:after="0"/>
              <w:rPr>
                <w:sz w:val="20"/>
                <w:szCs w:val="20"/>
                <w:color w:val="auto"/>
              </w:rPr>
            </w:pPr>
            <w:r>
              <w:rPr>
                <w:rFonts w:ascii="Arial" w:cs="Arial" w:eastAsia="Arial" w:hAnsi="Arial"/>
                <w:sz w:val="18"/>
                <w:szCs w:val="18"/>
                <w:color w:val="4B4B4B"/>
              </w:rPr>
              <w:t>Board meetings</w:t>
            </w:r>
          </w:p>
        </w:tc>
      </w:tr>
      <w:tr>
        <w:trPr>
          <w:trHeight w:val="229"/>
        </w:trPr>
        <w:tc>
          <w:tcPr>
            <w:tcW w:w="140" w:type="dxa"/>
            <w:vAlign w:val="bottom"/>
          </w:tcPr>
          <w:p>
            <w:pPr>
              <w:spacing w:after="0"/>
              <w:rPr>
                <w:sz w:val="20"/>
                <w:szCs w:val="20"/>
                <w:color w:val="auto"/>
              </w:rPr>
            </w:pPr>
            <w:r>
              <w:rPr>
                <w:rFonts w:ascii="Arial" w:cs="Arial" w:eastAsia="Arial" w:hAnsi="Arial"/>
                <w:sz w:val="18"/>
                <w:szCs w:val="18"/>
                <w:color w:val="4B4B4B"/>
              </w:rPr>
              <w:t>•</w:t>
            </w:r>
          </w:p>
        </w:tc>
        <w:tc>
          <w:tcPr>
            <w:tcW w:w="4560" w:type="dxa"/>
            <w:vAlign w:val="bottom"/>
          </w:tcPr>
          <w:p>
            <w:pPr>
              <w:ind w:left="100"/>
              <w:spacing w:after="0"/>
              <w:rPr>
                <w:sz w:val="20"/>
                <w:szCs w:val="20"/>
                <w:color w:val="auto"/>
              </w:rPr>
            </w:pPr>
            <w:r>
              <w:rPr>
                <w:rFonts w:ascii="Arial" w:cs="Arial" w:eastAsia="Arial" w:hAnsi="Arial"/>
                <w:sz w:val="18"/>
                <w:szCs w:val="18"/>
                <w:color w:val="4B4B4B"/>
              </w:rPr>
              <w:t>Term limits</w:t>
            </w:r>
          </w:p>
        </w:tc>
        <w:tc>
          <w:tcPr>
            <w:tcW w:w="5140" w:type="dxa"/>
            <w:vAlign w:val="bottom"/>
            <w:gridSpan w:val="2"/>
          </w:tcPr>
          <w:p>
            <w:pPr>
              <w:ind w:left="900"/>
              <w:spacing w:after="0"/>
              <w:rPr>
                <w:sz w:val="20"/>
                <w:szCs w:val="20"/>
                <w:color w:val="auto"/>
              </w:rPr>
            </w:pPr>
            <w:r>
              <w:rPr>
                <w:rFonts w:ascii="Arial" w:cs="Arial" w:eastAsia="Arial" w:hAnsi="Arial"/>
                <w:sz w:val="18"/>
                <w:szCs w:val="18"/>
                <w:color w:val="4B4B4B"/>
              </w:rPr>
              <w:t>•  Meeting attendance by directors and non-directors</w:t>
            </w:r>
          </w:p>
        </w:tc>
      </w:tr>
      <w:tr>
        <w:trPr>
          <w:trHeight w:val="229"/>
        </w:trPr>
        <w:tc>
          <w:tcPr>
            <w:tcW w:w="140" w:type="dxa"/>
            <w:vAlign w:val="bottom"/>
          </w:tcPr>
          <w:p>
            <w:pPr>
              <w:spacing w:after="0"/>
              <w:rPr>
                <w:sz w:val="20"/>
                <w:szCs w:val="20"/>
                <w:color w:val="auto"/>
              </w:rPr>
            </w:pPr>
            <w:r>
              <w:rPr>
                <w:rFonts w:ascii="Arial" w:cs="Arial" w:eastAsia="Arial" w:hAnsi="Arial"/>
                <w:sz w:val="18"/>
                <w:szCs w:val="18"/>
                <w:color w:val="4B4B4B"/>
              </w:rPr>
              <w:t>•</w:t>
            </w:r>
          </w:p>
        </w:tc>
        <w:tc>
          <w:tcPr>
            <w:tcW w:w="4560" w:type="dxa"/>
            <w:vAlign w:val="bottom"/>
          </w:tcPr>
          <w:p>
            <w:pPr>
              <w:ind w:left="100"/>
              <w:spacing w:after="0"/>
              <w:rPr>
                <w:sz w:val="20"/>
                <w:szCs w:val="20"/>
                <w:color w:val="auto"/>
              </w:rPr>
            </w:pPr>
            <w:r>
              <w:rPr>
                <w:rFonts w:ascii="Arial" w:cs="Arial" w:eastAsia="Arial" w:hAnsi="Arial"/>
                <w:sz w:val="18"/>
                <w:szCs w:val="18"/>
                <w:color w:val="4B4B4B"/>
              </w:rPr>
              <w:t>Director responsibilities</w:t>
            </w:r>
          </w:p>
        </w:tc>
        <w:tc>
          <w:tcPr>
            <w:tcW w:w="1060" w:type="dxa"/>
            <w:vAlign w:val="bottom"/>
          </w:tcPr>
          <w:p>
            <w:pPr>
              <w:ind w:left="900"/>
              <w:spacing w:after="0"/>
              <w:rPr>
                <w:sz w:val="20"/>
                <w:szCs w:val="20"/>
                <w:color w:val="auto"/>
              </w:rPr>
            </w:pPr>
            <w:r>
              <w:rPr>
                <w:rFonts w:ascii="Arial" w:cs="Arial" w:eastAsia="Arial" w:hAnsi="Arial"/>
                <w:sz w:val="18"/>
                <w:szCs w:val="18"/>
                <w:color w:val="4B4B4B"/>
              </w:rPr>
              <w:t>•</w:t>
            </w:r>
          </w:p>
        </w:tc>
        <w:tc>
          <w:tcPr>
            <w:tcW w:w="4080" w:type="dxa"/>
            <w:vAlign w:val="bottom"/>
          </w:tcPr>
          <w:p>
            <w:pPr>
              <w:ind w:left="80"/>
              <w:spacing w:after="0"/>
              <w:rPr>
                <w:sz w:val="20"/>
                <w:szCs w:val="20"/>
                <w:color w:val="auto"/>
              </w:rPr>
            </w:pPr>
            <w:r>
              <w:rPr>
                <w:rFonts w:ascii="Arial" w:cs="Arial" w:eastAsia="Arial" w:hAnsi="Arial"/>
                <w:sz w:val="18"/>
                <w:szCs w:val="18"/>
                <w:color w:val="4B4B4B"/>
              </w:rPr>
              <w:t>Meeting materials</w:t>
            </w:r>
          </w:p>
        </w:tc>
      </w:tr>
      <w:tr>
        <w:trPr>
          <w:trHeight w:val="230"/>
        </w:trPr>
        <w:tc>
          <w:tcPr>
            <w:tcW w:w="140" w:type="dxa"/>
            <w:vAlign w:val="bottom"/>
          </w:tcPr>
          <w:p>
            <w:pPr>
              <w:spacing w:after="0"/>
              <w:rPr>
                <w:sz w:val="20"/>
                <w:szCs w:val="20"/>
                <w:color w:val="auto"/>
              </w:rPr>
            </w:pPr>
            <w:r>
              <w:rPr>
                <w:rFonts w:ascii="Arial" w:cs="Arial" w:eastAsia="Arial" w:hAnsi="Arial"/>
                <w:sz w:val="18"/>
                <w:szCs w:val="18"/>
                <w:color w:val="4B4B4B"/>
              </w:rPr>
              <w:t>•</w:t>
            </w:r>
          </w:p>
        </w:tc>
        <w:tc>
          <w:tcPr>
            <w:tcW w:w="4560" w:type="dxa"/>
            <w:vAlign w:val="bottom"/>
          </w:tcPr>
          <w:p>
            <w:pPr>
              <w:ind w:left="100"/>
              <w:spacing w:after="0"/>
              <w:rPr>
                <w:sz w:val="20"/>
                <w:szCs w:val="20"/>
                <w:color w:val="auto"/>
              </w:rPr>
            </w:pPr>
            <w:r>
              <w:rPr>
                <w:rFonts w:ascii="Arial" w:cs="Arial" w:eastAsia="Arial" w:hAnsi="Arial"/>
                <w:sz w:val="18"/>
                <w:szCs w:val="18"/>
                <w:color w:val="4B4B4B"/>
              </w:rPr>
              <w:t>Director compensation</w:t>
            </w:r>
          </w:p>
        </w:tc>
        <w:tc>
          <w:tcPr>
            <w:tcW w:w="1060" w:type="dxa"/>
            <w:vAlign w:val="bottom"/>
          </w:tcPr>
          <w:p>
            <w:pPr>
              <w:spacing w:after="0"/>
              <w:rPr>
                <w:sz w:val="19"/>
                <w:szCs w:val="19"/>
                <w:color w:val="auto"/>
              </w:rPr>
            </w:pPr>
          </w:p>
        </w:tc>
        <w:tc>
          <w:tcPr>
            <w:tcW w:w="4080" w:type="dxa"/>
            <w:vAlign w:val="bottom"/>
          </w:tcPr>
          <w:p>
            <w:pPr>
              <w:spacing w:after="0"/>
              <w:rPr>
                <w:sz w:val="19"/>
                <w:szCs w:val="19"/>
                <w:color w:val="auto"/>
              </w:rPr>
            </w:pPr>
          </w:p>
        </w:tc>
      </w:tr>
    </w:tbl>
    <w:p>
      <w:pPr>
        <w:spacing w:after="0" w:line="327"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Board Leadership Structure</w:t>
      </w:r>
    </w:p>
    <w:p>
      <w:pPr>
        <w:spacing w:after="0" w:line="325" w:lineRule="exact"/>
        <w:rPr>
          <w:sz w:val="20"/>
          <w:szCs w:val="20"/>
          <w:color w:val="auto"/>
        </w:rPr>
      </w:pPr>
    </w:p>
    <w:p>
      <w:pPr>
        <w:ind w:left="20" w:right="60"/>
        <w:spacing w:after="0" w:line="268" w:lineRule="auto"/>
        <w:rPr>
          <w:sz w:val="20"/>
          <w:szCs w:val="20"/>
          <w:color w:val="auto"/>
        </w:rPr>
      </w:pPr>
      <w:r>
        <w:rPr>
          <w:rFonts w:ascii="Arial" w:cs="Arial" w:eastAsia="Arial" w:hAnsi="Arial"/>
          <w:sz w:val="18"/>
          <w:szCs w:val="18"/>
          <w:color w:val="4B4B4B"/>
        </w:rPr>
        <w:t>Our Corporate Governance Guidelines provide our Board of Directors with flexibility to combine or separate the positions of Chairperson of the Board and Chief Executive Officer in accordance with its determination that utilizing one or the other structure would be in the best interests of the Company and its stockholders. If the Chairperson of the Board is a member of management or does not otherwise qualify as independent, our Corporate Governance Guidelines provide for the appointment by the independent directors of a lead independent director (the “Lead Director”).</w:t>
      </w:r>
    </w:p>
    <w:p>
      <w:pPr>
        <w:spacing w:after="0" w:line="154" w:lineRule="exact"/>
        <w:rPr>
          <w:sz w:val="20"/>
          <w:szCs w:val="20"/>
          <w:color w:val="auto"/>
        </w:rPr>
      </w:pPr>
    </w:p>
    <w:p>
      <w:pPr>
        <w:ind w:left="20" w:right="20"/>
        <w:spacing w:after="0" w:line="228" w:lineRule="exact"/>
        <w:rPr>
          <w:sz w:val="20"/>
          <w:szCs w:val="20"/>
          <w:color w:val="auto"/>
        </w:rPr>
      </w:pPr>
      <w:r>
        <w:rPr>
          <w:rFonts w:ascii="Arial" w:cs="Arial" w:eastAsia="Arial" w:hAnsi="Arial"/>
          <w:sz w:val="18"/>
          <w:szCs w:val="18"/>
          <w:color w:val="4B4B4B"/>
        </w:rPr>
        <w:t>Dr. von Ahn, our Founder and Chief Executive Officer, serves as Chairman of our Board and presides over meetings of our Board, holds such other powers, and carries out such other duties as are customarily carried out by the chair of a board. The Board believes that this current leadership structure is appropriate and is in the best interests of the Company and its stockholders. As the Company’s founder, and having served as Chairman and as Chief Executive Officer since that time, Dr. von Ahn possesses detailed and in</w:t>
      </w:r>
      <w:r>
        <w:rPr>
          <w:rFonts w:ascii="MS PGothic" w:cs="MS PGothic" w:eastAsia="MS PGothic" w:hAnsi="MS PGothic"/>
          <w:sz w:val="18"/>
          <w:szCs w:val="18"/>
          <w:color w:val="4B4B4B"/>
        </w:rPr>
        <w:t>‑</w:t>
      </w:r>
      <w:r>
        <w:rPr>
          <w:rFonts w:ascii="Arial" w:cs="Arial" w:eastAsia="Arial" w:hAnsi="Arial"/>
          <w:sz w:val="18"/>
          <w:szCs w:val="18"/>
          <w:color w:val="4B4B4B"/>
        </w:rPr>
        <w:t>depth knowledge of the issues, opportunities and challenges facing us and our business and, therefore, is best positioned to develop agendas that focus the Board’s time and attention on the most critical matters, while helping to minimize the potential for confusion or duplication of efforts. Serving in both these roles since the Company was founded has allowed Dr. von Ahn to be seen by participants in our industry and by our customers, business partners, investors and other stakeholders as providing strong leadership for our Company and in our industry.</w:t>
      </w:r>
    </w:p>
    <w:p>
      <w:pPr>
        <w:spacing w:after="0" w:line="177" w:lineRule="exact"/>
        <w:rPr>
          <w:sz w:val="20"/>
          <w:szCs w:val="20"/>
          <w:color w:val="auto"/>
        </w:rPr>
      </w:pPr>
    </w:p>
    <w:p>
      <w:pPr>
        <w:jc w:val="both"/>
        <w:ind w:left="20" w:right="160"/>
        <w:spacing w:after="0" w:line="271" w:lineRule="auto"/>
        <w:rPr>
          <w:sz w:val="20"/>
          <w:szCs w:val="20"/>
          <w:color w:val="auto"/>
        </w:rPr>
      </w:pPr>
      <w:r>
        <w:rPr>
          <w:rFonts w:ascii="Arial" w:cs="Arial" w:eastAsia="Arial" w:hAnsi="Arial"/>
          <w:sz w:val="18"/>
          <w:szCs w:val="18"/>
          <w:color w:val="4B4B4B"/>
        </w:rPr>
        <w:t>We recognize that different leadership structures may be appropriate for companies in different situations and believe that no one structure is suitable for all companies. Accordingly the Board will continue to periodically review our leadership structure and make such changes in the future as it deems appropriate and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883920</wp:posOffset>
            </wp:positionV>
            <wp:extent cx="71062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20</w:t>
            </w:r>
          </w:p>
        </w:tc>
      </w:tr>
    </w:tbl>
    <w:p>
      <w:pPr>
        <w:sectPr>
          <w:pgSz w:w="11900" w:h="16838" w:orient="portrait"/>
          <w:cols w:equalWidth="0" w:num="1">
            <w:col w:w="11200"/>
          </w:cols>
          <w:pgMar w:left="320" w:top="1307" w:right="379" w:bottom="1440" w:gutter="0" w:footer="0" w:header="0"/>
        </w:sectPr>
      </w:pPr>
    </w:p>
    <w:bookmarkStart w:id="25" w:name="page26"/>
    <w:bookmarkEnd w:id="25"/>
    <w:p>
      <w:pPr>
        <w:ind w:left="20"/>
        <w:spacing w:after="0"/>
        <w:rPr>
          <w:sz w:val="20"/>
          <w:szCs w:val="20"/>
          <w:color w:val="auto"/>
        </w:rPr>
      </w:pPr>
      <w:r>
        <w:rPr>
          <w:rFonts w:ascii="Arial" w:cs="Arial" w:eastAsia="Arial" w:hAnsi="Arial"/>
          <w:sz w:val="23"/>
          <w:szCs w:val="23"/>
          <w:b w:val="1"/>
          <w:bCs w:val="1"/>
          <w:color w:val="4B4B4B"/>
        </w:rPr>
        <w:t>Director Independence</w:t>
      </w:r>
    </w:p>
    <w:p>
      <w:pPr>
        <w:spacing w:after="0" w:line="325" w:lineRule="exact"/>
        <w:rPr>
          <w:sz w:val="20"/>
          <w:szCs w:val="20"/>
          <w:color w:val="auto"/>
        </w:rPr>
      </w:pPr>
    </w:p>
    <w:p>
      <w:pPr>
        <w:ind w:left="20" w:right="100"/>
        <w:spacing w:after="0" w:line="269" w:lineRule="auto"/>
        <w:rPr>
          <w:sz w:val="20"/>
          <w:szCs w:val="20"/>
          <w:color w:val="auto"/>
        </w:rPr>
      </w:pPr>
      <w:r>
        <w:rPr>
          <w:rFonts w:ascii="Arial" w:cs="Arial" w:eastAsia="Arial" w:hAnsi="Arial"/>
          <w:sz w:val="18"/>
          <w:szCs w:val="18"/>
          <w:color w:val="4B4B4B"/>
        </w:rPr>
        <w:t>Under our Corporate Governance Guidelines and the applicable Nasdaq Stock Market LLC (“Nasdaq”) rules (the “Nasdaq rules”), a director is not independent unless the Board affirmatively determines that he or she does not have a relationship with us that could compromise his or her ability to exercise independent judgement in carrying out his or her responsibilities as a director. In addition, the director must not be precluded from qualifying as independent under the per se bars set forth by the Nasdaq rules.</w:t>
      </w:r>
    </w:p>
    <w:p>
      <w:pPr>
        <w:spacing w:after="0" w:line="152" w:lineRule="exact"/>
        <w:rPr>
          <w:sz w:val="20"/>
          <w:szCs w:val="20"/>
          <w:color w:val="auto"/>
        </w:rPr>
      </w:pPr>
    </w:p>
    <w:p>
      <w:pPr>
        <w:ind w:left="20" w:right="120"/>
        <w:spacing w:after="0" w:line="267" w:lineRule="auto"/>
        <w:rPr>
          <w:sz w:val="20"/>
          <w:szCs w:val="20"/>
          <w:color w:val="auto"/>
        </w:rPr>
      </w:pPr>
      <w:r>
        <w:rPr>
          <w:rFonts w:ascii="Arial" w:cs="Arial" w:eastAsia="Arial" w:hAnsi="Arial"/>
          <w:sz w:val="18"/>
          <w:szCs w:val="18"/>
          <w:color w:val="4B4B4B"/>
        </w:rPr>
        <w:t>Our Board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none of Mmes. Bohutinsky, Clemens, Munson, and Sturdy and Messrs. Gordon, Lilly and Shelton, representing seven of our nine directors, has a relationship that would interfere with the exercise of independent judgment in carrying out the responsibilities of a director and that each of these directors qualifies as “independent” as that term is defined under the Nasdaq rules. In making these determinations, our Board considered the relationships that each non-employee director has with us and all other facts and circumstances our Board deemed relevant in determining their independence, including the director’s beneficial ownership of our common stock.</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Board Committees</w:t>
      </w:r>
    </w:p>
    <w:p>
      <w:pPr>
        <w:spacing w:after="0" w:line="204" w:lineRule="exact"/>
        <w:rPr>
          <w:sz w:val="20"/>
          <w:szCs w:val="20"/>
          <w:color w:val="auto"/>
        </w:rPr>
      </w:pPr>
    </w:p>
    <w:p>
      <w:pPr>
        <w:ind w:left="20" w:right="20"/>
        <w:spacing w:after="0" w:line="268" w:lineRule="auto"/>
        <w:rPr>
          <w:sz w:val="20"/>
          <w:szCs w:val="20"/>
          <w:color w:val="auto"/>
        </w:rPr>
      </w:pPr>
      <w:r>
        <w:rPr>
          <w:rFonts w:ascii="Arial" w:cs="Arial" w:eastAsia="Arial" w:hAnsi="Arial"/>
          <w:sz w:val="18"/>
          <w:szCs w:val="18"/>
          <w:color w:val="4B4B4B"/>
        </w:rPr>
        <w:t>Our Board of Directors has three standing committees: an Audit Committee, a Compensation and Leadership Committee (the “Compensation Committee”) and a Nominating and Corporate Governance Committee, each of which has the composition and the responsibilities described below. In addition, from time to time, special committees may be established under the direction of our Board when necessary to address specific issues. Each of the Audit Committee, the Compensation Committee and the Nominating and Corporate Governance Committee operates under a written charter.</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0" w:type="dxa"/>
            <w:vAlign w:val="bottom"/>
            <w:shd w:val="clear" w:color="auto" w:fill="F7F7F7"/>
          </w:tcPr>
          <w:p>
            <w:pPr>
              <w:spacing w:after="0"/>
              <w:rPr>
                <w:sz w:val="18"/>
                <w:szCs w:val="18"/>
                <w:color w:val="auto"/>
              </w:rPr>
            </w:pPr>
          </w:p>
        </w:tc>
        <w:tc>
          <w:tcPr>
            <w:tcW w:w="2440" w:type="dxa"/>
            <w:vAlign w:val="bottom"/>
            <w:vMerge w:val="restart"/>
            <w:shd w:val="clear" w:color="auto" w:fill="F7F7F7"/>
          </w:tcPr>
          <w:p>
            <w:pPr>
              <w:ind w:left="20"/>
              <w:spacing w:after="0"/>
              <w:rPr>
                <w:sz w:val="20"/>
                <w:szCs w:val="20"/>
                <w:color w:val="auto"/>
              </w:rPr>
            </w:pPr>
            <w:r>
              <w:rPr>
                <w:rFonts w:ascii="Arial" w:cs="Arial" w:eastAsia="Arial" w:hAnsi="Arial"/>
                <w:sz w:val="16"/>
                <w:szCs w:val="16"/>
                <w:b w:val="1"/>
                <w:bCs w:val="1"/>
                <w:color w:val="4B4B4B"/>
              </w:rPr>
              <w:t>Director</w:t>
            </w:r>
          </w:p>
        </w:tc>
        <w:tc>
          <w:tcPr>
            <w:tcW w:w="3000" w:type="dxa"/>
            <w:vAlign w:val="bottom"/>
            <w:shd w:val="clear" w:color="auto" w:fill="F7F7F7"/>
          </w:tcPr>
          <w:p>
            <w:pPr>
              <w:jc w:val="center"/>
              <w:ind w:left="259"/>
              <w:spacing w:after="0"/>
              <w:rPr>
                <w:sz w:val="20"/>
                <w:szCs w:val="20"/>
                <w:color w:val="auto"/>
              </w:rPr>
            </w:pPr>
            <w:r>
              <w:rPr>
                <w:rFonts w:ascii="Arial" w:cs="Arial" w:eastAsia="Arial" w:hAnsi="Arial"/>
                <w:sz w:val="16"/>
                <w:szCs w:val="16"/>
                <w:b w:val="1"/>
                <w:bCs w:val="1"/>
                <w:color w:val="4B4B4B"/>
              </w:rPr>
              <w:t>Audit</w:t>
            </w:r>
          </w:p>
        </w:tc>
        <w:tc>
          <w:tcPr>
            <w:tcW w:w="2460" w:type="dxa"/>
            <w:vAlign w:val="bottom"/>
            <w:shd w:val="clear" w:color="auto" w:fill="F7F7F7"/>
          </w:tcPr>
          <w:p>
            <w:pPr>
              <w:jc w:val="center"/>
              <w:ind w:left="379"/>
              <w:spacing w:after="0"/>
              <w:rPr>
                <w:sz w:val="20"/>
                <w:szCs w:val="20"/>
                <w:color w:val="auto"/>
              </w:rPr>
            </w:pPr>
            <w:r>
              <w:rPr>
                <w:rFonts w:ascii="Arial" w:cs="Arial" w:eastAsia="Arial" w:hAnsi="Arial"/>
                <w:sz w:val="16"/>
                <w:szCs w:val="16"/>
                <w:b w:val="1"/>
                <w:bCs w:val="1"/>
                <w:color w:val="4B4B4B"/>
              </w:rPr>
              <w:t>Compensation</w:t>
            </w:r>
          </w:p>
        </w:tc>
        <w:tc>
          <w:tcPr>
            <w:tcW w:w="3160" w:type="dxa"/>
            <w:vAlign w:val="bottom"/>
            <w:shd w:val="clear" w:color="auto" w:fill="F7F7F7"/>
          </w:tcPr>
          <w:p>
            <w:pPr>
              <w:jc w:val="center"/>
              <w:ind w:left="259"/>
              <w:spacing w:after="0"/>
              <w:rPr>
                <w:sz w:val="20"/>
                <w:szCs w:val="20"/>
                <w:color w:val="auto"/>
              </w:rPr>
            </w:pPr>
            <w:r>
              <w:rPr>
                <w:rFonts w:ascii="Arial" w:cs="Arial" w:eastAsia="Arial" w:hAnsi="Arial"/>
                <w:sz w:val="16"/>
                <w:szCs w:val="16"/>
                <w:b w:val="1"/>
                <w:bCs w:val="1"/>
                <w:color w:val="4B4B4B"/>
              </w:rPr>
              <w:t>Nominating and</w:t>
            </w:r>
          </w:p>
        </w:tc>
        <w:tc>
          <w:tcPr>
            <w:tcW w:w="0" w:type="dxa"/>
            <w:vAlign w:val="bottom"/>
          </w:tcPr>
          <w:p>
            <w:pPr>
              <w:spacing w:after="0"/>
              <w:rPr>
                <w:sz w:val="1"/>
                <w:szCs w:val="1"/>
                <w:color w:val="auto"/>
              </w:rPr>
            </w:pPr>
          </w:p>
        </w:tc>
      </w:tr>
      <w:tr>
        <w:trPr>
          <w:trHeight w:val="107"/>
        </w:trPr>
        <w:tc>
          <w:tcPr>
            <w:tcW w:w="160" w:type="dxa"/>
            <w:vAlign w:val="bottom"/>
            <w:shd w:val="clear" w:color="auto" w:fill="F7F7F7"/>
          </w:tcPr>
          <w:p>
            <w:pPr>
              <w:spacing w:after="0"/>
              <w:rPr>
                <w:sz w:val="9"/>
                <w:szCs w:val="9"/>
                <w:color w:val="auto"/>
              </w:rPr>
            </w:pPr>
          </w:p>
        </w:tc>
        <w:tc>
          <w:tcPr>
            <w:tcW w:w="2440" w:type="dxa"/>
            <w:vAlign w:val="bottom"/>
            <w:vMerge w:val="continue"/>
            <w:shd w:val="clear" w:color="auto" w:fill="F7F7F7"/>
          </w:tcPr>
          <w:p>
            <w:pPr>
              <w:spacing w:after="0"/>
              <w:rPr>
                <w:sz w:val="9"/>
                <w:szCs w:val="9"/>
                <w:color w:val="auto"/>
              </w:rPr>
            </w:pPr>
          </w:p>
        </w:tc>
        <w:tc>
          <w:tcPr>
            <w:tcW w:w="3000" w:type="dxa"/>
            <w:vAlign w:val="bottom"/>
            <w:vMerge w:val="restart"/>
            <w:shd w:val="clear" w:color="auto" w:fill="F7F7F7"/>
          </w:tcPr>
          <w:p>
            <w:pPr>
              <w:jc w:val="center"/>
              <w:ind w:left="279"/>
              <w:spacing w:after="0"/>
              <w:rPr>
                <w:sz w:val="20"/>
                <w:szCs w:val="20"/>
                <w:color w:val="auto"/>
              </w:rPr>
            </w:pPr>
            <w:r>
              <w:rPr>
                <w:rFonts w:ascii="Arial" w:cs="Arial" w:eastAsia="Arial" w:hAnsi="Arial"/>
                <w:sz w:val="16"/>
                <w:szCs w:val="16"/>
                <w:b w:val="1"/>
                <w:bCs w:val="1"/>
                <w:color w:val="4B4B4B"/>
              </w:rPr>
              <w:t>Committee</w:t>
            </w:r>
          </w:p>
        </w:tc>
        <w:tc>
          <w:tcPr>
            <w:tcW w:w="2460" w:type="dxa"/>
            <w:vAlign w:val="bottom"/>
            <w:vMerge w:val="restart"/>
            <w:shd w:val="clear" w:color="auto" w:fill="F7F7F7"/>
          </w:tcPr>
          <w:p>
            <w:pPr>
              <w:jc w:val="center"/>
              <w:ind w:left="379"/>
              <w:spacing w:after="0"/>
              <w:rPr>
                <w:sz w:val="20"/>
                <w:szCs w:val="20"/>
                <w:color w:val="auto"/>
              </w:rPr>
            </w:pPr>
            <w:r>
              <w:rPr>
                <w:rFonts w:ascii="Arial" w:cs="Arial" w:eastAsia="Arial" w:hAnsi="Arial"/>
                <w:sz w:val="16"/>
                <w:szCs w:val="16"/>
                <w:b w:val="1"/>
                <w:bCs w:val="1"/>
                <w:color w:val="4B4B4B"/>
              </w:rPr>
              <w:t>Committee</w:t>
            </w:r>
          </w:p>
        </w:tc>
        <w:tc>
          <w:tcPr>
            <w:tcW w:w="3160" w:type="dxa"/>
            <w:vAlign w:val="bottom"/>
            <w:vMerge w:val="restart"/>
            <w:shd w:val="clear" w:color="auto" w:fill="F7F7F7"/>
          </w:tcPr>
          <w:p>
            <w:pPr>
              <w:jc w:val="center"/>
              <w:ind w:left="319"/>
              <w:spacing w:after="0"/>
              <w:rPr>
                <w:sz w:val="20"/>
                <w:szCs w:val="20"/>
                <w:color w:val="auto"/>
              </w:rPr>
            </w:pPr>
            <w:r>
              <w:rPr>
                <w:rFonts w:ascii="Arial" w:cs="Arial" w:eastAsia="Arial" w:hAnsi="Arial"/>
                <w:sz w:val="16"/>
                <w:szCs w:val="16"/>
                <w:b w:val="1"/>
                <w:bCs w:val="1"/>
                <w:color w:val="4B4B4B"/>
              </w:rPr>
              <w:t>Corporate Governance Committee</w:t>
            </w:r>
          </w:p>
        </w:tc>
        <w:tc>
          <w:tcPr>
            <w:tcW w:w="0" w:type="dxa"/>
            <w:vAlign w:val="bottom"/>
          </w:tcPr>
          <w:p>
            <w:pPr>
              <w:spacing w:after="0"/>
              <w:rPr>
                <w:sz w:val="1"/>
                <w:szCs w:val="1"/>
                <w:color w:val="auto"/>
              </w:rPr>
            </w:pPr>
          </w:p>
        </w:tc>
      </w:tr>
      <w:tr>
        <w:trPr>
          <w:trHeight w:val="121"/>
        </w:trPr>
        <w:tc>
          <w:tcPr>
            <w:tcW w:w="160" w:type="dxa"/>
            <w:vAlign w:val="bottom"/>
            <w:tcBorders>
              <w:bottom w:val="single" w:sz="8" w:color="F7F7F7"/>
            </w:tcBorders>
            <w:shd w:val="clear" w:color="auto" w:fill="F7F7F7"/>
          </w:tcPr>
          <w:p>
            <w:pPr>
              <w:spacing w:after="0"/>
              <w:rPr>
                <w:sz w:val="10"/>
                <w:szCs w:val="10"/>
                <w:color w:val="auto"/>
              </w:rPr>
            </w:pPr>
          </w:p>
        </w:tc>
        <w:tc>
          <w:tcPr>
            <w:tcW w:w="2440" w:type="dxa"/>
            <w:vAlign w:val="bottom"/>
            <w:tcBorders>
              <w:bottom w:val="single" w:sz="8" w:color="F7F7F7"/>
            </w:tcBorders>
            <w:shd w:val="clear" w:color="auto" w:fill="F7F7F7"/>
          </w:tcPr>
          <w:p>
            <w:pPr>
              <w:spacing w:after="0"/>
              <w:rPr>
                <w:sz w:val="10"/>
                <w:szCs w:val="10"/>
                <w:color w:val="auto"/>
              </w:rPr>
            </w:pPr>
          </w:p>
        </w:tc>
        <w:tc>
          <w:tcPr>
            <w:tcW w:w="3000" w:type="dxa"/>
            <w:vAlign w:val="bottom"/>
            <w:tcBorders>
              <w:bottom w:val="single" w:sz="8" w:color="F7F7F7"/>
            </w:tcBorders>
            <w:vMerge w:val="continue"/>
            <w:shd w:val="clear" w:color="auto" w:fill="F7F7F7"/>
          </w:tcPr>
          <w:p>
            <w:pPr>
              <w:spacing w:after="0"/>
              <w:rPr>
                <w:sz w:val="10"/>
                <w:szCs w:val="10"/>
                <w:color w:val="auto"/>
              </w:rPr>
            </w:pPr>
          </w:p>
        </w:tc>
        <w:tc>
          <w:tcPr>
            <w:tcW w:w="2460" w:type="dxa"/>
            <w:vAlign w:val="bottom"/>
            <w:tcBorders>
              <w:bottom w:val="single" w:sz="8" w:color="F7F7F7"/>
            </w:tcBorders>
            <w:vMerge w:val="continue"/>
            <w:shd w:val="clear" w:color="auto" w:fill="F7F7F7"/>
          </w:tcPr>
          <w:p>
            <w:pPr>
              <w:spacing w:after="0"/>
              <w:rPr>
                <w:sz w:val="10"/>
                <w:szCs w:val="10"/>
                <w:color w:val="auto"/>
              </w:rPr>
            </w:pPr>
          </w:p>
        </w:tc>
        <w:tc>
          <w:tcPr>
            <w:tcW w:w="3160" w:type="dxa"/>
            <w:vAlign w:val="bottom"/>
            <w:tcBorders>
              <w:bottom w:val="single" w:sz="8" w:color="F7F7F7"/>
            </w:tcBorders>
            <w:vMerge w:val="continue"/>
            <w:shd w:val="clear" w:color="auto" w:fill="F7F7F7"/>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4B4B4B"/>
              </w:rPr>
              <w:t>Amy Bohutinsky</w:t>
            </w:r>
          </w:p>
        </w:tc>
        <w:tc>
          <w:tcPr>
            <w:tcW w:w="3000" w:type="dxa"/>
            <w:vAlign w:val="bottom"/>
          </w:tcPr>
          <w:p>
            <w:pPr>
              <w:jc w:val="center"/>
              <w:ind w:left="259"/>
              <w:spacing w:after="0"/>
              <w:rPr>
                <w:sz w:val="20"/>
                <w:szCs w:val="20"/>
                <w:color w:val="auto"/>
              </w:rPr>
            </w:pPr>
            <w:r>
              <w:rPr>
                <w:rFonts w:ascii="Arial" w:cs="Arial" w:eastAsia="Arial" w:hAnsi="Arial"/>
                <w:sz w:val="16"/>
                <w:szCs w:val="16"/>
                <w:color w:val="4B4B4B"/>
                <w:w w:val="93"/>
              </w:rPr>
              <w:t>X</w:t>
            </w:r>
          </w:p>
        </w:tc>
        <w:tc>
          <w:tcPr>
            <w:tcW w:w="2460" w:type="dxa"/>
            <w:vAlign w:val="bottom"/>
          </w:tcPr>
          <w:p>
            <w:pPr>
              <w:spacing w:after="0"/>
              <w:rPr>
                <w:sz w:val="19"/>
                <w:szCs w:val="19"/>
                <w:color w:val="auto"/>
              </w:rPr>
            </w:pPr>
          </w:p>
        </w:tc>
        <w:tc>
          <w:tcPr>
            <w:tcW w:w="3160" w:type="dxa"/>
            <w:vAlign w:val="bottom"/>
          </w:tcPr>
          <w:p>
            <w:pPr>
              <w:jc w:val="center"/>
              <w:ind w:left="319"/>
              <w:spacing w:after="0"/>
              <w:rPr>
                <w:sz w:val="20"/>
                <w:szCs w:val="20"/>
                <w:color w:val="auto"/>
              </w:rPr>
            </w:pPr>
            <w:r>
              <w:rPr>
                <w:rFonts w:ascii="Arial" w:cs="Arial" w:eastAsia="Arial" w:hAnsi="Arial"/>
                <w:sz w:val="16"/>
                <w:szCs w:val="16"/>
                <w:color w:val="4B4B4B"/>
              </w:rPr>
              <w:t>X</w:t>
            </w:r>
          </w:p>
        </w:tc>
        <w:tc>
          <w:tcPr>
            <w:tcW w:w="0" w:type="dxa"/>
            <w:vAlign w:val="bottom"/>
          </w:tcPr>
          <w:p>
            <w:pPr>
              <w:spacing w:after="0"/>
              <w:rPr>
                <w:sz w:val="1"/>
                <w:szCs w:val="1"/>
                <w:color w:val="auto"/>
              </w:rPr>
            </w:pPr>
          </w:p>
        </w:tc>
      </w:tr>
      <w:tr>
        <w:trPr>
          <w:trHeight w:val="37"/>
        </w:trPr>
        <w:tc>
          <w:tcPr>
            <w:tcW w:w="160" w:type="dxa"/>
            <w:vAlign w:val="bottom"/>
            <w:tcBorders>
              <w:bottom w:val="single" w:sz="8" w:color="E5E5E5"/>
            </w:tcBorders>
          </w:tcPr>
          <w:p>
            <w:pPr>
              <w:spacing w:after="0"/>
              <w:rPr>
                <w:sz w:val="3"/>
                <w:szCs w:val="3"/>
                <w:color w:val="auto"/>
              </w:rPr>
            </w:pPr>
          </w:p>
        </w:tc>
        <w:tc>
          <w:tcPr>
            <w:tcW w:w="2440" w:type="dxa"/>
            <w:vAlign w:val="bottom"/>
            <w:vMerge w:val="restart"/>
          </w:tcPr>
          <w:p>
            <w:pPr>
              <w:ind w:left="20"/>
              <w:spacing w:after="0"/>
              <w:rPr>
                <w:sz w:val="20"/>
                <w:szCs w:val="20"/>
                <w:color w:val="auto"/>
              </w:rPr>
            </w:pPr>
            <w:r>
              <w:rPr>
                <w:rFonts w:ascii="Arial" w:cs="Arial" w:eastAsia="Arial" w:hAnsi="Arial"/>
                <w:sz w:val="16"/>
                <w:szCs w:val="16"/>
                <w:color w:val="4B4B4B"/>
              </w:rPr>
              <w:t>Sara Clemens</w:t>
            </w:r>
          </w:p>
        </w:tc>
        <w:tc>
          <w:tcPr>
            <w:tcW w:w="3000" w:type="dxa"/>
            <w:vAlign w:val="bottom"/>
          </w:tcPr>
          <w:p>
            <w:pPr>
              <w:spacing w:after="0"/>
              <w:rPr>
                <w:sz w:val="3"/>
                <w:szCs w:val="3"/>
                <w:color w:val="auto"/>
              </w:rPr>
            </w:pPr>
          </w:p>
        </w:tc>
        <w:tc>
          <w:tcPr>
            <w:tcW w:w="2460" w:type="dxa"/>
            <w:vAlign w:val="bottom"/>
            <w:vMerge w:val="restart"/>
          </w:tcPr>
          <w:p>
            <w:pPr>
              <w:jc w:val="center"/>
              <w:ind w:left="359"/>
              <w:spacing w:after="0"/>
              <w:rPr>
                <w:sz w:val="20"/>
                <w:szCs w:val="20"/>
                <w:color w:val="auto"/>
              </w:rPr>
            </w:pPr>
            <w:r>
              <w:rPr>
                <w:rFonts w:ascii="Arial" w:cs="Arial" w:eastAsia="Arial" w:hAnsi="Arial"/>
                <w:sz w:val="16"/>
                <w:szCs w:val="16"/>
                <w:color w:val="4B4B4B"/>
                <w:w w:val="93"/>
              </w:rPr>
              <w:t>X</w:t>
            </w:r>
          </w:p>
        </w:tc>
        <w:tc>
          <w:tcPr>
            <w:tcW w:w="3160" w:type="dxa"/>
            <w:vAlign w:val="bottom"/>
            <w:vMerge w:val="restart"/>
          </w:tcPr>
          <w:p>
            <w:pPr>
              <w:jc w:val="center"/>
              <w:ind w:left="299"/>
              <w:spacing w:after="0"/>
              <w:rPr>
                <w:sz w:val="20"/>
                <w:szCs w:val="20"/>
                <w:color w:val="auto"/>
              </w:rPr>
            </w:pPr>
            <w:r>
              <w:rPr>
                <w:rFonts w:ascii="Arial" w:cs="Arial" w:eastAsia="Arial" w:hAnsi="Arial"/>
                <w:sz w:val="16"/>
                <w:szCs w:val="16"/>
                <w:color w:val="4B4B4B"/>
                <w:w w:val="99"/>
              </w:rPr>
              <w:t>Chair</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3000" w:type="dxa"/>
            <w:vAlign w:val="bottom"/>
          </w:tcPr>
          <w:p>
            <w:pPr>
              <w:spacing w:after="0"/>
              <w:rPr>
                <w:sz w:val="19"/>
                <w:szCs w:val="19"/>
                <w:color w:val="auto"/>
              </w:rPr>
            </w:pPr>
          </w:p>
        </w:tc>
        <w:tc>
          <w:tcPr>
            <w:tcW w:w="2460" w:type="dxa"/>
            <w:vAlign w:val="bottom"/>
            <w:vMerge w:val="continue"/>
          </w:tcPr>
          <w:p>
            <w:pPr>
              <w:spacing w:after="0"/>
              <w:rPr>
                <w:sz w:val="19"/>
                <w:szCs w:val="19"/>
                <w:color w:val="auto"/>
              </w:rPr>
            </w:pPr>
          </w:p>
        </w:tc>
        <w:tc>
          <w:tcPr>
            <w:tcW w:w="3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60" w:type="dxa"/>
            <w:vAlign w:val="bottom"/>
            <w:tcBorders>
              <w:bottom w:val="single" w:sz="8" w:color="E5E5E5"/>
            </w:tcBorders>
          </w:tcPr>
          <w:p>
            <w:pPr>
              <w:spacing w:after="0"/>
              <w:rPr>
                <w:sz w:val="3"/>
                <w:szCs w:val="3"/>
                <w:color w:val="auto"/>
              </w:rPr>
            </w:pPr>
          </w:p>
        </w:tc>
        <w:tc>
          <w:tcPr>
            <w:tcW w:w="2440" w:type="dxa"/>
            <w:vAlign w:val="bottom"/>
            <w:vMerge w:val="restart"/>
          </w:tcPr>
          <w:p>
            <w:pPr>
              <w:ind w:left="20"/>
              <w:spacing w:after="0"/>
              <w:rPr>
                <w:sz w:val="20"/>
                <w:szCs w:val="20"/>
                <w:color w:val="auto"/>
              </w:rPr>
            </w:pPr>
            <w:r>
              <w:rPr>
                <w:rFonts w:ascii="Arial" w:cs="Arial" w:eastAsia="Arial" w:hAnsi="Arial"/>
                <w:sz w:val="16"/>
                <w:szCs w:val="16"/>
                <w:color w:val="4B4B4B"/>
              </w:rPr>
              <w:t>Bing Gordon</w:t>
            </w:r>
          </w:p>
        </w:tc>
        <w:tc>
          <w:tcPr>
            <w:tcW w:w="3000" w:type="dxa"/>
            <w:vAlign w:val="bottom"/>
          </w:tcPr>
          <w:p>
            <w:pPr>
              <w:spacing w:after="0"/>
              <w:rPr>
                <w:sz w:val="3"/>
                <w:szCs w:val="3"/>
                <w:color w:val="auto"/>
              </w:rPr>
            </w:pPr>
          </w:p>
        </w:tc>
        <w:tc>
          <w:tcPr>
            <w:tcW w:w="2460" w:type="dxa"/>
            <w:vAlign w:val="bottom"/>
            <w:vMerge w:val="restart"/>
          </w:tcPr>
          <w:p>
            <w:pPr>
              <w:jc w:val="center"/>
              <w:ind w:left="359"/>
              <w:spacing w:after="0"/>
              <w:rPr>
                <w:sz w:val="20"/>
                <w:szCs w:val="20"/>
                <w:color w:val="auto"/>
              </w:rPr>
            </w:pPr>
            <w:r>
              <w:rPr>
                <w:rFonts w:ascii="Arial" w:cs="Arial" w:eastAsia="Arial" w:hAnsi="Arial"/>
                <w:sz w:val="16"/>
                <w:szCs w:val="16"/>
                <w:color w:val="4B4B4B"/>
                <w:w w:val="99"/>
              </w:rPr>
              <w:t>Chair</w:t>
            </w:r>
          </w:p>
        </w:tc>
        <w:tc>
          <w:tcPr>
            <w:tcW w:w="3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3000" w:type="dxa"/>
            <w:vAlign w:val="bottom"/>
          </w:tcPr>
          <w:p>
            <w:pPr>
              <w:spacing w:after="0"/>
              <w:rPr>
                <w:sz w:val="19"/>
                <w:szCs w:val="19"/>
                <w:color w:val="auto"/>
              </w:rPr>
            </w:pPr>
          </w:p>
        </w:tc>
        <w:tc>
          <w:tcPr>
            <w:tcW w:w="2460" w:type="dxa"/>
            <w:vAlign w:val="bottom"/>
            <w:vMerge w:val="continue"/>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60" w:type="dxa"/>
            <w:vAlign w:val="bottom"/>
            <w:tcBorders>
              <w:bottom w:val="single" w:sz="8" w:color="E5E5E5"/>
            </w:tcBorders>
          </w:tcPr>
          <w:p>
            <w:pPr>
              <w:spacing w:after="0"/>
              <w:rPr>
                <w:sz w:val="3"/>
                <w:szCs w:val="3"/>
                <w:color w:val="auto"/>
              </w:rPr>
            </w:pPr>
          </w:p>
        </w:tc>
        <w:tc>
          <w:tcPr>
            <w:tcW w:w="2440" w:type="dxa"/>
            <w:vAlign w:val="bottom"/>
            <w:vMerge w:val="restart"/>
          </w:tcPr>
          <w:p>
            <w:pPr>
              <w:ind w:left="20"/>
              <w:spacing w:after="0"/>
              <w:rPr>
                <w:sz w:val="20"/>
                <w:szCs w:val="20"/>
                <w:color w:val="auto"/>
              </w:rPr>
            </w:pPr>
            <w:r>
              <w:rPr>
                <w:rFonts w:ascii="Arial" w:cs="Arial" w:eastAsia="Arial" w:hAnsi="Arial"/>
                <w:sz w:val="16"/>
                <w:szCs w:val="16"/>
                <w:color w:val="4B4B4B"/>
              </w:rPr>
              <w:t>John Lilly</w:t>
            </w:r>
          </w:p>
        </w:tc>
        <w:tc>
          <w:tcPr>
            <w:tcW w:w="3000" w:type="dxa"/>
            <w:vAlign w:val="bottom"/>
          </w:tcPr>
          <w:p>
            <w:pPr>
              <w:spacing w:after="0"/>
              <w:rPr>
                <w:sz w:val="3"/>
                <w:szCs w:val="3"/>
                <w:color w:val="auto"/>
              </w:rPr>
            </w:pPr>
          </w:p>
        </w:tc>
        <w:tc>
          <w:tcPr>
            <w:tcW w:w="2460" w:type="dxa"/>
            <w:vAlign w:val="bottom"/>
            <w:vMerge w:val="restart"/>
          </w:tcPr>
          <w:p>
            <w:pPr>
              <w:jc w:val="center"/>
              <w:ind w:left="359"/>
              <w:spacing w:after="0"/>
              <w:rPr>
                <w:sz w:val="20"/>
                <w:szCs w:val="20"/>
                <w:color w:val="auto"/>
              </w:rPr>
            </w:pPr>
            <w:r>
              <w:rPr>
                <w:rFonts w:ascii="Arial" w:cs="Arial" w:eastAsia="Arial" w:hAnsi="Arial"/>
                <w:sz w:val="16"/>
                <w:szCs w:val="16"/>
                <w:color w:val="4B4B4B"/>
                <w:w w:val="93"/>
              </w:rPr>
              <w:t>X</w:t>
            </w:r>
          </w:p>
        </w:tc>
        <w:tc>
          <w:tcPr>
            <w:tcW w:w="3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3000" w:type="dxa"/>
            <w:vAlign w:val="bottom"/>
          </w:tcPr>
          <w:p>
            <w:pPr>
              <w:spacing w:after="0"/>
              <w:rPr>
                <w:sz w:val="19"/>
                <w:szCs w:val="19"/>
                <w:color w:val="auto"/>
              </w:rPr>
            </w:pPr>
          </w:p>
        </w:tc>
        <w:tc>
          <w:tcPr>
            <w:tcW w:w="2460" w:type="dxa"/>
            <w:vAlign w:val="bottom"/>
            <w:vMerge w:val="continue"/>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60" w:type="dxa"/>
            <w:vAlign w:val="bottom"/>
            <w:tcBorders>
              <w:bottom w:val="single" w:sz="8" w:color="E5E5E5"/>
            </w:tcBorders>
          </w:tcPr>
          <w:p>
            <w:pPr>
              <w:spacing w:after="0"/>
              <w:rPr>
                <w:sz w:val="3"/>
                <w:szCs w:val="3"/>
                <w:color w:val="auto"/>
              </w:rPr>
            </w:pPr>
          </w:p>
        </w:tc>
        <w:tc>
          <w:tcPr>
            <w:tcW w:w="2440" w:type="dxa"/>
            <w:vAlign w:val="bottom"/>
            <w:vMerge w:val="restart"/>
          </w:tcPr>
          <w:p>
            <w:pPr>
              <w:ind w:left="20"/>
              <w:spacing w:after="0"/>
              <w:rPr>
                <w:sz w:val="20"/>
                <w:szCs w:val="20"/>
                <w:color w:val="auto"/>
              </w:rPr>
            </w:pPr>
            <w:r>
              <w:rPr>
                <w:rFonts w:ascii="Arial" w:cs="Arial" w:eastAsia="Arial" w:hAnsi="Arial"/>
                <w:sz w:val="16"/>
                <w:szCs w:val="16"/>
                <w:color w:val="4B4B4B"/>
              </w:rPr>
              <w:t>Gillian Munson</w:t>
            </w:r>
          </w:p>
        </w:tc>
        <w:tc>
          <w:tcPr>
            <w:tcW w:w="3000" w:type="dxa"/>
            <w:vAlign w:val="bottom"/>
            <w:vMerge w:val="restart"/>
          </w:tcPr>
          <w:p>
            <w:pPr>
              <w:jc w:val="center"/>
              <w:ind w:left="259"/>
              <w:spacing w:after="0"/>
              <w:rPr>
                <w:sz w:val="20"/>
                <w:szCs w:val="20"/>
                <w:color w:val="auto"/>
              </w:rPr>
            </w:pPr>
            <w:r>
              <w:rPr>
                <w:rFonts w:ascii="Arial" w:cs="Arial" w:eastAsia="Arial" w:hAnsi="Arial"/>
                <w:sz w:val="16"/>
                <w:szCs w:val="16"/>
                <w:color w:val="4B4B4B"/>
                <w:w w:val="99"/>
              </w:rPr>
              <w:t>Chair</w:t>
            </w:r>
          </w:p>
        </w:tc>
        <w:tc>
          <w:tcPr>
            <w:tcW w:w="24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300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60" w:type="dxa"/>
            <w:vAlign w:val="bottom"/>
            <w:tcBorders>
              <w:bottom w:val="single" w:sz="8" w:color="E5E5E5"/>
            </w:tcBorders>
          </w:tcPr>
          <w:p>
            <w:pPr>
              <w:spacing w:after="0"/>
              <w:rPr>
                <w:sz w:val="3"/>
                <w:szCs w:val="3"/>
                <w:color w:val="auto"/>
              </w:rPr>
            </w:pPr>
          </w:p>
        </w:tc>
        <w:tc>
          <w:tcPr>
            <w:tcW w:w="2440" w:type="dxa"/>
            <w:vAlign w:val="bottom"/>
            <w:vMerge w:val="restart"/>
          </w:tcPr>
          <w:p>
            <w:pPr>
              <w:ind w:left="20"/>
              <w:spacing w:after="0"/>
              <w:rPr>
                <w:sz w:val="20"/>
                <w:szCs w:val="20"/>
                <w:color w:val="auto"/>
              </w:rPr>
            </w:pPr>
            <w:r>
              <w:rPr>
                <w:rFonts w:ascii="Arial" w:cs="Arial" w:eastAsia="Arial" w:hAnsi="Arial"/>
                <w:sz w:val="16"/>
                <w:szCs w:val="16"/>
                <w:color w:val="4B4B4B"/>
              </w:rPr>
              <w:t>Jim Shelton</w:t>
            </w:r>
          </w:p>
        </w:tc>
        <w:tc>
          <w:tcPr>
            <w:tcW w:w="3000" w:type="dxa"/>
            <w:vAlign w:val="bottom"/>
            <w:vMerge w:val="restart"/>
          </w:tcPr>
          <w:p>
            <w:pPr>
              <w:jc w:val="center"/>
              <w:ind w:left="259"/>
              <w:spacing w:after="0"/>
              <w:rPr>
                <w:sz w:val="20"/>
                <w:szCs w:val="20"/>
                <w:color w:val="auto"/>
              </w:rPr>
            </w:pPr>
            <w:r>
              <w:rPr>
                <w:rFonts w:ascii="Arial" w:cs="Arial" w:eastAsia="Arial" w:hAnsi="Arial"/>
                <w:sz w:val="16"/>
                <w:szCs w:val="16"/>
                <w:color w:val="4B4B4B"/>
                <w:w w:val="93"/>
              </w:rPr>
              <w:t>X</w:t>
            </w:r>
          </w:p>
        </w:tc>
        <w:tc>
          <w:tcPr>
            <w:tcW w:w="2460" w:type="dxa"/>
            <w:vAlign w:val="bottom"/>
          </w:tcPr>
          <w:p>
            <w:pPr>
              <w:spacing w:after="0"/>
              <w:rPr>
                <w:sz w:val="3"/>
                <w:szCs w:val="3"/>
                <w:color w:val="auto"/>
              </w:rPr>
            </w:pPr>
          </w:p>
        </w:tc>
        <w:tc>
          <w:tcPr>
            <w:tcW w:w="3160" w:type="dxa"/>
            <w:vAlign w:val="bottom"/>
            <w:vMerge w:val="restart"/>
          </w:tcPr>
          <w:p>
            <w:pPr>
              <w:jc w:val="center"/>
              <w:ind w:left="319"/>
              <w:spacing w:after="0"/>
              <w:rPr>
                <w:sz w:val="20"/>
                <w:szCs w:val="20"/>
                <w:color w:val="auto"/>
              </w:rPr>
            </w:pPr>
            <w:r>
              <w:rPr>
                <w:rFonts w:ascii="Arial" w:cs="Arial" w:eastAsia="Arial" w:hAnsi="Arial"/>
                <w:sz w:val="16"/>
                <w:szCs w:val="16"/>
                <w:color w:val="4B4B4B"/>
              </w:rPr>
              <w:t>X</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300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3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60" w:type="dxa"/>
            <w:vAlign w:val="bottom"/>
            <w:tcBorders>
              <w:bottom w:val="single" w:sz="8" w:color="E5E5E5"/>
            </w:tcBorders>
          </w:tcPr>
          <w:p>
            <w:pPr>
              <w:spacing w:after="0"/>
              <w:rPr>
                <w:sz w:val="3"/>
                <w:szCs w:val="3"/>
                <w:color w:val="auto"/>
              </w:rPr>
            </w:pPr>
          </w:p>
        </w:tc>
        <w:tc>
          <w:tcPr>
            <w:tcW w:w="2440" w:type="dxa"/>
            <w:vAlign w:val="bottom"/>
            <w:vMerge w:val="restart"/>
          </w:tcPr>
          <w:p>
            <w:pPr>
              <w:ind w:left="20"/>
              <w:spacing w:after="0"/>
              <w:rPr>
                <w:sz w:val="20"/>
                <w:szCs w:val="20"/>
                <w:color w:val="auto"/>
              </w:rPr>
            </w:pPr>
            <w:r>
              <w:rPr>
                <w:rFonts w:ascii="Arial" w:cs="Arial" w:eastAsia="Arial" w:hAnsi="Arial"/>
                <w:sz w:val="16"/>
                <w:szCs w:val="16"/>
                <w:color w:val="4B4B4B"/>
              </w:rPr>
              <w:t>Laela Sturdy</w:t>
            </w:r>
          </w:p>
        </w:tc>
        <w:tc>
          <w:tcPr>
            <w:tcW w:w="3000" w:type="dxa"/>
            <w:vAlign w:val="bottom"/>
            <w:vMerge w:val="restart"/>
          </w:tcPr>
          <w:p>
            <w:pPr>
              <w:jc w:val="center"/>
              <w:ind w:left="259"/>
              <w:spacing w:after="0"/>
              <w:rPr>
                <w:sz w:val="20"/>
                <w:szCs w:val="20"/>
                <w:color w:val="auto"/>
              </w:rPr>
            </w:pPr>
            <w:r>
              <w:rPr>
                <w:rFonts w:ascii="Arial" w:cs="Arial" w:eastAsia="Arial" w:hAnsi="Arial"/>
                <w:sz w:val="16"/>
                <w:szCs w:val="16"/>
                <w:color w:val="4B4B4B"/>
                <w:w w:val="93"/>
              </w:rPr>
              <w:t>X</w:t>
            </w:r>
          </w:p>
        </w:tc>
        <w:tc>
          <w:tcPr>
            <w:tcW w:w="24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300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60" w:type="dxa"/>
            <w:vAlign w:val="bottom"/>
            <w:tcBorders>
              <w:bottom w:val="single" w:sz="8" w:color="E5E5E5"/>
            </w:tcBorders>
          </w:tcPr>
          <w:p>
            <w:pPr>
              <w:spacing w:after="0"/>
              <w:rPr>
                <w:sz w:val="3"/>
                <w:szCs w:val="3"/>
                <w:color w:val="auto"/>
              </w:rPr>
            </w:pPr>
          </w:p>
        </w:tc>
        <w:tc>
          <w:tcPr>
            <w:tcW w:w="2440" w:type="dxa"/>
            <w:vAlign w:val="bottom"/>
          </w:tcPr>
          <w:p>
            <w:pPr>
              <w:spacing w:after="0"/>
              <w:rPr>
                <w:sz w:val="3"/>
                <w:szCs w:val="3"/>
                <w:color w:val="auto"/>
              </w:rPr>
            </w:pPr>
          </w:p>
        </w:tc>
        <w:tc>
          <w:tcPr>
            <w:tcW w:w="3000" w:type="dxa"/>
            <w:vAlign w:val="bottom"/>
          </w:tcPr>
          <w:p>
            <w:pPr>
              <w:spacing w:after="0"/>
              <w:rPr>
                <w:sz w:val="3"/>
                <w:szCs w:val="3"/>
                <w:color w:val="auto"/>
              </w:rPr>
            </w:pPr>
          </w:p>
        </w:tc>
        <w:tc>
          <w:tcPr>
            <w:tcW w:w="24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-26670</wp:posOffset>
            </wp:positionV>
            <wp:extent cx="705485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-207010</wp:posOffset>
            </wp:positionV>
            <wp:extent cx="705485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-386715</wp:posOffset>
            </wp:positionV>
            <wp:extent cx="705485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-567055</wp:posOffset>
            </wp:positionV>
            <wp:extent cx="705485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-747395</wp:posOffset>
            </wp:positionV>
            <wp:extent cx="705485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-927100</wp:posOffset>
            </wp:positionV>
            <wp:extent cx="705485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-1107440</wp:posOffset>
            </wp:positionV>
            <wp:extent cx="705485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54850" cy="42545"/>
                    </a:xfrm>
                    <a:prstGeom prst="rect">
                      <a:avLst/>
                    </a:prstGeom>
                    <a:noFill/>
                  </pic:spPr>
                </pic:pic>
              </a:graphicData>
            </a:graphic>
          </wp:anchor>
        </w:drawing>
      </w:r>
    </w:p>
    <w:p>
      <w:pPr>
        <w:spacing w:after="0" w:line="253"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4B4B4B"/>
        </w:rPr>
        <w:t>In March 2022, the Board established the Mergers and Acquisition committee consisting of Sara Clemens, John Lilly and Laela Sturdy. The M&amp;A Committee, pursuant to its charter, may act on behalf of the Board to review, assess, and approve certain acquisitions, investments, mergers, and similar strategic transactions up to a specified dollar limit and in accordance with any other relevant parameters as established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602615</wp:posOffset>
            </wp:positionV>
            <wp:extent cx="71062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21</w:t>
            </w:r>
          </w:p>
        </w:tc>
      </w:tr>
    </w:tbl>
    <w:p>
      <w:pPr>
        <w:sectPr>
          <w:pgSz w:w="11900" w:h="16838" w:orient="portrait"/>
          <w:cols w:equalWidth="0" w:num="1">
            <w:col w:w="11220"/>
          </w:cols>
          <w:pgMar w:left="320" w:top="1385" w:right="359" w:bottom="1440" w:gutter="0" w:footer="0" w:header="0"/>
        </w:sectPr>
      </w:pPr>
    </w:p>
    <w:bookmarkStart w:id="26" w:name="page27"/>
    <w:bookmarkEnd w:id="26"/>
    <w:p>
      <w:pPr>
        <w:spacing w:after="0"/>
        <w:rPr>
          <w:sz w:val="20"/>
          <w:szCs w:val="20"/>
          <w:color w:val="auto"/>
        </w:rPr>
      </w:pPr>
      <w:r>
        <w:rPr>
          <w:rFonts w:ascii="Arial" w:cs="Arial" w:eastAsia="Arial" w:hAnsi="Arial"/>
          <w:sz w:val="23"/>
          <w:szCs w:val="23"/>
          <w:b w:val="1"/>
          <w:bCs w:val="1"/>
          <w:color w:val="4B4B4B"/>
        </w:rPr>
        <w:t>Audit Committee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4B4B4B"/>
        </w:rPr>
        <w:t>Our Audit Committee is responsible for, among other things:</w:t>
      </w:r>
    </w:p>
    <w:p>
      <w:pPr>
        <w:spacing w:after="0" w:line="185" w:lineRule="exact"/>
        <w:rPr>
          <w:sz w:val="20"/>
          <w:szCs w:val="20"/>
          <w:color w:val="auto"/>
        </w:rPr>
      </w:pPr>
    </w:p>
    <w:p>
      <w:pPr>
        <w:ind w:left="240" w:hanging="234"/>
        <w:spacing w:after="0"/>
        <w:tabs>
          <w:tab w:leader="none" w:pos="240" w:val="left"/>
        </w:tabs>
        <w:numPr>
          <w:ilvl w:val="0"/>
          <w:numId w:val="15"/>
        </w:numPr>
        <w:rPr>
          <w:rFonts w:ascii="Arial" w:cs="Arial" w:eastAsia="Arial" w:hAnsi="Arial"/>
          <w:sz w:val="18"/>
          <w:szCs w:val="18"/>
          <w:color w:val="4B4B4B"/>
        </w:rPr>
      </w:pPr>
      <w:r>
        <w:rPr>
          <w:rFonts w:ascii="Arial" w:cs="Arial" w:eastAsia="Arial" w:hAnsi="Arial"/>
          <w:sz w:val="18"/>
          <w:szCs w:val="18"/>
          <w:color w:val="4B4B4B"/>
        </w:rPr>
        <w:t>overseeing our accounting and financial reporting process;</w:t>
      </w:r>
    </w:p>
    <w:p>
      <w:pPr>
        <w:spacing w:after="0" w:line="184" w:lineRule="exact"/>
        <w:rPr>
          <w:rFonts w:ascii="Arial" w:cs="Arial" w:eastAsia="Arial" w:hAnsi="Arial"/>
          <w:sz w:val="18"/>
          <w:szCs w:val="18"/>
          <w:color w:val="4B4B4B"/>
        </w:rPr>
      </w:pPr>
    </w:p>
    <w:p>
      <w:pPr>
        <w:ind w:left="240" w:right="80" w:hanging="234"/>
        <w:spacing w:after="0" w:line="277" w:lineRule="auto"/>
        <w:tabs>
          <w:tab w:leader="none" w:pos="222" w:val="left"/>
        </w:tabs>
        <w:numPr>
          <w:ilvl w:val="0"/>
          <w:numId w:val="15"/>
        </w:numPr>
        <w:rPr>
          <w:rFonts w:ascii="Arial" w:cs="Arial" w:eastAsia="Arial" w:hAnsi="Arial"/>
          <w:sz w:val="18"/>
          <w:szCs w:val="18"/>
          <w:color w:val="4B4B4B"/>
        </w:rPr>
      </w:pPr>
      <w:r>
        <w:rPr>
          <w:rFonts w:ascii="Arial" w:cs="Arial" w:eastAsia="Arial" w:hAnsi="Arial"/>
          <w:sz w:val="18"/>
          <w:szCs w:val="18"/>
          <w:color w:val="4B4B4B"/>
        </w:rPr>
        <w:t>appointing, compensating, retaining and overseeing the work of our independent auditor and any other registered public accounting firm engaged for the purpose of preparing or issuing an audit report or related work or performing other audit, review or attest services for us;</w:t>
      </w:r>
    </w:p>
    <w:p>
      <w:pPr>
        <w:spacing w:after="0" w:line="143" w:lineRule="exact"/>
        <w:rPr>
          <w:rFonts w:ascii="Arial" w:cs="Arial" w:eastAsia="Arial" w:hAnsi="Arial"/>
          <w:sz w:val="18"/>
          <w:szCs w:val="18"/>
          <w:color w:val="4B4B4B"/>
        </w:rPr>
      </w:pPr>
    </w:p>
    <w:p>
      <w:pPr>
        <w:ind w:left="240" w:hanging="234"/>
        <w:spacing w:after="0"/>
        <w:tabs>
          <w:tab w:leader="none" w:pos="240" w:val="left"/>
        </w:tabs>
        <w:numPr>
          <w:ilvl w:val="0"/>
          <w:numId w:val="15"/>
        </w:numPr>
        <w:rPr>
          <w:rFonts w:ascii="Arial" w:cs="Arial" w:eastAsia="Arial" w:hAnsi="Arial"/>
          <w:sz w:val="18"/>
          <w:szCs w:val="18"/>
          <w:color w:val="4B4B4B"/>
        </w:rPr>
      </w:pPr>
      <w:r>
        <w:rPr>
          <w:rFonts w:ascii="Arial" w:cs="Arial" w:eastAsia="Arial" w:hAnsi="Arial"/>
          <w:sz w:val="18"/>
          <w:szCs w:val="18"/>
          <w:color w:val="4B4B4B"/>
        </w:rPr>
        <w:t>discussing with our independent auditor any audit problems or difficulties and management’s response;</w:t>
      </w:r>
    </w:p>
    <w:p>
      <w:pPr>
        <w:spacing w:after="0" w:line="184" w:lineRule="exact"/>
        <w:rPr>
          <w:rFonts w:ascii="Arial" w:cs="Arial" w:eastAsia="Arial" w:hAnsi="Arial"/>
          <w:sz w:val="18"/>
          <w:szCs w:val="18"/>
          <w:color w:val="4B4B4B"/>
        </w:rPr>
      </w:pPr>
    </w:p>
    <w:p>
      <w:pPr>
        <w:ind w:left="240" w:right="140" w:hanging="234"/>
        <w:spacing w:after="0" w:line="271" w:lineRule="auto"/>
        <w:tabs>
          <w:tab w:leader="none" w:pos="222" w:val="left"/>
        </w:tabs>
        <w:numPr>
          <w:ilvl w:val="0"/>
          <w:numId w:val="15"/>
        </w:numPr>
        <w:rPr>
          <w:rFonts w:ascii="Arial" w:cs="Arial" w:eastAsia="Arial" w:hAnsi="Arial"/>
          <w:sz w:val="18"/>
          <w:szCs w:val="18"/>
          <w:color w:val="4B4B4B"/>
        </w:rPr>
      </w:pPr>
      <w:r>
        <w:rPr>
          <w:rFonts w:ascii="Arial" w:cs="Arial" w:eastAsia="Arial" w:hAnsi="Arial"/>
          <w:sz w:val="18"/>
          <w:szCs w:val="18"/>
          <w:color w:val="4B4B4B"/>
        </w:rPr>
        <w:t>pre-approving all audit and non-audit services provided to us by our independent auditor (other than those provided pursuant to appropriate pre-approval policies established by the Audit Committee or exempt from such requirement under the rules of the Securities and Exchange Commission);</w:t>
      </w:r>
    </w:p>
    <w:p>
      <w:pPr>
        <w:spacing w:after="0" w:line="149" w:lineRule="exact"/>
        <w:rPr>
          <w:rFonts w:ascii="Arial" w:cs="Arial" w:eastAsia="Arial" w:hAnsi="Arial"/>
          <w:sz w:val="18"/>
          <w:szCs w:val="18"/>
          <w:color w:val="4B4B4B"/>
        </w:rPr>
      </w:pPr>
    </w:p>
    <w:p>
      <w:pPr>
        <w:ind w:left="240" w:hanging="234"/>
        <w:spacing w:after="0"/>
        <w:tabs>
          <w:tab w:leader="none" w:pos="240" w:val="left"/>
        </w:tabs>
        <w:numPr>
          <w:ilvl w:val="0"/>
          <w:numId w:val="15"/>
        </w:numPr>
        <w:rPr>
          <w:rFonts w:ascii="Arial" w:cs="Arial" w:eastAsia="Arial" w:hAnsi="Arial"/>
          <w:sz w:val="18"/>
          <w:szCs w:val="18"/>
          <w:color w:val="4B4B4B"/>
        </w:rPr>
      </w:pPr>
      <w:r>
        <w:rPr>
          <w:rFonts w:ascii="Arial" w:cs="Arial" w:eastAsia="Arial" w:hAnsi="Arial"/>
          <w:sz w:val="18"/>
          <w:szCs w:val="18"/>
          <w:color w:val="4B4B4B"/>
        </w:rPr>
        <w:t>reviewing and discussing our annual and quarterly financial statements with management and our independent auditor;</w:t>
      </w:r>
    </w:p>
    <w:p>
      <w:pPr>
        <w:spacing w:after="0" w:line="184" w:lineRule="exact"/>
        <w:rPr>
          <w:rFonts w:ascii="Arial" w:cs="Arial" w:eastAsia="Arial" w:hAnsi="Arial"/>
          <w:sz w:val="18"/>
          <w:szCs w:val="18"/>
          <w:color w:val="4B4B4B"/>
        </w:rPr>
      </w:pPr>
    </w:p>
    <w:p>
      <w:pPr>
        <w:ind w:left="240" w:hanging="234"/>
        <w:spacing w:after="0"/>
        <w:tabs>
          <w:tab w:leader="none" w:pos="240" w:val="left"/>
        </w:tabs>
        <w:numPr>
          <w:ilvl w:val="0"/>
          <w:numId w:val="15"/>
        </w:numPr>
        <w:rPr>
          <w:rFonts w:ascii="Arial" w:cs="Arial" w:eastAsia="Arial" w:hAnsi="Arial"/>
          <w:sz w:val="18"/>
          <w:szCs w:val="18"/>
          <w:color w:val="4B4B4B"/>
        </w:rPr>
      </w:pPr>
      <w:r>
        <w:rPr>
          <w:rFonts w:ascii="Arial" w:cs="Arial" w:eastAsia="Arial" w:hAnsi="Arial"/>
          <w:sz w:val="18"/>
          <w:szCs w:val="18"/>
          <w:color w:val="4B4B4B"/>
        </w:rPr>
        <w:t>discussing our risk management policies;</w:t>
      </w:r>
    </w:p>
    <w:p>
      <w:pPr>
        <w:spacing w:after="0" w:line="184" w:lineRule="exact"/>
        <w:rPr>
          <w:rFonts w:ascii="Arial" w:cs="Arial" w:eastAsia="Arial" w:hAnsi="Arial"/>
          <w:sz w:val="18"/>
          <w:szCs w:val="18"/>
          <w:color w:val="4B4B4B"/>
        </w:rPr>
      </w:pPr>
    </w:p>
    <w:p>
      <w:pPr>
        <w:ind w:left="240" w:hanging="234"/>
        <w:spacing w:after="0"/>
        <w:tabs>
          <w:tab w:leader="none" w:pos="240" w:val="left"/>
        </w:tabs>
        <w:numPr>
          <w:ilvl w:val="0"/>
          <w:numId w:val="15"/>
        </w:numPr>
        <w:rPr>
          <w:rFonts w:ascii="Arial" w:cs="Arial" w:eastAsia="Arial" w:hAnsi="Arial"/>
          <w:sz w:val="18"/>
          <w:szCs w:val="18"/>
          <w:color w:val="4B4B4B"/>
        </w:rPr>
      </w:pPr>
      <w:r>
        <w:rPr>
          <w:rFonts w:ascii="Arial" w:cs="Arial" w:eastAsia="Arial" w:hAnsi="Arial"/>
          <w:sz w:val="18"/>
          <w:szCs w:val="18"/>
          <w:color w:val="4B4B4B"/>
        </w:rPr>
        <w:t>reviewing and approving or ratifying any related person transactions;</w:t>
      </w:r>
    </w:p>
    <w:p>
      <w:pPr>
        <w:spacing w:after="0" w:line="184" w:lineRule="exact"/>
        <w:rPr>
          <w:rFonts w:ascii="Arial" w:cs="Arial" w:eastAsia="Arial" w:hAnsi="Arial"/>
          <w:sz w:val="18"/>
          <w:szCs w:val="18"/>
          <w:color w:val="4B4B4B"/>
        </w:rPr>
      </w:pPr>
    </w:p>
    <w:p>
      <w:pPr>
        <w:jc w:val="both"/>
        <w:ind w:left="240" w:right="220" w:hanging="234"/>
        <w:spacing w:after="0" w:line="271" w:lineRule="auto"/>
        <w:tabs>
          <w:tab w:leader="none" w:pos="222" w:val="left"/>
        </w:tabs>
        <w:numPr>
          <w:ilvl w:val="0"/>
          <w:numId w:val="15"/>
        </w:numPr>
        <w:rPr>
          <w:rFonts w:ascii="Arial" w:cs="Arial" w:eastAsia="Arial" w:hAnsi="Arial"/>
          <w:sz w:val="18"/>
          <w:szCs w:val="18"/>
          <w:color w:val="4B4B4B"/>
        </w:rPr>
      </w:pPr>
      <w:r>
        <w:rPr>
          <w:rFonts w:ascii="Arial" w:cs="Arial" w:eastAsia="Arial" w:hAnsi="Arial"/>
          <w:sz w:val="18"/>
          <w:szCs w:val="18"/>
          <w:color w:val="4B4B4B"/>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w:t>
      </w:r>
    </w:p>
    <w:p>
      <w:pPr>
        <w:spacing w:after="0" w:line="149" w:lineRule="exact"/>
        <w:rPr>
          <w:rFonts w:ascii="Arial" w:cs="Arial" w:eastAsia="Arial" w:hAnsi="Arial"/>
          <w:sz w:val="18"/>
          <w:szCs w:val="18"/>
          <w:color w:val="4B4B4B"/>
        </w:rPr>
      </w:pPr>
    </w:p>
    <w:p>
      <w:pPr>
        <w:ind w:left="240" w:hanging="234"/>
        <w:spacing w:after="0"/>
        <w:tabs>
          <w:tab w:leader="none" w:pos="240" w:val="left"/>
        </w:tabs>
        <w:numPr>
          <w:ilvl w:val="0"/>
          <w:numId w:val="15"/>
        </w:numPr>
        <w:rPr>
          <w:rFonts w:ascii="Arial" w:cs="Arial" w:eastAsia="Arial" w:hAnsi="Arial"/>
          <w:sz w:val="18"/>
          <w:szCs w:val="18"/>
          <w:color w:val="4B4B4B"/>
        </w:rPr>
      </w:pPr>
      <w:r>
        <w:rPr>
          <w:rFonts w:ascii="Arial" w:cs="Arial" w:eastAsia="Arial" w:hAnsi="Arial"/>
          <w:sz w:val="18"/>
          <w:szCs w:val="18"/>
          <w:color w:val="4B4B4B"/>
        </w:rPr>
        <w:t>discussing with management procedures with respect to risk assessment and risk management; and</w:t>
      </w:r>
    </w:p>
    <w:p>
      <w:pPr>
        <w:spacing w:after="0" w:line="184" w:lineRule="exact"/>
        <w:rPr>
          <w:rFonts w:ascii="Arial" w:cs="Arial" w:eastAsia="Arial" w:hAnsi="Arial"/>
          <w:sz w:val="18"/>
          <w:szCs w:val="18"/>
          <w:color w:val="4B4B4B"/>
        </w:rPr>
      </w:pPr>
    </w:p>
    <w:p>
      <w:pPr>
        <w:ind w:left="240" w:hanging="234"/>
        <w:spacing w:after="0"/>
        <w:tabs>
          <w:tab w:leader="none" w:pos="240" w:val="left"/>
        </w:tabs>
        <w:numPr>
          <w:ilvl w:val="0"/>
          <w:numId w:val="15"/>
        </w:numPr>
        <w:rPr>
          <w:rFonts w:ascii="Arial" w:cs="Arial" w:eastAsia="Arial" w:hAnsi="Arial"/>
          <w:sz w:val="18"/>
          <w:szCs w:val="18"/>
          <w:color w:val="4B4B4B"/>
        </w:rPr>
      </w:pPr>
      <w:r>
        <w:rPr>
          <w:rFonts w:ascii="Arial" w:cs="Arial" w:eastAsia="Arial" w:hAnsi="Arial"/>
          <w:sz w:val="18"/>
          <w:szCs w:val="18"/>
          <w:color w:val="4B4B4B"/>
        </w:rPr>
        <w:t>preparing the Audit Committee report required by SEC rules.</w:t>
      </w:r>
    </w:p>
    <w:p>
      <w:pPr>
        <w:spacing w:after="0" w:line="1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4B4B4B"/>
        </w:rPr>
        <w:t>Our Audit Committee currently consists of Gillian Munson, Amy Bohutinsky, Jim Shelton, and Laela Sturdy, with Ms. Munson serving as chair. All members of our Audit Committee meet the requirements for financial literacy under the applicable Nasdaq rules and regulations. Our Board of Directors has affirmatively determined that each member of our Audit Committee qualifies as “independent” under Nasdaq’s additional standards applicable to Audit Committee members and Rule 10A-3 of the Exchange Act of 1934, as amended (the “Exchange Act”) applicable Audit Committee members. In addition, our Board of Directors has determined that Ms. Munson qualifies as an “audit committee financial expert,” as such term is defined in Item 407(d)(5)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885825</wp:posOffset>
            </wp:positionV>
            <wp:extent cx="71062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22</w:t>
            </w:r>
          </w:p>
        </w:tc>
      </w:tr>
    </w:tbl>
    <w:p>
      <w:pPr>
        <w:sectPr>
          <w:pgSz w:w="11900" w:h="16838" w:orient="portrait"/>
          <w:cols w:equalWidth="0" w:num="1">
            <w:col w:w="11180"/>
          </w:cols>
          <w:pgMar w:left="340" w:top="1385" w:right="379" w:bottom="1440" w:gutter="0" w:footer="0" w:header="0"/>
        </w:sectPr>
      </w:pPr>
    </w:p>
    <w:bookmarkStart w:id="27" w:name="page28"/>
    <w:bookmarkEnd w:id="27"/>
    <w:p>
      <w:pPr>
        <w:spacing w:after="0"/>
        <w:rPr>
          <w:sz w:val="20"/>
          <w:szCs w:val="20"/>
          <w:color w:val="auto"/>
        </w:rPr>
      </w:pPr>
      <w:r>
        <w:rPr>
          <w:rFonts w:ascii="Arial" w:cs="Arial" w:eastAsia="Arial" w:hAnsi="Arial"/>
          <w:sz w:val="23"/>
          <w:szCs w:val="23"/>
          <w:b w:val="1"/>
          <w:bCs w:val="1"/>
          <w:color w:val="4B4B4B"/>
        </w:rPr>
        <w:t>Compensation Committee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4B4B4B"/>
        </w:rPr>
        <w:t>Our Compensation Committee is responsible for, among other things:</w:t>
      </w:r>
    </w:p>
    <w:p>
      <w:pPr>
        <w:spacing w:after="0" w:line="185" w:lineRule="exact"/>
        <w:rPr>
          <w:sz w:val="20"/>
          <w:szCs w:val="20"/>
          <w:color w:val="auto"/>
        </w:rPr>
      </w:pPr>
    </w:p>
    <w:p>
      <w:pPr>
        <w:ind w:left="240" w:right="220" w:hanging="234"/>
        <w:spacing w:after="0" w:line="308" w:lineRule="auto"/>
        <w:tabs>
          <w:tab w:leader="none" w:pos="222" w:val="left"/>
        </w:tabs>
        <w:numPr>
          <w:ilvl w:val="0"/>
          <w:numId w:val="16"/>
        </w:numPr>
        <w:rPr>
          <w:rFonts w:ascii="Arial" w:cs="Arial" w:eastAsia="Arial" w:hAnsi="Arial"/>
          <w:sz w:val="17"/>
          <w:szCs w:val="17"/>
          <w:color w:val="4B4B4B"/>
        </w:rPr>
      </w:pPr>
      <w:r>
        <w:rPr>
          <w:rFonts w:ascii="Arial" w:cs="Arial" w:eastAsia="Arial" w:hAnsi="Arial"/>
          <w:sz w:val="17"/>
          <w:szCs w:val="17"/>
          <w:color w:val="4B4B4B"/>
        </w:rPr>
        <w:t>reviewing and approving corporate goals and objectives with respect to the compensation of our Chief Executive Officer, evaluating our Chief Executive Officer’s performance in light of these goals and objectives and setting our Chief Executive Officer’s compensation;</w:t>
      </w:r>
    </w:p>
    <w:p>
      <w:pPr>
        <w:spacing w:after="0" w:line="119" w:lineRule="exact"/>
        <w:rPr>
          <w:rFonts w:ascii="Arial" w:cs="Arial" w:eastAsia="Arial" w:hAnsi="Arial"/>
          <w:sz w:val="17"/>
          <w:szCs w:val="17"/>
          <w:color w:val="4B4B4B"/>
        </w:rPr>
      </w:pPr>
    </w:p>
    <w:p>
      <w:pPr>
        <w:ind w:left="240" w:hanging="234"/>
        <w:spacing w:after="0"/>
        <w:tabs>
          <w:tab w:leader="none" w:pos="240" w:val="left"/>
        </w:tabs>
        <w:numPr>
          <w:ilvl w:val="0"/>
          <w:numId w:val="16"/>
        </w:numPr>
        <w:rPr>
          <w:rFonts w:ascii="Arial" w:cs="Arial" w:eastAsia="Arial" w:hAnsi="Arial"/>
          <w:sz w:val="18"/>
          <w:szCs w:val="18"/>
          <w:color w:val="4B4B4B"/>
        </w:rPr>
      </w:pPr>
      <w:r>
        <w:rPr>
          <w:rFonts w:ascii="Arial" w:cs="Arial" w:eastAsia="Arial" w:hAnsi="Arial"/>
          <w:sz w:val="18"/>
          <w:szCs w:val="18"/>
          <w:color w:val="4B4B4B"/>
        </w:rPr>
        <w:t>reviewing and setting or making recommendations to our Board of Directors regarding the compensation of our other executive officers;</w:t>
      </w:r>
    </w:p>
    <w:p>
      <w:pPr>
        <w:spacing w:after="0" w:line="184" w:lineRule="exact"/>
        <w:rPr>
          <w:rFonts w:ascii="Arial" w:cs="Arial" w:eastAsia="Arial" w:hAnsi="Arial"/>
          <w:sz w:val="18"/>
          <w:szCs w:val="18"/>
          <w:color w:val="4B4B4B"/>
        </w:rPr>
      </w:pPr>
    </w:p>
    <w:p>
      <w:pPr>
        <w:ind w:left="240" w:hanging="234"/>
        <w:spacing w:after="0"/>
        <w:tabs>
          <w:tab w:leader="none" w:pos="240" w:val="left"/>
        </w:tabs>
        <w:numPr>
          <w:ilvl w:val="0"/>
          <w:numId w:val="16"/>
        </w:numPr>
        <w:rPr>
          <w:rFonts w:ascii="Arial" w:cs="Arial" w:eastAsia="Arial" w:hAnsi="Arial"/>
          <w:sz w:val="18"/>
          <w:szCs w:val="18"/>
          <w:color w:val="4B4B4B"/>
        </w:rPr>
      </w:pPr>
      <w:r>
        <w:rPr>
          <w:rFonts w:ascii="Arial" w:cs="Arial" w:eastAsia="Arial" w:hAnsi="Arial"/>
          <w:sz w:val="18"/>
          <w:szCs w:val="18"/>
          <w:color w:val="4B4B4B"/>
        </w:rPr>
        <w:t>reviewing and making recommendations to our Board of Directors regarding director compensation;</w:t>
      </w:r>
    </w:p>
    <w:p>
      <w:pPr>
        <w:spacing w:after="0" w:line="184" w:lineRule="exact"/>
        <w:rPr>
          <w:rFonts w:ascii="Arial" w:cs="Arial" w:eastAsia="Arial" w:hAnsi="Arial"/>
          <w:sz w:val="18"/>
          <w:szCs w:val="18"/>
          <w:color w:val="4B4B4B"/>
        </w:rPr>
      </w:pPr>
    </w:p>
    <w:p>
      <w:pPr>
        <w:ind w:left="240" w:right="180" w:hanging="234"/>
        <w:spacing w:after="0" w:line="277" w:lineRule="auto"/>
        <w:tabs>
          <w:tab w:leader="none" w:pos="222" w:val="left"/>
        </w:tabs>
        <w:numPr>
          <w:ilvl w:val="0"/>
          <w:numId w:val="16"/>
        </w:numPr>
        <w:rPr>
          <w:rFonts w:ascii="Arial" w:cs="Arial" w:eastAsia="Arial" w:hAnsi="Arial"/>
          <w:sz w:val="18"/>
          <w:szCs w:val="18"/>
          <w:color w:val="4B4B4B"/>
        </w:rPr>
      </w:pPr>
      <w:r>
        <w:rPr>
          <w:rFonts w:ascii="Arial" w:cs="Arial" w:eastAsia="Arial" w:hAnsi="Arial"/>
          <w:sz w:val="18"/>
          <w:szCs w:val="18"/>
          <w:color w:val="4B4B4B"/>
        </w:rPr>
        <w:t>reviewing and approving or making recommendations to our Board of Directors regarding our incentive compensation and equity-based plans and arrangements; and</w:t>
      </w:r>
    </w:p>
    <w:p>
      <w:pPr>
        <w:spacing w:after="0" w:line="143" w:lineRule="exact"/>
        <w:rPr>
          <w:rFonts w:ascii="Arial" w:cs="Arial" w:eastAsia="Arial" w:hAnsi="Arial"/>
          <w:sz w:val="18"/>
          <w:szCs w:val="18"/>
          <w:color w:val="4B4B4B"/>
        </w:rPr>
      </w:pPr>
    </w:p>
    <w:p>
      <w:pPr>
        <w:ind w:left="240" w:hanging="234"/>
        <w:spacing w:after="0"/>
        <w:tabs>
          <w:tab w:leader="none" w:pos="240" w:val="left"/>
        </w:tabs>
        <w:numPr>
          <w:ilvl w:val="0"/>
          <w:numId w:val="16"/>
        </w:numPr>
        <w:rPr>
          <w:rFonts w:ascii="Arial" w:cs="Arial" w:eastAsia="Arial" w:hAnsi="Arial"/>
          <w:sz w:val="18"/>
          <w:szCs w:val="18"/>
          <w:color w:val="4B4B4B"/>
        </w:rPr>
      </w:pPr>
      <w:r>
        <w:rPr>
          <w:rFonts w:ascii="Arial" w:cs="Arial" w:eastAsia="Arial" w:hAnsi="Arial"/>
          <w:sz w:val="18"/>
          <w:szCs w:val="18"/>
          <w:color w:val="4B4B4B"/>
        </w:rPr>
        <w:t>appointing and overseeing any compensation consultants;</w:t>
      </w:r>
    </w:p>
    <w:p>
      <w:pPr>
        <w:spacing w:after="0" w:line="184" w:lineRule="exact"/>
        <w:rPr>
          <w:rFonts w:ascii="Arial" w:cs="Arial" w:eastAsia="Arial" w:hAnsi="Arial"/>
          <w:sz w:val="18"/>
          <w:szCs w:val="18"/>
          <w:color w:val="4B4B4B"/>
        </w:rPr>
      </w:pPr>
    </w:p>
    <w:p>
      <w:pPr>
        <w:ind w:left="240" w:hanging="234"/>
        <w:spacing w:after="0"/>
        <w:tabs>
          <w:tab w:leader="none" w:pos="240" w:val="left"/>
        </w:tabs>
        <w:numPr>
          <w:ilvl w:val="0"/>
          <w:numId w:val="16"/>
        </w:numPr>
        <w:rPr>
          <w:rFonts w:ascii="Arial" w:cs="Arial" w:eastAsia="Arial" w:hAnsi="Arial"/>
          <w:sz w:val="18"/>
          <w:szCs w:val="18"/>
          <w:color w:val="4B4B4B"/>
        </w:rPr>
      </w:pPr>
      <w:r>
        <w:rPr>
          <w:rFonts w:ascii="Arial" w:cs="Arial" w:eastAsia="Arial" w:hAnsi="Arial"/>
          <w:sz w:val="18"/>
          <w:szCs w:val="18"/>
          <w:color w:val="4B4B4B"/>
        </w:rPr>
        <w:t>reviewing and discussing annually with management our “Compensation Discussion and Analysis,” to the extent required; and</w:t>
      </w:r>
    </w:p>
    <w:p>
      <w:pPr>
        <w:spacing w:after="0" w:line="184" w:lineRule="exact"/>
        <w:rPr>
          <w:rFonts w:ascii="Arial" w:cs="Arial" w:eastAsia="Arial" w:hAnsi="Arial"/>
          <w:sz w:val="18"/>
          <w:szCs w:val="18"/>
          <w:color w:val="4B4B4B"/>
        </w:rPr>
      </w:pPr>
    </w:p>
    <w:p>
      <w:pPr>
        <w:ind w:left="240" w:hanging="234"/>
        <w:spacing w:after="0"/>
        <w:tabs>
          <w:tab w:leader="none" w:pos="240" w:val="left"/>
        </w:tabs>
        <w:numPr>
          <w:ilvl w:val="0"/>
          <w:numId w:val="16"/>
        </w:numPr>
        <w:rPr>
          <w:rFonts w:ascii="Arial" w:cs="Arial" w:eastAsia="Arial" w:hAnsi="Arial"/>
          <w:sz w:val="18"/>
          <w:szCs w:val="18"/>
          <w:color w:val="4B4B4B"/>
        </w:rPr>
      </w:pPr>
      <w:r>
        <w:rPr>
          <w:rFonts w:ascii="Arial" w:cs="Arial" w:eastAsia="Arial" w:hAnsi="Arial"/>
          <w:sz w:val="18"/>
          <w:szCs w:val="18"/>
          <w:color w:val="4B4B4B"/>
        </w:rPr>
        <w:t>preparing the annual Compensation Committee report required by SEC rules, to the extent required.</w:t>
      </w:r>
    </w:p>
    <w:p>
      <w:pPr>
        <w:spacing w:after="0" w:line="185"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4B4B4B"/>
        </w:rPr>
        <w:t>Our Compensation Committee currently consists of Sara Clemens, Bing Gordon and John Lilly with Mr. Gordon serving as chair. Our Board of Directors has determined that each member of our Compensation Committee qualifies as “independent” under Nasdaq’s additional standards applicable to Compensation Committee members and is a “non-employee director” as defined in Section 16b-3 of the Exchange Act.</w:t>
      </w:r>
    </w:p>
    <w:p>
      <w:pPr>
        <w:spacing w:after="0" w:line="15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4B4B4B"/>
        </w:rPr>
        <w:t>Pursuant to the Compensation Committee’s charter, the Compensation Committee has the authority to retain or obtain the advice of compensation consultants, legal counsel and other advisors to assist in carrying out its responsibilities. Before selecting any such consultant, counsel or advisor, the Compensation Committee reviews and considers the independence of such consultant, counsel or advisor in accordance with applicable Nasdaq rules. We must provide appropriate funding for payment of reasonable compensation to any advisor retained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887095</wp:posOffset>
            </wp:positionV>
            <wp:extent cx="71062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23</w:t>
            </w:r>
          </w:p>
        </w:tc>
      </w:tr>
    </w:tbl>
    <w:p>
      <w:pPr>
        <w:sectPr>
          <w:pgSz w:w="11900" w:h="16838" w:orient="portrait"/>
          <w:cols w:equalWidth="0" w:num="1">
            <w:col w:w="11180"/>
          </w:cols>
          <w:pgMar w:left="340" w:top="1385" w:right="379" w:bottom="1440" w:gutter="0" w:footer="0" w:header="0"/>
        </w:sectPr>
      </w:pPr>
    </w:p>
    <w:bookmarkStart w:id="28" w:name="page29"/>
    <w:bookmarkEnd w:id="28"/>
    <w:p>
      <w:pPr>
        <w:ind w:left="20"/>
        <w:spacing w:after="0"/>
        <w:rPr>
          <w:sz w:val="20"/>
          <w:szCs w:val="20"/>
          <w:color w:val="auto"/>
        </w:rPr>
      </w:pPr>
      <w:r>
        <w:rPr>
          <w:rFonts w:ascii="Arial" w:cs="Arial" w:eastAsia="Arial" w:hAnsi="Arial"/>
          <w:sz w:val="23"/>
          <w:szCs w:val="23"/>
          <w:b w:val="1"/>
          <w:bCs w:val="1"/>
          <w:color w:val="4B4B4B"/>
        </w:rPr>
        <w:t>Compensation Consultants</w:t>
      </w:r>
    </w:p>
    <w:p>
      <w:pPr>
        <w:spacing w:after="0" w:line="325" w:lineRule="exact"/>
        <w:rPr>
          <w:sz w:val="20"/>
          <w:szCs w:val="20"/>
          <w:color w:val="auto"/>
        </w:rPr>
      </w:pPr>
    </w:p>
    <w:p>
      <w:pPr>
        <w:ind w:left="20" w:right="540"/>
        <w:spacing w:after="0" w:line="271" w:lineRule="auto"/>
        <w:rPr>
          <w:sz w:val="20"/>
          <w:szCs w:val="20"/>
          <w:color w:val="auto"/>
        </w:rPr>
      </w:pPr>
      <w:r>
        <w:rPr>
          <w:rFonts w:ascii="Arial" w:cs="Arial" w:eastAsia="Arial" w:hAnsi="Arial"/>
          <w:sz w:val="18"/>
          <w:szCs w:val="18"/>
          <w:color w:val="4B4B4B"/>
        </w:rPr>
        <w:t>The Compensation Committee has the authority under its charter to retain outside consultants or advisors, as it deems necessary or advisable. In accordance with this authority, the Compensation Committee has engaged the services of Compensia as its independent outside compensation consultant.</w:t>
      </w:r>
    </w:p>
    <w:p>
      <w:pPr>
        <w:spacing w:after="0" w:line="149" w:lineRule="exact"/>
        <w:rPr>
          <w:sz w:val="20"/>
          <w:szCs w:val="20"/>
          <w:color w:val="auto"/>
        </w:rPr>
      </w:pPr>
    </w:p>
    <w:p>
      <w:pPr>
        <w:ind w:left="20" w:right="200"/>
        <w:spacing w:after="0" w:line="269" w:lineRule="auto"/>
        <w:rPr>
          <w:sz w:val="20"/>
          <w:szCs w:val="20"/>
          <w:color w:val="auto"/>
        </w:rPr>
      </w:pPr>
      <w:r>
        <w:rPr>
          <w:rFonts w:ascii="Arial" w:cs="Arial" w:eastAsia="Arial" w:hAnsi="Arial"/>
          <w:sz w:val="18"/>
          <w:szCs w:val="18"/>
          <w:color w:val="4B4B4B"/>
        </w:rPr>
        <w:t>As requested by the Compensation Committee, in 2021, Compensia’s services to the Compensation Committee included: assisting us in developing our peer group composition, analyzing benchmarking data with respect to our executives’ overall individual compensation and providing information regarding current trends and developments in executive compensation, equity-based awards, severance agreements and employee stock purchase programs based on our peer group.</w:t>
      </w:r>
    </w:p>
    <w:p>
      <w:pPr>
        <w:spacing w:after="0" w:line="152" w:lineRule="exact"/>
        <w:rPr>
          <w:sz w:val="20"/>
          <w:szCs w:val="20"/>
          <w:color w:val="auto"/>
        </w:rPr>
      </w:pPr>
    </w:p>
    <w:p>
      <w:pPr>
        <w:ind w:left="20" w:right="220"/>
        <w:spacing w:after="0" w:line="268" w:lineRule="auto"/>
        <w:rPr>
          <w:sz w:val="20"/>
          <w:szCs w:val="20"/>
          <w:color w:val="auto"/>
        </w:rPr>
      </w:pPr>
      <w:r>
        <w:rPr>
          <w:rFonts w:ascii="Arial" w:cs="Arial" w:eastAsia="Arial" w:hAnsi="Arial"/>
          <w:sz w:val="18"/>
          <w:szCs w:val="18"/>
          <w:color w:val="4B4B4B"/>
        </w:rPr>
        <w:t>All executive compensation services provided by Compensia during 2021 were conducted under the direction or authority of the Compensation Committee, and all work performed by Compensia was approved by the Compensation Committee. Neither Compensia nor any of its affiliates maintains any other direct or indirect business relationships with us or any of our subsidiaries. The Compensation Committee evaluated whether any work provided by Compensia raised any conflict of interest for services performed during 2021 and determined that it did not.</w:t>
      </w:r>
    </w:p>
    <w:p>
      <w:pPr>
        <w:spacing w:after="0" w:line="154"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4B4B4B"/>
        </w:rPr>
        <w:t>Additionally, during 2021, Compensia did not provide any services to us other than regarding executive, employee and director compensation and broad-based plans that do not discriminate in scope, terms, or operation, in favor of our executive officers or directors, and that are available generally to all salaried employees.</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Nominating and Corporate Governance Committee</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4B4B4B"/>
        </w:rPr>
        <w:t>Our Nominating and Corporate Governance Committee is responsible for, among other things:</w:t>
      </w:r>
    </w:p>
    <w:p>
      <w:pPr>
        <w:spacing w:after="0" w:line="185" w:lineRule="exact"/>
        <w:rPr>
          <w:sz w:val="20"/>
          <w:szCs w:val="20"/>
          <w:color w:val="auto"/>
        </w:rPr>
      </w:pPr>
    </w:p>
    <w:p>
      <w:pPr>
        <w:ind w:left="260" w:right="660" w:hanging="234"/>
        <w:spacing w:after="0" w:line="277" w:lineRule="auto"/>
        <w:tabs>
          <w:tab w:leader="none" w:pos="242" w:val="left"/>
        </w:tabs>
        <w:numPr>
          <w:ilvl w:val="0"/>
          <w:numId w:val="17"/>
        </w:numPr>
        <w:rPr>
          <w:rFonts w:ascii="Arial" w:cs="Arial" w:eastAsia="Arial" w:hAnsi="Arial"/>
          <w:sz w:val="18"/>
          <w:szCs w:val="18"/>
          <w:color w:val="4B4B4B"/>
        </w:rPr>
      </w:pPr>
      <w:r>
        <w:rPr>
          <w:rFonts w:ascii="Arial" w:cs="Arial" w:eastAsia="Arial" w:hAnsi="Arial"/>
          <w:sz w:val="18"/>
          <w:szCs w:val="18"/>
          <w:color w:val="4B4B4B"/>
        </w:rPr>
        <w:t>identifying individuals qualified to become members of our Board and ensure the Board has the requisite expertise and consists of persons with sufficiently diverse and independent backgrounds;</w:t>
      </w:r>
    </w:p>
    <w:p>
      <w:pPr>
        <w:spacing w:after="0" w:line="143" w:lineRule="exact"/>
        <w:rPr>
          <w:rFonts w:ascii="Arial" w:cs="Arial" w:eastAsia="Arial" w:hAnsi="Arial"/>
          <w:sz w:val="18"/>
          <w:szCs w:val="18"/>
          <w:color w:val="4B4B4B"/>
        </w:rPr>
      </w:pPr>
    </w:p>
    <w:p>
      <w:pPr>
        <w:ind w:left="260" w:hanging="234"/>
        <w:spacing w:after="0"/>
        <w:tabs>
          <w:tab w:leader="none" w:pos="260" w:val="left"/>
        </w:tabs>
        <w:numPr>
          <w:ilvl w:val="0"/>
          <w:numId w:val="17"/>
        </w:numPr>
        <w:rPr>
          <w:rFonts w:ascii="Arial" w:cs="Arial" w:eastAsia="Arial" w:hAnsi="Arial"/>
          <w:sz w:val="18"/>
          <w:szCs w:val="18"/>
          <w:color w:val="4B4B4B"/>
        </w:rPr>
      </w:pPr>
      <w:r>
        <w:rPr>
          <w:rFonts w:ascii="Arial" w:cs="Arial" w:eastAsia="Arial" w:hAnsi="Arial"/>
          <w:sz w:val="18"/>
          <w:szCs w:val="18"/>
          <w:color w:val="4B4B4B"/>
        </w:rPr>
        <w:t>recommending to our Board the persons to be nominated for election as directors and to each committee of the Board;</w:t>
      </w:r>
    </w:p>
    <w:p>
      <w:pPr>
        <w:spacing w:after="0" w:line="184" w:lineRule="exact"/>
        <w:rPr>
          <w:rFonts w:ascii="Arial" w:cs="Arial" w:eastAsia="Arial" w:hAnsi="Arial"/>
          <w:sz w:val="18"/>
          <w:szCs w:val="18"/>
          <w:color w:val="4B4B4B"/>
        </w:rPr>
      </w:pPr>
    </w:p>
    <w:p>
      <w:pPr>
        <w:ind w:left="260" w:right="180" w:hanging="234"/>
        <w:spacing w:after="0" w:line="277" w:lineRule="auto"/>
        <w:tabs>
          <w:tab w:leader="none" w:pos="242" w:val="left"/>
        </w:tabs>
        <w:numPr>
          <w:ilvl w:val="0"/>
          <w:numId w:val="17"/>
        </w:numPr>
        <w:rPr>
          <w:rFonts w:ascii="Arial" w:cs="Arial" w:eastAsia="Arial" w:hAnsi="Arial"/>
          <w:sz w:val="18"/>
          <w:szCs w:val="18"/>
          <w:color w:val="4B4B4B"/>
        </w:rPr>
      </w:pPr>
      <w:r>
        <w:rPr>
          <w:rFonts w:ascii="Arial" w:cs="Arial" w:eastAsia="Arial" w:hAnsi="Arial"/>
          <w:sz w:val="18"/>
          <w:szCs w:val="18"/>
          <w:color w:val="4B4B4B"/>
        </w:rPr>
        <w:t>developing and recommending to our Board corporate governance guidelines, and reviewing and recommending to our Board proposed changes to our corporate governance guidelines from time to time; and</w:t>
      </w:r>
    </w:p>
    <w:p>
      <w:pPr>
        <w:spacing w:after="0" w:line="143" w:lineRule="exact"/>
        <w:rPr>
          <w:rFonts w:ascii="Arial" w:cs="Arial" w:eastAsia="Arial" w:hAnsi="Arial"/>
          <w:sz w:val="18"/>
          <w:szCs w:val="18"/>
          <w:color w:val="4B4B4B"/>
        </w:rPr>
      </w:pPr>
    </w:p>
    <w:p>
      <w:pPr>
        <w:ind w:left="260" w:hanging="234"/>
        <w:spacing w:after="0"/>
        <w:tabs>
          <w:tab w:leader="none" w:pos="260" w:val="left"/>
        </w:tabs>
        <w:numPr>
          <w:ilvl w:val="0"/>
          <w:numId w:val="17"/>
        </w:numPr>
        <w:rPr>
          <w:rFonts w:ascii="Arial" w:cs="Arial" w:eastAsia="Arial" w:hAnsi="Arial"/>
          <w:sz w:val="18"/>
          <w:szCs w:val="18"/>
          <w:color w:val="4B4B4B"/>
        </w:rPr>
      </w:pPr>
      <w:r>
        <w:rPr>
          <w:rFonts w:ascii="Arial" w:cs="Arial" w:eastAsia="Arial" w:hAnsi="Arial"/>
          <w:sz w:val="18"/>
          <w:szCs w:val="18"/>
          <w:color w:val="4B4B4B"/>
        </w:rPr>
        <w:t>overseeing the annual evaluations of our Board, its committees and management.</w:t>
      </w:r>
    </w:p>
    <w:p>
      <w:pPr>
        <w:spacing w:after="0" w:line="185" w:lineRule="exact"/>
        <w:rPr>
          <w:sz w:val="20"/>
          <w:szCs w:val="20"/>
          <w:color w:val="auto"/>
        </w:rPr>
      </w:pPr>
    </w:p>
    <w:p>
      <w:pPr>
        <w:ind w:left="20" w:right="160"/>
        <w:spacing w:after="0" w:line="271" w:lineRule="auto"/>
        <w:rPr>
          <w:sz w:val="20"/>
          <w:szCs w:val="20"/>
          <w:color w:val="auto"/>
        </w:rPr>
      </w:pPr>
      <w:r>
        <w:rPr>
          <w:rFonts w:ascii="Arial" w:cs="Arial" w:eastAsia="Arial" w:hAnsi="Arial"/>
          <w:sz w:val="18"/>
          <w:szCs w:val="18"/>
          <w:color w:val="4B4B4B"/>
        </w:rPr>
        <w:t>Our Nominating and Corporate Governance Committee currently consists of Amy Bohutinsky, Sara Clemens and Jim Shelton, with Ms. Clemens serving as chair. Our Board has determined that each member of our Nominating and Corporate Governance Committee qualifies as “independent” under applicable Nasdaq rules applicable to Nominating and Corporate Governance Committee members.</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Board and Board Committee Meetings and Attendance</w:t>
      </w:r>
    </w:p>
    <w:p>
      <w:pPr>
        <w:spacing w:after="0" w:line="325" w:lineRule="exact"/>
        <w:rPr>
          <w:sz w:val="20"/>
          <w:szCs w:val="20"/>
          <w:color w:val="auto"/>
        </w:rPr>
      </w:pPr>
    </w:p>
    <w:p>
      <w:pPr>
        <w:ind w:left="20" w:right="200"/>
        <w:spacing w:after="0" w:line="271" w:lineRule="auto"/>
        <w:rPr>
          <w:sz w:val="20"/>
          <w:szCs w:val="20"/>
          <w:color w:val="auto"/>
        </w:rPr>
      </w:pPr>
      <w:r>
        <w:rPr>
          <w:rFonts w:ascii="Arial" w:cs="Arial" w:eastAsia="Arial" w:hAnsi="Arial"/>
          <w:sz w:val="18"/>
          <w:szCs w:val="18"/>
          <w:color w:val="4B4B4B"/>
        </w:rPr>
        <w:t>During fiscal 2021, our Board of Directors met six times, the Audit Committee met four times, the Compensation Committee met nine times and the Nominating and Corporate Governance Committee met twice. In 2021, each of our incumbent directors then-serving attended at least 75% of the meetings of the Board and committees on which he or she served as a member.</w:t>
      </w: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Executive Sessions</w:t>
      </w: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4B4B4B"/>
        </w:rPr>
        <w:t>The independent directors meet at least twice a year in a private session that excludes management and any non-independent directors. The independent directors in attendance determine which member will preside at such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700405</wp:posOffset>
            </wp:positionV>
            <wp:extent cx="71062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tabs>
          <w:tab w:leader="none" w:pos="11020" w:val="left"/>
        </w:tabs>
        <w:rPr>
          <w:sz w:val="20"/>
          <w:szCs w:val="20"/>
          <w:color w:val="auto"/>
        </w:rPr>
      </w:pPr>
      <w:r>
        <w:rPr>
          <w:rFonts w:ascii="Arial" w:cs="Arial" w:eastAsia="Arial" w:hAnsi="Arial"/>
          <w:sz w:val="14"/>
          <w:szCs w:val="14"/>
          <w:b w:val="1"/>
          <w:bCs w:val="1"/>
          <w:color w:val="AFAFAF"/>
        </w:rPr>
        <w:t>DUOLINGO 2022 PROXY STATEMENT</w:t>
      </w:r>
      <w:r>
        <w:rPr>
          <w:sz w:val="20"/>
          <w:szCs w:val="20"/>
          <w:color w:val="auto"/>
        </w:rPr>
        <w:tab/>
      </w:r>
      <w:r>
        <w:rPr>
          <w:rFonts w:ascii="Arial" w:cs="Arial" w:eastAsia="Arial" w:hAnsi="Arial"/>
          <w:sz w:val="14"/>
          <w:szCs w:val="14"/>
          <w:b w:val="1"/>
          <w:bCs w:val="1"/>
          <w:color w:val="AFAFAF"/>
        </w:rPr>
        <w:t>24</w:t>
      </w:r>
    </w:p>
    <w:p>
      <w:pPr>
        <w:sectPr>
          <w:pgSz w:w="11900" w:h="16838" w:orient="portrait"/>
          <w:cols w:equalWidth="0" w:num="1">
            <w:col w:w="11240"/>
          </w:cols>
          <w:pgMar w:left="320" w:top="1385" w:right="339" w:bottom="1440" w:gutter="0" w:footer="0" w:header="0"/>
          <w:type w:val="continuous"/>
        </w:sectPr>
      </w:pPr>
    </w:p>
    <w:bookmarkStart w:id="29" w:name="page30"/>
    <w:bookmarkEnd w:id="29"/>
    <w:p>
      <w:pPr>
        <w:ind w:left="20"/>
        <w:spacing w:after="0"/>
        <w:rPr>
          <w:sz w:val="20"/>
          <w:szCs w:val="20"/>
          <w:color w:val="auto"/>
        </w:rPr>
      </w:pPr>
      <w:r>
        <w:rPr>
          <w:rFonts w:ascii="Arial" w:cs="Arial" w:eastAsia="Arial" w:hAnsi="Arial"/>
          <w:sz w:val="23"/>
          <w:szCs w:val="23"/>
          <w:b w:val="1"/>
          <w:bCs w:val="1"/>
          <w:color w:val="4B4B4B"/>
        </w:rPr>
        <w:t>Director Attendance at Annual Meeting of Stockholders</w:t>
      </w:r>
    </w:p>
    <w:p>
      <w:pPr>
        <w:spacing w:after="0" w:line="325" w:lineRule="exact"/>
        <w:rPr>
          <w:sz w:val="20"/>
          <w:szCs w:val="20"/>
          <w:color w:val="auto"/>
        </w:rPr>
      </w:pPr>
    </w:p>
    <w:p>
      <w:pPr>
        <w:ind w:left="20" w:right="160"/>
        <w:spacing w:after="0" w:line="271" w:lineRule="auto"/>
        <w:rPr>
          <w:sz w:val="20"/>
          <w:szCs w:val="20"/>
          <w:color w:val="auto"/>
        </w:rPr>
      </w:pPr>
      <w:r>
        <w:rPr>
          <w:rFonts w:ascii="Arial" w:cs="Arial" w:eastAsia="Arial" w:hAnsi="Arial"/>
          <w:sz w:val="18"/>
          <w:szCs w:val="18"/>
          <w:color w:val="4B4B4B"/>
        </w:rPr>
        <w:t>We do not have a formal policy regarding the attendance of our Board members at our annual meetings of stockholders, but we expect all directors to make every effort to attend any meeting of stockholders. Given the timing of our initial public offering, we did not hold an annual meeting in 2021.</w:t>
      </w:r>
    </w:p>
    <w:p>
      <w:pPr>
        <w:spacing w:after="0" w:line="234"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Director Nominations Process</w:t>
      </w:r>
    </w:p>
    <w:p>
      <w:pPr>
        <w:spacing w:after="0" w:line="21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4B4B4B"/>
        </w:rPr>
        <w:t>The Nominating and Corporate Governance Committee is responsible for recommending candidates to serve on the Board and its committees. In considering whether to recommend any particular candidate to serve on the Board or its committees or for inclusion in the Board’s slate of recommended director nominees for election at the annual meeting of stockholders, the Nominating and Corporate Governance Committee considers the criteria set forth in our Corporate Governance Guidelines. Specifically, the Nominating and Corporate Governance Committee considers candidates who have a high level of personal and professional integrity, strong ethics and values and the ability to make mature business judgments and may take into account many factors, including, but not limited to: personal and professional integrity, ethics and values; experience in corporate management, such as serving as an officer or former officer of a publicly held company; strong finance experience; relevant social policy concerns;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gender identification or identification as an underrepresented minority or as LGBTQ+, practical and mature business judgment, including, but not limited to, the ability to make independent analytical inquiries; and any other relevant qualifications, attributes or skills. In determining whether to recommend a director for re-election, the Nominating and Corporate Governance Committee will also consider the director’s past attendance at meetings and participation in and contributions to the activities of the Board.</w:t>
      </w:r>
    </w:p>
    <w:p>
      <w:pPr>
        <w:spacing w:after="0" w:line="163" w:lineRule="exact"/>
        <w:rPr>
          <w:sz w:val="20"/>
          <w:szCs w:val="20"/>
          <w:color w:val="auto"/>
        </w:rPr>
      </w:pPr>
    </w:p>
    <w:p>
      <w:pPr>
        <w:spacing w:after="0" w:line="268" w:lineRule="auto"/>
        <w:rPr>
          <w:sz w:val="20"/>
          <w:szCs w:val="20"/>
          <w:color w:val="auto"/>
        </w:rPr>
      </w:pPr>
      <w:r>
        <w:rPr>
          <w:rFonts w:ascii="Arial" w:cs="Arial" w:eastAsia="Arial" w:hAnsi="Arial"/>
          <w:sz w:val="18"/>
          <w:szCs w:val="18"/>
          <w:color w:val="4B4B4B"/>
        </w:rPr>
        <w:t>We consider diversity, such as gender, race, ethnicity and membership of underrepresented communities, a meaningful factor in identifying director nominees and view such diversity characteristics as meaningful factors to consider, but do not have a formal diversity policy. The Board evaluates each individual in the context of the Board as a whole, with the objective of assembling a group that has the necessary tools to perform its oversight function effectively in light of the Company’s business and structure. In determining whether to recommend a director for re-election, the nominating and corporate governance committee may also consider potential conflicts of interest with the candidate’s other personal and profession pursuits, the director’s past attendance at meetings and participation in and contributions to the activities of the Board.</w:t>
      </w:r>
    </w:p>
    <w:p>
      <w:pPr>
        <w:spacing w:after="0" w:line="151"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4B4B4B"/>
        </w:rPr>
        <w:t>In identifying prospective director candidates, the Nominating and Corporate Governance Committee may seek referrals from other members of the Board, management, stockholders and other sources, including third party recommendations. The Nominating and Corporate Governance Committee also may, but need not, retain a search firm in order to assist it in identifying candidates to serve as directors of the Company. The Nominating and Corporate Governance Committee uses the same criteria for evaluating candidates regardless of the source of the referral or recommendation. When considering director candidates, the Nominating and Corporate Governance Committee seeks individuals with backgrounds and qualities that, when combined with those of our incumbent directors, provide a blend of skills and experience to further enhance the Board’s effectiveness. In connection with its annual recommendation of a slate of nominees, the Nominating and Corporate Governance Committee also may assess the contributions of those directors recommended for re-election in the context of the Board evaluation process and other perceived needs of the Board.</w:t>
      </w:r>
    </w:p>
    <w:p>
      <w:pPr>
        <w:spacing w:after="0" w:line="15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4B4B4B"/>
        </w:rPr>
        <w:t>Mr. Gordon and Ms. Sturdy were initially recommended to serve as members of our Board by certain of our pre-initial public offering (IPO) investors. Mr. Lilly was initially recommended to serve as a member of our Board by other sitting non-management Board members and was also independently identified by a third-party search firm retained to identify potential Board members. Each of the director nominees to be elected at the Annual Meeting was evaluated in accordance with our standard review process for director candidates in connection with their nomination for reelection, as applicable,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715645</wp:posOffset>
            </wp:positionV>
            <wp:extent cx="71062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25</w:t>
            </w:r>
          </w:p>
        </w:tc>
      </w:tr>
    </w:tbl>
    <w:p>
      <w:pPr>
        <w:sectPr>
          <w:pgSz w:w="11900" w:h="16838" w:orient="portrait"/>
          <w:cols w:equalWidth="0" w:num="1">
            <w:col w:w="11240"/>
          </w:cols>
          <w:pgMar w:left="320" w:top="1385" w:right="339" w:bottom="1440" w:gutter="0" w:footer="0" w:header="0"/>
        </w:sectPr>
      </w:pPr>
    </w:p>
    <w:bookmarkStart w:id="30" w:name="page31"/>
    <w:bookmarkEnd w:id="30"/>
    <w:p>
      <w:pPr>
        <w:ind w:right="100"/>
        <w:spacing w:after="0" w:line="268" w:lineRule="auto"/>
        <w:rPr>
          <w:sz w:val="20"/>
          <w:szCs w:val="20"/>
          <w:color w:val="auto"/>
        </w:rPr>
      </w:pPr>
      <w:r>
        <w:rPr>
          <w:rFonts w:ascii="Arial" w:cs="Arial" w:eastAsia="Arial" w:hAnsi="Arial"/>
          <w:sz w:val="18"/>
          <w:szCs w:val="18"/>
          <w:color w:val="4B4B4B"/>
        </w:rPr>
        <w:t>When considering whether the directors and nominees have the experience, qualifications, attributes and skills, taken as a whole, to enable the Board to satisfy its oversight responsibilities effectively in light of our business and structure, the Board focused primarily on the information discussed in each of the Board member’s biographical information set forth above. We believe that our directors provide an appropriate mix of experience and skills relevant to the size and nature of our business. This process resulted in the Board’s nomination of the incumbent directors named in this Proxy Statement and proposed for election by you at the Annual Meeting.</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4B4B4B"/>
        </w:rPr>
        <w:t>The Nominating and Corporate Governance Committee will consider director candidates recommended by stockholders, and such candidates will be considered and evaluated under the same criteria described above. Any recommendation submitted to the Company should be in writing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and must otherwise comply with the requirements under our Bylaws for stockholders to recommend director nominees. Stockholders wishing to propose a candidate for consideration may do so by submitting the above information to the attention of the Corporate Secretary, Duolingo, Inc., 5900 Penn Avenue, Pittsburgh, Pennsylvania 15206. All recommendations for director nominations received by the Secretary that satisfy our Bylaws requirements relating to such director nominations will be presented to the Nominating and Corporate Governance Committee for its consideration. Stockholders also must satisfy the notification, timeliness, consent and information requirements set forth in our Bylaws. These timing requirements are also described under the caption “Stockholder Proposals and Director Nominations.”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Board Role in Risk Oversight</w:t>
      </w:r>
    </w:p>
    <w:p>
      <w:pPr>
        <w:spacing w:after="0" w:line="325" w:lineRule="exact"/>
        <w:rPr>
          <w:sz w:val="20"/>
          <w:szCs w:val="20"/>
          <w:color w:val="auto"/>
        </w:rPr>
      </w:pPr>
    </w:p>
    <w:p>
      <w:pPr>
        <w:ind w:left="20" w:right="220"/>
        <w:spacing w:after="0" w:line="268" w:lineRule="auto"/>
        <w:rPr>
          <w:sz w:val="20"/>
          <w:szCs w:val="20"/>
          <w:color w:val="auto"/>
        </w:rPr>
      </w:pPr>
      <w:r>
        <w:rPr>
          <w:rFonts w:ascii="Arial" w:cs="Arial" w:eastAsia="Arial" w:hAnsi="Arial"/>
          <w:sz w:val="18"/>
          <w:szCs w:val="18"/>
          <w:color w:val="4B4B4B"/>
        </w:rPr>
        <w:t>The Board of Directors has overall responsibility for risk oversight, including, as part of regular Board and committee meetings, general oversight of executives’ management of risks relevant to the Company. A fundamental part of risk oversight is not only understanding the material risks a company faces and the steps management is taking to manage those risks, but also understanding what level of risk is appropriate for the Company. The involvement of the Board of Directors in reviewing our business strategy is an integral aspect of the Board’s assessment of management’s tolerance for risk and its determination of what constitutes an appropriate level of risk for the Company. While the full Board has overall responsibility for risk oversight, it is supported in this function by its Audit Committee, Compensation Committee and Nominating and Corporate Governance Committee. Each of the committees regularly reports to the Board.</w:t>
      </w:r>
    </w:p>
    <w:p>
      <w:pPr>
        <w:spacing w:after="0" w:line="151" w:lineRule="exact"/>
        <w:rPr>
          <w:sz w:val="20"/>
          <w:szCs w:val="20"/>
          <w:color w:val="auto"/>
        </w:rPr>
      </w:pPr>
    </w:p>
    <w:p>
      <w:pPr>
        <w:ind w:left="20" w:right="60"/>
        <w:spacing w:after="0" w:line="267" w:lineRule="auto"/>
        <w:rPr>
          <w:sz w:val="20"/>
          <w:szCs w:val="20"/>
          <w:color w:val="auto"/>
        </w:rPr>
      </w:pPr>
      <w:r>
        <w:rPr>
          <w:rFonts w:ascii="Arial" w:cs="Arial" w:eastAsia="Arial" w:hAnsi="Arial"/>
          <w:sz w:val="18"/>
          <w:szCs w:val="18"/>
          <w:color w:val="4B4B4B"/>
        </w:rPr>
        <w:t>The Audit Committee also has responsibility for oversight of risks and exposures associated with financial matters, particularly financial reporting, tax, accounting, disclosure, internal control over financial reporting, investment guidelines and credit and liquidity matters, the Company’s programs, plans and policies relating to legal and regulatory compliance and strategy, and the Company’s operational infrastructure, particularly reliability, business continuity, capacity, security, and data privacy, including cybersecurity. Through its regular meetings with management, including the finance and legal functions, and advisors, the Audit Committee reviews and discusses significant areas of our business and summarizes for the Board areas of risk and the appropriate mitigating factors. The Compensation Committee assists the Board by overseeing and evaluating risks related to the Company’s compensation structure and compensation programs, including the formulation, administration and regulatory compliance with respect to compensation matters. The Nominating and Corporate Governance Committee assists the Board by overseeing and evaluating programs and risks associated with Board organization, membership and structure, and corporate governance. In addition, our Board receives periodic detailed operating performance reviews from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886460</wp:posOffset>
            </wp:positionV>
            <wp:extent cx="71062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26</w:t>
            </w:r>
          </w:p>
        </w:tc>
      </w:tr>
    </w:tbl>
    <w:p>
      <w:pPr>
        <w:sectPr>
          <w:pgSz w:w="11900" w:h="16838" w:orient="portrait"/>
          <w:cols w:equalWidth="0" w:num="1">
            <w:col w:w="11200"/>
          </w:cols>
          <w:pgMar w:left="320" w:top="1354" w:right="379" w:bottom="1440" w:gutter="0" w:footer="0" w:header="0"/>
        </w:sectPr>
      </w:pPr>
    </w:p>
    <w:bookmarkStart w:id="31" w:name="page32"/>
    <w:bookmarkEnd w:id="31"/>
    <w:p>
      <w:pPr>
        <w:spacing w:after="0"/>
        <w:rPr>
          <w:sz w:val="20"/>
          <w:szCs w:val="20"/>
          <w:color w:val="auto"/>
        </w:rPr>
      </w:pPr>
      <w:r>
        <w:rPr>
          <w:rFonts w:ascii="Arial" w:cs="Arial" w:eastAsia="Arial" w:hAnsi="Arial"/>
          <w:sz w:val="23"/>
          <w:szCs w:val="23"/>
          <w:b w:val="1"/>
          <w:bCs w:val="1"/>
          <w:color w:val="4B4B4B"/>
        </w:rPr>
        <w:t>Committee Charters and Corporate Governance Guidelines</w:t>
      </w:r>
    </w:p>
    <w:p>
      <w:pPr>
        <w:spacing w:after="0" w:line="325"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4B4B4B"/>
        </w:rPr>
        <w:t>Our Corporate Governance Guidelines, charters of the Audit Committee, Compensation Committee and Nominating and Corporate Governance Committee and other corporate governance information are available under the Governance section of the Investor Relations page of our website located at www.investors.duolingo.com, or by writing to our Corporate Secretary at our offices at 5900 Penn Avenue, Pittsburgh, Pennsylvania 15206.</w:t>
      </w:r>
    </w:p>
    <w:p>
      <w:pPr>
        <w:spacing w:after="0" w:line="291"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Code of Business Conduct and Ethics</w:t>
      </w:r>
    </w:p>
    <w:p>
      <w:pPr>
        <w:spacing w:after="0" w:line="200" w:lineRule="exact"/>
        <w:rPr>
          <w:sz w:val="20"/>
          <w:szCs w:val="20"/>
          <w:color w:val="auto"/>
        </w:rPr>
      </w:pPr>
    </w:p>
    <w:p>
      <w:pPr>
        <w:spacing w:after="0" w:line="28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4B4B4B"/>
        </w:rPr>
        <w:t>We have adopted a Code of Ethics and Conduct (the “Code of Conduct”) that applies to all of our directors, officers and employees, including our principal executive officer, principal financial officer or controller, or persons performing similar functions. Our Code of Conduct is available under the Governance section of the Investor Relations page of our website located at www.investors.duolingo.com. In addition, we intend to post on our website all disclosures that are required by law or the Nasdaq rules concerning any amendments to, or waivers of, any provisions of our Code of Conduct.</w:t>
      </w:r>
    </w:p>
    <w:p>
      <w:pPr>
        <w:spacing w:after="0" w:line="306"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Anti-Hedging Policy</w:t>
      </w:r>
    </w:p>
    <w:p>
      <w:pPr>
        <w:spacing w:after="0" w:line="325"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4B4B4B"/>
        </w:rPr>
        <w:t>Our Board of Directors has adopted an Insider Trading Compliance Policy, that prohibits our directors, officers and employees, as well as persons and entities over which they have control, from purchasing financial instruments, such as prepaid variable forward contracts, equity swaps, collars, and exchange funds, or otherwise engaging in transactions that hedge or offset, or are designed to hedge or offset, any decrease in the market value of our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782955</wp:posOffset>
            </wp:positionV>
            <wp:extent cx="71062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27</w:t>
            </w:r>
          </w:p>
        </w:tc>
      </w:tr>
    </w:tbl>
    <w:p>
      <w:pPr>
        <w:sectPr>
          <w:pgSz w:w="11900" w:h="16838" w:orient="portrait"/>
          <w:cols w:equalWidth="0" w:num="1">
            <w:col w:w="11180"/>
          </w:cols>
          <w:pgMar w:left="340" w:top="1385" w:right="379" w:bottom="1440" w:gutter="0" w:footer="0" w:header="0"/>
        </w:sectPr>
      </w:pPr>
    </w:p>
    <w:bookmarkStart w:id="32" w:name="page33"/>
    <w:bookmarkEnd w:id="32"/>
    <w:p>
      <w:pPr>
        <w:ind w:left="20"/>
        <w:spacing w:after="0"/>
        <w:rPr>
          <w:sz w:val="20"/>
          <w:szCs w:val="20"/>
          <w:color w:val="auto"/>
        </w:rPr>
      </w:pPr>
      <w:r>
        <w:rPr>
          <w:rFonts w:ascii="Arial" w:cs="Arial" w:eastAsia="Arial" w:hAnsi="Arial"/>
          <w:sz w:val="23"/>
          <w:szCs w:val="23"/>
          <w:b w:val="1"/>
          <w:bCs w:val="1"/>
          <w:color w:val="4B4B4B"/>
        </w:rPr>
        <w:t>Communications with the Board</w:t>
      </w:r>
    </w:p>
    <w:p>
      <w:pPr>
        <w:spacing w:after="0" w:line="325" w:lineRule="exact"/>
        <w:rPr>
          <w:sz w:val="20"/>
          <w:szCs w:val="20"/>
          <w:color w:val="auto"/>
        </w:rPr>
      </w:pPr>
    </w:p>
    <w:p>
      <w:pPr>
        <w:ind w:left="20" w:right="140"/>
        <w:spacing w:after="0" w:line="269" w:lineRule="auto"/>
        <w:rPr>
          <w:sz w:val="20"/>
          <w:szCs w:val="20"/>
          <w:color w:val="auto"/>
        </w:rPr>
      </w:pPr>
      <w:r>
        <w:rPr>
          <w:rFonts w:ascii="Arial" w:cs="Arial" w:eastAsia="Arial" w:hAnsi="Arial"/>
          <w:sz w:val="18"/>
          <w:szCs w:val="18"/>
          <w:color w:val="4B4B4B"/>
        </w:rPr>
        <w:t>Any stockholder or any other interested party who desires to communicate with our Board of Directors, our non-management directors or any specified individual director, may do so by directing such correspondence to the attention of the Corporate Secretary at our offices at 5900 Penn Avenue, Pittsburgh, Pennsylvania 15206. The Corporate Secretary will forward the communication to the appropriate director or directors as appropriate.</w:t>
      </w:r>
    </w:p>
    <w:p>
      <w:pPr>
        <w:spacing w:after="0" w:line="237"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Board Diversity Matrix (as of April 22, 2022)</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140" w:type="dxa"/>
            <w:vAlign w:val="bottom"/>
            <w:tcBorders>
              <w:bottom w:val="single" w:sz="8" w:color="DBDBDB"/>
            </w:tcBorders>
            <w:shd w:val="clear" w:color="auto" w:fill="DBDBDB"/>
          </w:tcPr>
          <w:p>
            <w:pPr>
              <w:spacing w:after="0"/>
              <w:rPr>
                <w:sz w:val="20"/>
                <w:szCs w:val="20"/>
                <w:color w:val="auto"/>
              </w:rPr>
            </w:pPr>
          </w:p>
        </w:tc>
        <w:tc>
          <w:tcPr>
            <w:tcW w:w="4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4B4B4B"/>
              </w:rPr>
              <w:t>Total Number of Directors</w:t>
            </w:r>
          </w:p>
        </w:tc>
        <w:tc>
          <w:tcPr>
            <w:tcW w:w="1980" w:type="dxa"/>
            <w:vAlign w:val="bottom"/>
            <w:tcBorders>
              <w:bottom w:val="single" w:sz="8" w:color="DBDBDB"/>
            </w:tcBorders>
            <w:shd w:val="clear" w:color="auto" w:fill="DBDBDB"/>
          </w:tcPr>
          <w:p>
            <w:pPr>
              <w:spacing w:after="0"/>
              <w:rPr>
                <w:sz w:val="20"/>
                <w:szCs w:val="20"/>
                <w:color w:val="auto"/>
              </w:rPr>
            </w:pPr>
          </w:p>
        </w:tc>
        <w:tc>
          <w:tcPr>
            <w:tcW w:w="1300" w:type="dxa"/>
            <w:vAlign w:val="bottom"/>
            <w:tcBorders>
              <w:bottom w:val="single" w:sz="8" w:color="DBDBDB"/>
            </w:tcBorders>
            <w:shd w:val="clear" w:color="auto" w:fill="DBDBDB"/>
          </w:tcPr>
          <w:p>
            <w:pPr>
              <w:spacing w:after="0"/>
              <w:rPr>
                <w:sz w:val="20"/>
                <w:szCs w:val="20"/>
                <w:color w:val="auto"/>
              </w:rPr>
            </w:pPr>
          </w:p>
        </w:tc>
        <w:tc>
          <w:tcPr>
            <w:tcW w:w="1940" w:type="dxa"/>
            <w:vAlign w:val="bottom"/>
            <w:tcBorders>
              <w:bottom w:val="single" w:sz="8" w:color="DBDBDB"/>
            </w:tcBorders>
            <w:shd w:val="clear" w:color="auto" w:fill="DBDBDB"/>
          </w:tcPr>
          <w:p>
            <w:pPr>
              <w:jc w:val="right"/>
              <w:ind w:right="1459"/>
              <w:spacing w:after="0"/>
              <w:rPr>
                <w:sz w:val="20"/>
                <w:szCs w:val="20"/>
                <w:color w:val="auto"/>
              </w:rPr>
            </w:pPr>
            <w:r>
              <w:rPr>
                <w:rFonts w:ascii="Arial" w:cs="Arial" w:eastAsia="Arial" w:hAnsi="Arial"/>
                <w:sz w:val="16"/>
                <w:szCs w:val="16"/>
                <w:color w:val="4B4B4B"/>
              </w:rPr>
              <w:t>9</w:t>
            </w:r>
          </w:p>
        </w:tc>
        <w:tc>
          <w:tcPr>
            <w:tcW w:w="1820" w:type="dxa"/>
            <w:vAlign w:val="bottom"/>
            <w:tcBorders>
              <w:bottom w:val="single" w:sz="8" w:color="DBDBDB"/>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40" w:type="dxa"/>
            <w:vAlign w:val="bottom"/>
            <w:shd w:val="clear" w:color="auto" w:fill="F7F7F7"/>
          </w:tcPr>
          <w:p>
            <w:pPr>
              <w:spacing w:after="0"/>
              <w:rPr>
                <w:sz w:val="18"/>
                <w:szCs w:val="18"/>
                <w:color w:val="auto"/>
              </w:rPr>
            </w:pPr>
          </w:p>
        </w:tc>
        <w:tc>
          <w:tcPr>
            <w:tcW w:w="4040" w:type="dxa"/>
            <w:vAlign w:val="bottom"/>
            <w:shd w:val="clear" w:color="auto" w:fill="F7F7F7"/>
          </w:tcPr>
          <w:p>
            <w:pPr>
              <w:spacing w:after="0"/>
              <w:rPr>
                <w:sz w:val="18"/>
                <w:szCs w:val="18"/>
                <w:color w:val="auto"/>
              </w:rPr>
            </w:pPr>
          </w:p>
        </w:tc>
        <w:tc>
          <w:tcPr>
            <w:tcW w:w="1980" w:type="dxa"/>
            <w:vAlign w:val="bottom"/>
            <w:vMerge w:val="restart"/>
            <w:shd w:val="clear" w:color="auto" w:fill="F7F7F7"/>
          </w:tcPr>
          <w:p>
            <w:pPr>
              <w:ind w:left="820"/>
              <w:spacing w:after="0"/>
              <w:rPr>
                <w:sz w:val="20"/>
                <w:szCs w:val="20"/>
                <w:color w:val="auto"/>
              </w:rPr>
            </w:pPr>
            <w:r>
              <w:rPr>
                <w:rFonts w:ascii="Arial" w:cs="Arial" w:eastAsia="Arial" w:hAnsi="Arial"/>
                <w:sz w:val="16"/>
                <w:szCs w:val="16"/>
                <w:b w:val="1"/>
                <w:bCs w:val="1"/>
                <w:color w:val="4B4B4B"/>
              </w:rPr>
              <w:t>Female</w:t>
            </w:r>
          </w:p>
        </w:tc>
        <w:tc>
          <w:tcPr>
            <w:tcW w:w="1300" w:type="dxa"/>
            <w:vAlign w:val="bottom"/>
            <w:vMerge w:val="restart"/>
            <w:shd w:val="clear" w:color="auto" w:fill="F7F7F7"/>
          </w:tcPr>
          <w:p>
            <w:pPr>
              <w:ind w:left="620"/>
              <w:spacing w:after="0"/>
              <w:rPr>
                <w:sz w:val="20"/>
                <w:szCs w:val="20"/>
                <w:color w:val="auto"/>
              </w:rPr>
            </w:pPr>
            <w:r>
              <w:rPr>
                <w:rFonts w:ascii="Arial" w:cs="Arial" w:eastAsia="Arial" w:hAnsi="Arial"/>
                <w:sz w:val="16"/>
                <w:szCs w:val="16"/>
                <w:b w:val="1"/>
                <w:bCs w:val="1"/>
                <w:color w:val="4B4B4B"/>
              </w:rPr>
              <w:t>Male</w:t>
            </w:r>
          </w:p>
        </w:tc>
        <w:tc>
          <w:tcPr>
            <w:tcW w:w="1940" w:type="dxa"/>
            <w:vAlign w:val="bottom"/>
            <w:vMerge w:val="restart"/>
            <w:shd w:val="clear" w:color="auto" w:fill="F7F7F7"/>
          </w:tcPr>
          <w:p>
            <w:pPr>
              <w:jc w:val="center"/>
              <w:ind w:left="379"/>
              <w:spacing w:after="0"/>
              <w:rPr>
                <w:sz w:val="20"/>
                <w:szCs w:val="20"/>
                <w:color w:val="auto"/>
              </w:rPr>
            </w:pPr>
            <w:r>
              <w:rPr>
                <w:rFonts w:ascii="Arial" w:cs="Arial" w:eastAsia="Arial" w:hAnsi="Arial"/>
                <w:sz w:val="16"/>
                <w:szCs w:val="16"/>
                <w:b w:val="1"/>
                <w:bCs w:val="1"/>
                <w:color w:val="4B4B4B"/>
              </w:rPr>
              <w:t>Non-Binary</w:t>
            </w:r>
          </w:p>
        </w:tc>
        <w:tc>
          <w:tcPr>
            <w:tcW w:w="1820" w:type="dxa"/>
            <w:vAlign w:val="bottom"/>
            <w:shd w:val="clear" w:color="auto" w:fill="F7F7F7"/>
          </w:tcPr>
          <w:p>
            <w:pPr>
              <w:jc w:val="center"/>
              <w:ind w:left="19"/>
              <w:spacing w:after="0"/>
              <w:rPr>
                <w:sz w:val="20"/>
                <w:szCs w:val="20"/>
                <w:color w:val="auto"/>
              </w:rPr>
            </w:pPr>
            <w:r>
              <w:rPr>
                <w:rFonts w:ascii="Arial" w:cs="Arial" w:eastAsia="Arial" w:hAnsi="Arial"/>
                <w:sz w:val="16"/>
                <w:szCs w:val="16"/>
                <w:b w:val="1"/>
                <w:bCs w:val="1"/>
                <w:color w:val="4B4B4B"/>
              </w:rPr>
              <w:t>Did Not Disclose</w:t>
            </w:r>
          </w:p>
        </w:tc>
        <w:tc>
          <w:tcPr>
            <w:tcW w:w="0" w:type="dxa"/>
            <w:vAlign w:val="bottom"/>
          </w:tcPr>
          <w:p>
            <w:pPr>
              <w:spacing w:after="0"/>
              <w:rPr>
                <w:sz w:val="1"/>
                <w:szCs w:val="1"/>
                <w:color w:val="auto"/>
              </w:rPr>
            </w:pPr>
          </w:p>
        </w:tc>
      </w:tr>
      <w:tr>
        <w:trPr>
          <w:trHeight w:val="107"/>
        </w:trPr>
        <w:tc>
          <w:tcPr>
            <w:tcW w:w="140" w:type="dxa"/>
            <w:vAlign w:val="bottom"/>
            <w:shd w:val="clear" w:color="auto" w:fill="F7F7F7"/>
          </w:tcPr>
          <w:p>
            <w:pPr>
              <w:spacing w:after="0"/>
              <w:rPr>
                <w:sz w:val="9"/>
                <w:szCs w:val="9"/>
                <w:color w:val="auto"/>
              </w:rPr>
            </w:pPr>
          </w:p>
        </w:tc>
        <w:tc>
          <w:tcPr>
            <w:tcW w:w="4040" w:type="dxa"/>
            <w:vAlign w:val="bottom"/>
            <w:shd w:val="clear" w:color="auto" w:fill="F7F7F7"/>
          </w:tcPr>
          <w:p>
            <w:pPr>
              <w:spacing w:after="0"/>
              <w:rPr>
                <w:sz w:val="9"/>
                <w:szCs w:val="9"/>
                <w:color w:val="auto"/>
              </w:rPr>
            </w:pPr>
          </w:p>
        </w:tc>
        <w:tc>
          <w:tcPr>
            <w:tcW w:w="1980" w:type="dxa"/>
            <w:vAlign w:val="bottom"/>
            <w:vMerge w:val="continue"/>
            <w:shd w:val="clear" w:color="auto" w:fill="F7F7F7"/>
          </w:tcPr>
          <w:p>
            <w:pPr>
              <w:spacing w:after="0"/>
              <w:rPr>
                <w:sz w:val="9"/>
                <w:szCs w:val="9"/>
                <w:color w:val="auto"/>
              </w:rPr>
            </w:pPr>
          </w:p>
        </w:tc>
        <w:tc>
          <w:tcPr>
            <w:tcW w:w="1300" w:type="dxa"/>
            <w:vAlign w:val="bottom"/>
            <w:vMerge w:val="continue"/>
            <w:shd w:val="clear" w:color="auto" w:fill="F7F7F7"/>
          </w:tcPr>
          <w:p>
            <w:pPr>
              <w:spacing w:after="0"/>
              <w:rPr>
                <w:sz w:val="9"/>
                <w:szCs w:val="9"/>
                <w:color w:val="auto"/>
              </w:rPr>
            </w:pPr>
          </w:p>
        </w:tc>
        <w:tc>
          <w:tcPr>
            <w:tcW w:w="1940" w:type="dxa"/>
            <w:vAlign w:val="bottom"/>
            <w:vMerge w:val="continue"/>
            <w:shd w:val="clear" w:color="auto" w:fill="F7F7F7"/>
          </w:tcPr>
          <w:p>
            <w:pPr>
              <w:spacing w:after="0"/>
              <w:rPr>
                <w:sz w:val="9"/>
                <w:szCs w:val="9"/>
                <w:color w:val="auto"/>
              </w:rPr>
            </w:pPr>
          </w:p>
        </w:tc>
        <w:tc>
          <w:tcPr>
            <w:tcW w:w="1820" w:type="dxa"/>
            <w:vAlign w:val="bottom"/>
            <w:vMerge w:val="restart"/>
            <w:shd w:val="clear" w:color="auto" w:fill="F7F7F7"/>
          </w:tcPr>
          <w:p>
            <w:pPr>
              <w:jc w:val="center"/>
              <w:ind w:left="19"/>
              <w:spacing w:after="0"/>
              <w:rPr>
                <w:sz w:val="20"/>
                <w:szCs w:val="20"/>
                <w:color w:val="auto"/>
              </w:rPr>
            </w:pPr>
            <w:r>
              <w:rPr>
                <w:rFonts w:ascii="Arial" w:cs="Arial" w:eastAsia="Arial" w:hAnsi="Arial"/>
                <w:sz w:val="16"/>
                <w:szCs w:val="16"/>
                <w:b w:val="1"/>
                <w:bCs w:val="1"/>
                <w:color w:val="4B4B4B"/>
                <w:w w:val="99"/>
              </w:rPr>
              <w:t>Gender</w:t>
            </w:r>
          </w:p>
        </w:tc>
        <w:tc>
          <w:tcPr>
            <w:tcW w:w="0" w:type="dxa"/>
            <w:vAlign w:val="bottom"/>
          </w:tcPr>
          <w:p>
            <w:pPr>
              <w:spacing w:after="0"/>
              <w:rPr>
                <w:sz w:val="1"/>
                <w:szCs w:val="1"/>
                <w:color w:val="auto"/>
              </w:rPr>
            </w:pPr>
          </w:p>
        </w:tc>
      </w:tr>
      <w:tr>
        <w:trPr>
          <w:trHeight w:val="121"/>
        </w:trPr>
        <w:tc>
          <w:tcPr>
            <w:tcW w:w="140" w:type="dxa"/>
            <w:vAlign w:val="bottom"/>
            <w:tcBorders>
              <w:bottom w:val="single" w:sz="8" w:color="F7F7F7"/>
            </w:tcBorders>
            <w:shd w:val="clear" w:color="auto" w:fill="F7F7F7"/>
          </w:tcPr>
          <w:p>
            <w:pPr>
              <w:spacing w:after="0"/>
              <w:rPr>
                <w:sz w:val="10"/>
                <w:szCs w:val="10"/>
                <w:color w:val="auto"/>
              </w:rPr>
            </w:pPr>
          </w:p>
        </w:tc>
        <w:tc>
          <w:tcPr>
            <w:tcW w:w="4040" w:type="dxa"/>
            <w:vAlign w:val="bottom"/>
            <w:tcBorders>
              <w:bottom w:val="single" w:sz="8" w:color="F7F7F7"/>
            </w:tcBorders>
            <w:shd w:val="clear" w:color="auto" w:fill="F7F7F7"/>
          </w:tcPr>
          <w:p>
            <w:pPr>
              <w:spacing w:after="0"/>
              <w:rPr>
                <w:sz w:val="10"/>
                <w:szCs w:val="10"/>
                <w:color w:val="auto"/>
              </w:rPr>
            </w:pPr>
          </w:p>
        </w:tc>
        <w:tc>
          <w:tcPr>
            <w:tcW w:w="1980" w:type="dxa"/>
            <w:vAlign w:val="bottom"/>
            <w:tcBorders>
              <w:bottom w:val="single" w:sz="8" w:color="F7F7F7"/>
            </w:tcBorders>
            <w:shd w:val="clear" w:color="auto" w:fill="F7F7F7"/>
          </w:tcPr>
          <w:p>
            <w:pPr>
              <w:spacing w:after="0"/>
              <w:rPr>
                <w:sz w:val="10"/>
                <w:szCs w:val="10"/>
                <w:color w:val="auto"/>
              </w:rPr>
            </w:pPr>
          </w:p>
        </w:tc>
        <w:tc>
          <w:tcPr>
            <w:tcW w:w="1300" w:type="dxa"/>
            <w:vAlign w:val="bottom"/>
            <w:tcBorders>
              <w:bottom w:val="single" w:sz="8" w:color="F7F7F7"/>
            </w:tcBorders>
            <w:shd w:val="clear" w:color="auto" w:fill="F7F7F7"/>
          </w:tcPr>
          <w:p>
            <w:pPr>
              <w:spacing w:after="0"/>
              <w:rPr>
                <w:sz w:val="10"/>
                <w:szCs w:val="10"/>
                <w:color w:val="auto"/>
              </w:rPr>
            </w:pPr>
          </w:p>
        </w:tc>
        <w:tc>
          <w:tcPr>
            <w:tcW w:w="1940" w:type="dxa"/>
            <w:vAlign w:val="bottom"/>
            <w:tcBorders>
              <w:bottom w:val="single" w:sz="8" w:color="F7F7F7"/>
            </w:tcBorders>
            <w:shd w:val="clear" w:color="auto" w:fill="F7F7F7"/>
          </w:tcPr>
          <w:p>
            <w:pPr>
              <w:spacing w:after="0"/>
              <w:rPr>
                <w:sz w:val="10"/>
                <w:szCs w:val="10"/>
                <w:color w:val="auto"/>
              </w:rPr>
            </w:pPr>
          </w:p>
        </w:tc>
        <w:tc>
          <w:tcPr>
            <w:tcW w:w="1820" w:type="dxa"/>
            <w:vAlign w:val="bottom"/>
            <w:tcBorders>
              <w:bottom w:val="single" w:sz="8" w:color="F7F7F7"/>
            </w:tcBorders>
            <w:vMerge w:val="continue"/>
            <w:shd w:val="clear" w:color="auto" w:fill="F7F7F7"/>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Arial" w:cs="Arial" w:eastAsia="Arial" w:hAnsi="Arial"/>
                <w:sz w:val="16"/>
                <w:szCs w:val="16"/>
                <w:b w:val="1"/>
                <w:bCs w:val="1"/>
                <w:color w:val="4B4B4B"/>
              </w:rPr>
              <w:t>Part I: Gender Identity</w:t>
            </w:r>
          </w:p>
        </w:tc>
        <w:tc>
          <w:tcPr>
            <w:tcW w:w="1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40" w:type="dxa"/>
            <w:vAlign w:val="bottom"/>
            <w:tcBorders>
              <w:bottom w:val="single" w:sz="8" w:color="E5E5E5"/>
            </w:tcBorders>
          </w:tcPr>
          <w:p>
            <w:pPr>
              <w:spacing w:after="0"/>
              <w:rPr>
                <w:sz w:val="3"/>
                <w:szCs w:val="3"/>
                <w:color w:val="auto"/>
              </w:rPr>
            </w:pPr>
          </w:p>
        </w:tc>
        <w:tc>
          <w:tcPr>
            <w:tcW w:w="4040" w:type="dxa"/>
            <w:vAlign w:val="bottom"/>
            <w:vMerge w:val="restart"/>
          </w:tcPr>
          <w:p>
            <w:pPr>
              <w:ind w:left="120"/>
              <w:spacing w:after="0"/>
              <w:rPr>
                <w:sz w:val="20"/>
                <w:szCs w:val="20"/>
                <w:color w:val="auto"/>
              </w:rPr>
            </w:pPr>
            <w:r>
              <w:rPr>
                <w:rFonts w:ascii="Arial" w:cs="Arial" w:eastAsia="Arial" w:hAnsi="Arial"/>
                <w:sz w:val="16"/>
                <w:szCs w:val="16"/>
                <w:color w:val="4B4B4B"/>
              </w:rPr>
              <w:t>Directors</w:t>
            </w:r>
          </w:p>
        </w:tc>
        <w:tc>
          <w:tcPr>
            <w:tcW w:w="1980" w:type="dxa"/>
            <w:vAlign w:val="bottom"/>
            <w:vMerge w:val="restart"/>
          </w:tcPr>
          <w:p>
            <w:pPr>
              <w:jc w:val="center"/>
              <w:ind w:left="119"/>
              <w:spacing w:after="0"/>
              <w:rPr>
                <w:sz w:val="20"/>
                <w:szCs w:val="20"/>
                <w:color w:val="auto"/>
              </w:rPr>
            </w:pPr>
            <w:r>
              <w:rPr>
                <w:rFonts w:ascii="Arial" w:cs="Arial" w:eastAsia="Arial" w:hAnsi="Arial"/>
                <w:sz w:val="16"/>
                <w:szCs w:val="16"/>
                <w:color w:val="4B4B4B"/>
              </w:rPr>
              <w:t>4</w:t>
            </w:r>
          </w:p>
        </w:tc>
        <w:tc>
          <w:tcPr>
            <w:tcW w:w="1300" w:type="dxa"/>
            <w:vAlign w:val="bottom"/>
            <w:vMerge w:val="restart"/>
          </w:tcPr>
          <w:p>
            <w:pPr>
              <w:jc w:val="center"/>
              <w:ind w:left="239"/>
              <w:spacing w:after="0"/>
              <w:rPr>
                <w:sz w:val="20"/>
                <w:szCs w:val="20"/>
                <w:color w:val="auto"/>
              </w:rPr>
            </w:pPr>
            <w:r>
              <w:rPr>
                <w:rFonts w:ascii="Arial" w:cs="Arial" w:eastAsia="Arial" w:hAnsi="Arial"/>
                <w:sz w:val="16"/>
                <w:szCs w:val="16"/>
                <w:color w:val="4B4B4B"/>
              </w:rPr>
              <w:t>5</w:t>
            </w:r>
          </w:p>
        </w:tc>
        <w:tc>
          <w:tcPr>
            <w:tcW w:w="1940" w:type="dxa"/>
            <w:vAlign w:val="bottom"/>
            <w:vMerge w:val="restart"/>
          </w:tcPr>
          <w:p>
            <w:pPr>
              <w:jc w:val="center"/>
              <w:ind w:left="379"/>
              <w:spacing w:after="0"/>
              <w:rPr>
                <w:sz w:val="20"/>
                <w:szCs w:val="20"/>
                <w:color w:val="auto"/>
              </w:rPr>
            </w:pPr>
            <w:r>
              <w:rPr>
                <w:rFonts w:ascii="Arial" w:cs="Arial" w:eastAsia="Arial" w:hAnsi="Arial"/>
                <w:sz w:val="16"/>
                <w:szCs w:val="16"/>
                <w:color w:val="4B4B4B"/>
                <w:w w:val="99"/>
              </w:rPr>
              <w:t>—</w:t>
            </w:r>
          </w:p>
        </w:tc>
        <w:tc>
          <w:tcPr>
            <w:tcW w:w="1820" w:type="dxa"/>
            <w:vAlign w:val="bottom"/>
            <w:vMerge w:val="restart"/>
          </w:tcPr>
          <w:p>
            <w:pPr>
              <w:jc w:val="center"/>
              <w:ind w:left="19"/>
              <w:spacing w:after="0"/>
              <w:rPr>
                <w:sz w:val="20"/>
                <w:szCs w:val="20"/>
                <w:color w:val="auto"/>
              </w:rPr>
            </w:pPr>
            <w:r>
              <w:rPr>
                <w:rFonts w:ascii="Arial" w:cs="Arial" w:eastAsia="Arial" w:hAnsi="Arial"/>
                <w:sz w:val="16"/>
                <w:szCs w:val="16"/>
                <w:color w:val="4B4B4B"/>
                <w:w w:val="99"/>
              </w:rPr>
              <w:t>—</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404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94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40" w:type="dxa"/>
            <w:vAlign w:val="bottom"/>
            <w:tcBorders>
              <w:bottom w:val="single" w:sz="8" w:color="E5E5E5"/>
            </w:tcBorders>
          </w:tcPr>
          <w:p>
            <w:pPr>
              <w:spacing w:after="0"/>
              <w:rPr>
                <w:sz w:val="3"/>
                <w:szCs w:val="3"/>
                <w:color w:val="auto"/>
              </w:rPr>
            </w:pPr>
          </w:p>
        </w:tc>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4B4B4B"/>
              </w:rPr>
              <w:t>Part II: Demographic Background</w:t>
            </w:r>
          </w:p>
        </w:tc>
        <w:tc>
          <w:tcPr>
            <w:tcW w:w="19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4040" w:type="dxa"/>
            <w:vAlign w:val="bottom"/>
            <w:vMerge w:val="continue"/>
          </w:tcPr>
          <w:p>
            <w:pPr>
              <w:spacing w:after="0"/>
              <w:rPr>
                <w:sz w:val="19"/>
                <w:szCs w:val="19"/>
                <w:color w:val="auto"/>
              </w:rPr>
            </w:pPr>
          </w:p>
        </w:tc>
        <w:tc>
          <w:tcPr>
            <w:tcW w:w="1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40" w:type="dxa"/>
            <w:vAlign w:val="bottom"/>
            <w:tcBorders>
              <w:bottom w:val="single" w:sz="8" w:color="E5E5E5"/>
            </w:tcBorders>
          </w:tcPr>
          <w:p>
            <w:pPr>
              <w:spacing w:after="0"/>
              <w:rPr>
                <w:sz w:val="3"/>
                <w:szCs w:val="3"/>
                <w:color w:val="auto"/>
              </w:rPr>
            </w:pPr>
          </w:p>
        </w:tc>
        <w:tc>
          <w:tcPr>
            <w:tcW w:w="4040" w:type="dxa"/>
            <w:vAlign w:val="bottom"/>
            <w:vMerge w:val="restart"/>
          </w:tcPr>
          <w:p>
            <w:pPr>
              <w:ind w:left="120"/>
              <w:spacing w:after="0"/>
              <w:rPr>
                <w:sz w:val="20"/>
                <w:szCs w:val="20"/>
                <w:color w:val="auto"/>
              </w:rPr>
            </w:pPr>
            <w:r>
              <w:rPr>
                <w:rFonts w:ascii="Arial" w:cs="Arial" w:eastAsia="Arial" w:hAnsi="Arial"/>
                <w:sz w:val="16"/>
                <w:szCs w:val="16"/>
                <w:color w:val="4B4B4B"/>
              </w:rPr>
              <w:t>African American or Black</w:t>
            </w:r>
          </w:p>
        </w:tc>
        <w:tc>
          <w:tcPr>
            <w:tcW w:w="1980" w:type="dxa"/>
            <w:vAlign w:val="bottom"/>
            <w:vMerge w:val="restart"/>
          </w:tcPr>
          <w:p>
            <w:pPr>
              <w:jc w:val="center"/>
              <w:ind w:left="139"/>
              <w:spacing w:after="0"/>
              <w:rPr>
                <w:sz w:val="20"/>
                <w:szCs w:val="20"/>
                <w:color w:val="auto"/>
              </w:rPr>
            </w:pPr>
            <w:r>
              <w:rPr>
                <w:rFonts w:ascii="Arial" w:cs="Arial" w:eastAsia="Arial" w:hAnsi="Arial"/>
                <w:sz w:val="16"/>
                <w:szCs w:val="16"/>
                <w:color w:val="4B4B4B"/>
                <w:w w:val="99"/>
              </w:rPr>
              <w:t>—</w:t>
            </w:r>
          </w:p>
        </w:tc>
        <w:tc>
          <w:tcPr>
            <w:tcW w:w="1300" w:type="dxa"/>
            <w:vAlign w:val="bottom"/>
            <w:vMerge w:val="restart"/>
          </w:tcPr>
          <w:p>
            <w:pPr>
              <w:jc w:val="center"/>
              <w:ind w:left="239"/>
              <w:spacing w:after="0"/>
              <w:rPr>
                <w:sz w:val="20"/>
                <w:szCs w:val="20"/>
                <w:color w:val="auto"/>
              </w:rPr>
            </w:pPr>
            <w:r>
              <w:rPr>
                <w:rFonts w:ascii="Arial" w:cs="Arial" w:eastAsia="Arial" w:hAnsi="Arial"/>
                <w:sz w:val="16"/>
                <w:szCs w:val="16"/>
                <w:color w:val="4B4B4B"/>
              </w:rPr>
              <w:t>1</w:t>
            </w:r>
          </w:p>
        </w:tc>
        <w:tc>
          <w:tcPr>
            <w:tcW w:w="1940" w:type="dxa"/>
            <w:vAlign w:val="bottom"/>
            <w:vMerge w:val="restart"/>
          </w:tcPr>
          <w:p>
            <w:pPr>
              <w:jc w:val="center"/>
              <w:ind w:left="379"/>
              <w:spacing w:after="0"/>
              <w:rPr>
                <w:sz w:val="20"/>
                <w:szCs w:val="20"/>
                <w:color w:val="auto"/>
              </w:rPr>
            </w:pPr>
            <w:r>
              <w:rPr>
                <w:rFonts w:ascii="Arial" w:cs="Arial" w:eastAsia="Arial" w:hAnsi="Arial"/>
                <w:sz w:val="16"/>
                <w:szCs w:val="16"/>
                <w:color w:val="4B4B4B"/>
                <w:w w:val="99"/>
              </w:rPr>
              <w:t>—</w:t>
            </w:r>
          </w:p>
        </w:tc>
        <w:tc>
          <w:tcPr>
            <w:tcW w:w="1820" w:type="dxa"/>
            <w:vAlign w:val="bottom"/>
            <w:vMerge w:val="restart"/>
          </w:tcPr>
          <w:p>
            <w:pPr>
              <w:jc w:val="center"/>
              <w:ind w:left="19"/>
              <w:spacing w:after="0"/>
              <w:rPr>
                <w:sz w:val="20"/>
                <w:szCs w:val="20"/>
                <w:color w:val="auto"/>
              </w:rPr>
            </w:pPr>
            <w:r>
              <w:rPr>
                <w:rFonts w:ascii="Arial" w:cs="Arial" w:eastAsia="Arial" w:hAnsi="Arial"/>
                <w:sz w:val="16"/>
                <w:szCs w:val="16"/>
                <w:color w:val="4B4B4B"/>
                <w:w w:val="99"/>
              </w:rPr>
              <w:t>—</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404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94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40" w:type="dxa"/>
            <w:vAlign w:val="bottom"/>
            <w:tcBorders>
              <w:bottom w:val="single" w:sz="8" w:color="E5E5E5"/>
            </w:tcBorders>
          </w:tcPr>
          <w:p>
            <w:pPr>
              <w:spacing w:after="0"/>
              <w:rPr>
                <w:sz w:val="3"/>
                <w:szCs w:val="3"/>
                <w:color w:val="auto"/>
              </w:rPr>
            </w:pPr>
          </w:p>
        </w:tc>
        <w:tc>
          <w:tcPr>
            <w:tcW w:w="4040" w:type="dxa"/>
            <w:vAlign w:val="bottom"/>
            <w:vMerge w:val="restart"/>
          </w:tcPr>
          <w:p>
            <w:pPr>
              <w:ind w:left="120"/>
              <w:spacing w:after="0"/>
              <w:rPr>
                <w:sz w:val="20"/>
                <w:szCs w:val="20"/>
                <w:color w:val="auto"/>
              </w:rPr>
            </w:pPr>
            <w:r>
              <w:rPr>
                <w:rFonts w:ascii="Arial" w:cs="Arial" w:eastAsia="Arial" w:hAnsi="Arial"/>
                <w:sz w:val="16"/>
                <w:szCs w:val="16"/>
                <w:color w:val="4B4B4B"/>
              </w:rPr>
              <w:t>Alaskan Native or Native American</w:t>
            </w:r>
          </w:p>
        </w:tc>
        <w:tc>
          <w:tcPr>
            <w:tcW w:w="1980" w:type="dxa"/>
            <w:vAlign w:val="bottom"/>
            <w:vMerge w:val="restart"/>
          </w:tcPr>
          <w:p>
            <w:pPr>
              <w:jc w:val="center"/>
              <w:ind w:left="139"/>
              <w:spacing w:after="0"/>
              <w:rPr>
                <w:sz w:val="20"/>
                <w:szCs w:val="20"/>
                <w:color w:val="auto"/>
              </w:rPr>
            </w:pPr>
            <w:r>
              <w:rPr>
                <w:rFonts w:ascii="Arial" w:cs="Arial" w:eastAsia="Arial" w:hAnsi="Arial"/>
                <w:sz w:val="16"/>
                <w:szCs w:val="16"/>
                <w:color w:val="4B4B4B"/>
                <w:w w:val="99"/>
              </w:rPr>
              <w:t>—</w:t>
            </w:r>
          </w:p>
        </w:tc>
        <w:tc>
          <w:tcPr>
            <w:tcW w:w="1300" w:type="dxa"/>
            <w:vAlign w:val="bottom"/>
            <w:vMerge w:val="restart"/>
          </w:tcPr>
          <w:p>
            <w:pPr>
              <w:jc w:val="center"/>
              <w:ind w:left="219"/>
              <w:spacing w:after="0"/>
              <w:rPr>
                <w:sz w:val="20"/>
                <w:szCs w:val="20"/>
                <w:color w:val="auto"/>
              </w:rPr>
            </w:pPr>
            <w:r>
              <w:rPr>
                <w:rFonts w:ascii="Arial" w:cs="Arial" w:eastAsia="Arial" w:hAnsi="Arial"/>
                <w:sz w:val="16"/>
                <w:szCs w:val="16"/>
                <w:color w:val="4B4B4B"/>
                <w:w w:val="99"/>
              </w:rPr>
              <w:t>—</w:t>
            </w:r>
          </w:p>
        </w:tc>
        <w:tc>
          <w:tcPr>
            <w:tcW w:w="1940" w:type="dxa"/>
            <w:vAlign w:val="bottom"/>
            <w:vMerge w:val="restart"/>
          </w:tcPr>
          <w:p>
            <w:pPr>
              <w:jc w:val="center"/>
              <w:ind w:left="379"/>
              <w:spacing w:after="0"/>
              <w:rPr>
                <w:sz w:val="20"/>
                <w:szCs w:val="20"/>
                <w:color w:val="auto"/>
              </w:rPr>
            </w:pPr>
            <w:r>
              <w:rPr>
                <w:rFonts w:ascii="Arial" w:cs="Arial" w:eastAsia="Arial" w:hAnsi="Arial"/>
                <w:sz w:val="16"/>
                <w:szCs w:val="16"/>
                <w:color w:val="4B4B4B"/>
                <w:w w:val="99"/>
              </w:rPr>
              <w:t>—</w:t>
            </w:r>
          </w:p>
        </w:tc>
        <w:tc>
          <w:tcPr>
            <w:tcW w:w="1820" w:type="dxa"/>
            <w:vAlign w:val="bottom"/>
            <w:vMerge w:val="restart"/>
          </w:tcPr>
          <w:p>
            <w:pPr>
              <w:jc w:val="center"/>
              <w:ind w:left="19"/>
              <w:spacing w:after="0"/>
              <w:rPr>
                <w:sz w:val="20"/>
                <w:szCs w:val="20"/>
                <w:color w:val="auto"/>
              </w:rPr>
            </w:pPr>
            <w:r>
              <w:rPr>
                <w:rFonts w:ascii="Arial" w:cs="Arial" w:eastAsia="Arial" w:hAnsi="Arial"/>
                <w:sz w:val="16"/>
                <w:szCs w:val="16"/>
                <w:color w:val="4B4B4B"/>
                <w:w w:val="99"/>
              </w:rPr>
              <w:t>—</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404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94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40" w:type="dxa"/>
            <w:vAlign w:val="bottom"/>
            <w:tcBorders>
              <w:bottom w:val="single" w:sz="8" w:color="E5E5E5"/>
            </w:tcBorders>
          </w:tcPr>
          <w:p>
            <w:pPr>
              <w:spacing w:after="0"/>
              <w:rPr>
                <w:sz w:val="3"/>
                <w:szCs w:val="3"/>
                <w:color w:val="auto"/>
              </w:rPr>
            </w:pPr>
          </w:p>
        </w:tc>
        <w:tc>
          <w:tcPr>
            <w:tcW w:w="4040" w:type="dxa"/>
            <w:vAlign w:val="bottom"/>
            <w:vMerge w:val="restart"/>
          </w:tcPr>
          <w:p>
            <w:pPr>
              <w:ind w:left="120"/>
              <w:spacing w:after="0"/>
              <w:rPr>
                <w:sz w:val="20"/>
                <w:szCs w:val="20"/>
                <w:color w:val="auto"/>
              </w:rPr>
            </w:pPr>
            <w:r>
              <w:rPr>
                <w:rFonts w:ascii="Arial" w:cs="Arial" w:eastAsia="Arial" w:hAnsi="Arial"/>
                <w:sz w:val="16"/>
                <w:szCs w:val="16"/>
                <w:color w:val="4B4B4B"/>
              </w:rPr>
              <w:t>Asian</w:t>
            </w:r>
          </w:p>
        </w:tc>
        <w:tc>
          <w:tcPr>
            <w:tcW w:w="1980" w:type="dxa"/>
            <w:vAlign w:val="bottom"/>
            <w:vMerge w:val="restart"/>
          </w:tcPr>
          <w:p>
            <w:pPr>
              <w:jc w:val="center"/>
              <w:ind w:left="139"/>
              <w:spacing w:after="0"/>
              <w:rPr>
                <w:sz w:val="20"/>
                <w:szCs w:val="20"/>
                <w:color w:val="auto"/>
              </w:rPr>
            </w:pPr>
            <w:r>
              <w:rPr>
                <w:rFonts w:ascii="Arial" w:cs="Arial" w:eastAsia="Arial" w:hAnsi="Arial"/>
                <w:sz w:val="16"/>
                <w:szCs w:val="16"/>
                <w:color w:val="4B4B4B"/>
                <w:w w:val="99"/>
              </w:rPr>
              <w:t>—</w:t>
            </w:r>
          </w:p>
        </w:tc>
        <w:tc>
          <w:tcPr>
            <w:tcW w:w="1300" w:type="dxa"/>
            <w:vAlign w:val="bottom"/>
            <w:vMerge w:val="restart"/>
          </w:tcPr>
          <w:p>
            <w:pPr>
              <w:jc w:val="center"/>
              <w:ind w:left="219"/>
              <w:spacing w:after="0"/>
              <w:rPr>
                <w:sz w:val="20"/>
                <w:szCs w:val="20"/>
                <w:color w:val="auto"/>
              </w:rPr>
            </w:pPr>
            <w:r>
              <w:rPr>
                <w:rFonts w:ascii="Arial" w:cs="Arial" w:eastAsia="Arial" w:hAnsi="Arial"/>
                <w:sz w:val="16"/>
                <w:szCs w:val="16"/>
                <w:color w:val="4B4B4B"/>
                <w:w w:val="99"/>
              </w:rPr>
              <w:t>—</w:t>
            </w:r>
          </w:p>
        </w:tc>
        <w:tc>
          <w:tcPr>
            <w:tcW w:w="1940" w:type="dxa"/>
            <w:vAlign w:val="bottom"/>
            <w:vMerge w:val="restart"/>
          </w:tcPr>
          <w:p>
            <w:pPr>
              <w:jc w:val="center"/>
              <w:ind w:left="379"/>
              <w:spacing w:after="0"/>
              <w:rPr>
                <w:sz w:val="20"/>
                <w:szCs w:val="20"/>
                <w:color w:val="auto"/>
              </w:rPr>
            </w:pPr>
            <w:r>
              <w:rPr>
                <w:rFonts w:ascii="Arial" w:cs="Arial" w:eastAsia="Arial" w:hAnsi="Arial"/>
                <w:sz w:val="16"/>
                <w:szCs w:val="16"/>
                <w:color w:val="4B4B4B"/>
                <w:w w:val="99"/>
              </w:rPr>
              <w:t>—</w:t>
            </w:r>
          </w:p>
        </w:tc>
        <w:tc>
          <w:tcPr>
            <w:tcW w:w="1820" w:type="dxa"/>
            <w:vAlign w:val="bottom"/>
            <w:vMerge w:val="restart"/>
          </w:tcPr>
          <w:p>
            <w:pPr>
              <w:jc w:val="center"/>
              <w:ind w:left="19"/>
              <w:spacing w:after="0"/>
              <w:rPr>
                <w:sz w:val="20"/>
                <w:szCs w:val="20"/>
                <w:color w:val="auto"/>
              </w:rPr>
            </w:pPr>
            <w:r>
              <w:rPr>
                <w:rFonts w:ascii="Arial" w:cs="Arial" w:eastAsia="Arial" w:hAnsi="Arial"/>
                <w:sz w:val="16"/>
                <w:szCs w:val="16"/>
                <w:color w:val="4B4B4B"/>
                <w:w w:val="99"/>
              </w:rPr>
              <w:t>—</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404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94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40" w:type="dxa"/>
            <w:vAlign w:val="bottom"/>
            <w:tcBorders>
              <w:bottom w:val="single" w:sz="8" w:color="E5E5E5"/>
            </w:tcBorders>
          </w:tcPr>
          <w:p>
            <w:pPr>
              <w:spacing w:after="0"/>
              <w:rPr>
                <w:sz w:val="3"/>
                <w:szCs w:val="3"/>
                <w:color w:val="auto"/>
              </w:rPr>
            </w:pPr>
          </w:p>
        </w:tc>
        <w:tc>
          <w:tcPr>
            <w:tcW w:w="4040" w:type="dxa"/>
            <w:vAlign w:val="bottom"/>
            <w:vMerge w:val="restart"/>
          </w:tcPr>
          <w:p>
            <w:pPr>
              <w:ind w:left="120"/>
              <w:spacing w:after="0"/>
              <w:rPr>
                <w:sz w:val="20"/>
                <w:szCs w:val="20"/>
                <w:color w:val="auto"/>
              </w:rPr>
            </w:pPr>
            <w:r>
              <w:rPr>
                <w:rFonts w:ascii="Arial" w:cs="Arial" w:eastAsia="Arial" w:hAnsi="Arial"/>
                <w:sz w:val="16"/>
                <w:szCs w:val="16"/>
                <w:color w:val="4B4B4B"/>
              </w:rPr>
              <w:t>Hispanic or Latinx</w:t>
            </w:r>
          </w:p>
        </w:tc>
        <w:tc>
          <w:tcPr>
            <w:tcW w:w="1980" w:type="dxa"/>
            <w:vAlign w:val="bottom"/>
            <w:vMerge w:val="restart"/>
          </w:tcPr>
          <w:p>
            <w:pPr>
              <w:jc w:val="center"/>
              <w:ind w:left="139"/>
              <w:spacing w:after="0"/>
              <w:rPr>
                <w:sz w:val="20"/>
                <w:szCs w:val="20"/>
                <w:color w:val="auto"/>
              </w:rPr>
            </w:pPr>
            <w:r>
              <w:rPr>
                <w:rFonts w:ascii="Arial" w:cs="Arial" w:eastAsia="Arial" w:hAnsi="Arial"/>
                <w:sz w:val="16"/>
                <w:szCs w:val="16"/>
                <w:color w:val="4B4B4B"/>
                <w:w w:val="99"/>
              </w:rPr>
              <w:t>—</w:t>
            </w:r>
          </w:p>
        </w:tc>
        <w:tc>
          <w:tcPr>
            <w:tcW w:w="1300" w:type="dxa"/>
            <w:vAlign w:val="bottom"/>
            <w:vMerge w:val="restart"/>
          </w:tcPr>
          <w:p>
            <w:pPr>
              <w:jc w:val="center"/>
              <w:ind w:left="239"/>
              <w:spacing w:after="0"/>
              <w:rPr>
                <w:sz w:val="20"/>
                <w:szCs w:val="20"/>
                <w:color w:val="auto"/>
              </w:rPr>
            </w:pPr>
            <w:r>
              <w:rPr>
                <w:rFonts w:ascii="Arial" w:cs="Arial" w:eastAsia="Arial" w:hAnsi="Arial"/>
                <w:sz w:val="16"/>
                <w:szCs w:val="16"/>
                <w:color w:val="4B4B4B"/>
              </w:rPr>
              <w:t>1</w:t>
            </w:r>
          </w:p>
        </w:tc>
        <w:tc>
          <w:tcPr>
            <w:tcW w:w="1940" w:type="dxa"/>
            <w:vAlign w:val="bottom"/>
            <w:vMerge w:val="restart"/>
          </w:tcPr>
          <w:p>
            <w:pPr>
              <w:jc w:val="center"/>
              <w:ind w:left="379"/>
              <w:spacing w:after="0"/>
              <w:rPr>
                <w:sz w:val="20"/>
                <w:szCs w:val="20"/>
                <w:color w:val="auto"/>
              </w:rPr>
            </w:pPr>
            <w:r>
              <w:rPr>
                <w:rFonts w:ascii="Arial" w:cs="Arial" w:eastAsia="Arial" w:hAnsi="Arial"/>
                <w:sz w:val="16"/>
                <w:szCs w:val="16"/>
                <w:color w:val="4B4B4B"/>
                <w:w w:val="99"/>
              </w:rPr>
              <w:t>—</w:t>
            </w:r>
          </w:p>
        </w:tc>
        <w:tc>
          <w:tcPr>
            <w:tcW w:w="1820" w:type="dxa"/>
            <w:vAlign w:val="bottom"/>
            <w:vMerge w:val="restart"/>
          </w:tcPr>
          <w:p>
            <w:pPr>
              <w:jc w:val="center"/>
              <w:ind w:left="19"/>
              <w:spacing w:after="0"/>
              <w:rPr>
                <w:sz w:val="20"/>
                <w:szCs w:val="20"/>
                <w:color w:val="auto"/>
              </w:rPr>
            </w:pPr>
            <w:r>
              <w:rPr>
                <w:rFonts w:ascii="Arial" w:cs="Arial" w:eastAsia="Arial" w:hAnsi="Arial"/>
                <w:sz w:val="16"/>
                <w:szCs w:val="16"/>
                <w:color w:val="4B4B4B"/>
                <w:w w:val="99"/>
              </w:rPr>
              <w:t>—</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404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94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40" w:type="dxa"/>
            <w:vAlign w:val="bottom"/>
            <w:tcBorders>
              <w:bottom w:val="single" w:sz="8" w:color="E5E5E5"/>
            </w:tcBorders>
          </w:tcPr>
          <w:p>
            <w:pPr>
              <w:spacing w:after="0"/>
              <w:rPr>
                <w:sz w:val="3"/>
                <w:szCs w:val="3"/>
                <w:color w:val="auto"/>
              </w:rPr>
            </w:pPr>
          </w:p>
        </w:tc>
        <w:tc>
          <w:tcPr>
            <w:tcW w:w="4040" w:type="dxa"/>
            <w:vAlign w:val="bottom"/>
            <w:vMerge w:val="restart"/>
          </w:tcPr>
          <w:p>
            <w:pPr>
              <w:ind w:left="120"/>
              <w:spacing w:after="0"/>
              <w:rPr>
                <w:sz w:val="20"/>
                <w:szCs w:val="20"/>
                <w:color w:val="auto"/>
              </w:rPr>
            </w:pPr>
            <w:r>
              <w:rPr>
                <w:rFonts w:ascii="Arial" w:cs="Arial" w:eastAsia="Arial" w:hAnsi="Arial"/>
                <w:sz w:val="16"/>
                <w:szCs w:val="16"/>
                <w:color w:val="4B4B4B"/>
              </w:rPr>
              <w:t>Native Hawaiian or Pacific Islander</w:t>
            </w:r>
          </w:p>
        </w:tc>
        <w:tc>
          <w:tcPr>
            <w:tcW w:w="1980" w:type="dxa"/>
            <w:vAlign w:val="bottom"/>
            <w:vMerge w:val="restart"/>
          </w:tcPr>
          <w:p>
            <w:pPr>
              <w:jc w:val="center"/>
              <w:ind w:left="139"/>
              <w:spacing w:after="0"/>
              <w:rPr>
                <w:sz w:val="20"/>
                <w:szCs w:val="20"/>
                <w:color w:val="auto"/>
              </w:rPr>
            </w:pPr>
            <w:r>
              <w:rPr>
                <w:rFonts w:ascii="Arial" w:cs="Arial" w:eastAsia="Arial" w:hAnsi="Arial"/>
                <w:sz w:val="16"/>
                <w:szCs w:val="16"/>
                <w:color w:val="4B4B4B"/>
                <w:w w:val="99"/>
              </w:rPr>
              <w:t>—</w:t>
            </w:r>
          </w:p>
        </w:tc>
        <w:tc>
          <w:tcPr>
            <w:tcW w:w="1300" w:type="dxa"/>
            <w:vAlign w:val="bottom"/>
            <w:vMerge w:val="restart"/>
          </w:tcPr>
          <w:p>
            <w:pPr>
              <w:jc w:val="center"/>
              <w:ind w:left="219"/>
              <w:spacing w:after="0"/>
              <w:rPr>
                <w:sz w:val="20"/>
                <w:szCs w:val="20"/>
                <w:color w:val="auto"/>
              </w:rPr>
            </w:pPr>
            <w:r>
              <w:rPr>
                <w:rFonts w:ascii="Arial" w:cs="Arial" w:eastAsia="Arial" w:hAnsi="Arial"/>
                <w:sz w:val="16"/>
                <w:szCs w:val="16"/>
                <w:color w:val="4B4B4B"/>
                <w:w w:val="99"/>
              </w:rPr>
              <w:t>—</w:t>
            </w:r>
          </w:p>
        </w:tc>
        <w:tc>
          <w:tcPr>
            <w:tcW w:w="1940" w:type="dxa"/>
            <w:vAlign w:val="bottom"/>
            <w:vMerge w:val="restart"/>
          </w:tcPr>
          <w:p>
            <w:pPr>
              <w:jc w:val="center"/>
              <w:ind w:left="379"/>
              <w:spacing w:after="0"/>
              <w:rPr>
                <w:sz w:val="20"/>
                <w:szCs w:val="20"/>
                <w:color w:val="auto"/>
              </w:rPr>
            </w:pPr>
            <w:r>
              <w:rPr>
                <w:rFonts w:ascii="Arial" w:cs="Arial" w:eastAsia="Arial" w:hAnsi="Arial"/>
                <w:sz w:val="16"/>
                <w:szCs w:val="16"/>
                <w:color w:val="4B4B4B"/>
                <w:w w:val="99"/>
              </w:rPr>
              <w:t>—</w:t>
            </w:r>
          </w:p>
        </w:tc>
        <w:tc>
          <w:tcPr>
            <w:tcW w:w="1820" w:type="dxa"/>
            <w:vAlign w:val="bottom"/>
            <w:vMerge w:val="restart"/>
          </w:tcPr>
          <w:p>
            <w:pPr>
              <w:jc w:val="center"/>
              <w:ind w:left="19"/>
              <w:spacing w:after="0"/>
              <w:rPr>
                <w:sz w:val="20"/>
                <w:szCs w:val="20"/>
                <w:color w:val="auto"/>
              </w:rPr>
            </w:pPr>
            <w:r>
              <w:rPr>
                <w:rFonts w:ascii="Arial" w:cs="Arial" w:eastAsia="Arial" w:hAnsi="Arial"/>
                <w:sz w:val="16"/>
                <w:szCs w:val="16"/>
                <w:color w:val="4B4B4B"/>
                <w:w w:val="99"/>
              </w:rPr>
              <w:t>—</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404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94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40" w:type="dxa"/>
            <w:vAlign w:val="bottom"/>
            <w:tcBorders>
              <w:bottom w:val="single" w:sz="8" w:color="E5E5E5"/>
            </w:tcBorders>
          </w:tcPr>
          <w:p>
            <w:pPr>
              <w:spacing w:after="0"/>
              <w:rPr>
                <w:sz w:val="3"/>
                <w:szCs w:val="3"/>
                <w:color w:val="auto"/>
              </w:rPr>
            </w:pPr>
          </w:p>
        </w:tc>
        <w:tc>
          <w:tcPr>
            <w:tcW w:w="4040" w:type="dxa"/>
            <w:vAlign w:val="bottom"/>
            <w:vMerge w:val="restart"/>
          </w:tcPr>
          <w:p>
            <w:pPr>
              <w:ind w:left="120"/>
              <w:spacing w:after="0"/>
              <w:rPr>
                <w:sz w:val="20"/>
                <w:szCs w:val="20"/>
                <w:color w:val="auto"/>
              </w:rPr>
            </w:pPr>
            <w:r>
              <w:rPr>
                <w:rFonts w:ascii="Arial" w:cs="Arial" w:eastAsia="Arial" w:hAnsi="Arial"/>
                <w:sz w:val="16"/>
                <w:szCs w:val="16"/>
                <w:color w:val="4B4B4B"/>
              </w:rPr>
              <w:t>White</w:t>
            </w:r>
          </w:p>
        </w:tc>
        <w:tc>
          <w:tcPr>
            <w:tcW w:w="1980" w:type="dxa"/>
            <w:vAlign w:val="bottom"/>
            <w:vMerge w:val="restart"/>
          </w:tcPr>
          <w:p>
            <w:pPr>
              <w:jc w:val="center"/>
              <w:ind w:left="119"/>
              <w:spacing w:after="0"/>
              <w:rPr>
                <w:sz w:val="20"/>
                <w:szCs w:val="20"/>
                <w:color w:val="auto"/>
              </w:rPr>
            </w:pPr>
            <w:r>
              <w:rPr>
                <w:rFonts w:ascii="Arial" w:cs="Arial" w:eastAsia="Arial" w:hAnsi="Arial"/>
                <w:sz w:val="16"/>
                <w:szCs w:val="16"/>
                <w:color w:val="4B4B4B"/>
              </w:rPr>
              <w:t>4</w:t>
            </w:r>
          </w:p>
        </w:tc>
        <w:tc>
          <w:tcPr>
            <w:tcW w:w="1300" w:type="dxa"/>
            <w:vAlign w:val="bottom"/>
            <w:vMerge w:val="restart"/>
          </w:tcPr>
          <w:p>
            <w:pPr>
              <w:jc w:val="center"/>
              <w:ind w:left="239"/>
              <w:spacing w:after="0"/>
              <w:rPr>
                <w:sz w:val="20"/>
                <w:szCs w:val="20"/>
                <w:color w:val="auto"/>
              </w:rPr>
            </w:pPr>
            <w:r>
              <w:rPr>
                <w:rFonts w:ascii="Arial" w:cs="Arial" w:eastAsia="Arial" w:hAnsi="Arial"/>
                <w:sz w:val="16"/>
                <w:szCs w:val="16"/>
                <w:color w:val="4B4B4B"/>
              </w:rPr>
              <w:t>3</w:t>
            </w:r>
          </w:p>
        </w:tc>
        <w:tc>
          <w:tcPr>
            <w:tcW w:w="1940" w:type="dxa"/>
            <w:vAlign w:val="bottom"/>
            <w:vMerge w:val="restart"/>
          </w:tcPr>
          <w:p>
            <w:pPr>
              <w:jc w:val="center"/>
              <w:ind w:left="379"/>
              <w:spacing w:after="0"/>
              <w:rPr>
                <w:sz w:val="20"/>
                <w:szCs w:val="20"/>
                <w:color w:val="auto"/>
              </w:rPr>
            </w:pPr>
            <w:r>
              <w:rPr>
                <w:rFonts w:ascii="Arial" w:cs="Arial" w:eastAsia="Arial" w:hAnsi="Arial"/>
                <w:sz w:val="16"/>
                <w:szCs w:val="16"/>
                <w:color w:val="4B4B4B"/>
                <w:w w:val="99"/>
              </w:rPr>
              <w:t>—</w:t>
            </w:r>
          </w:p>
        </w:tc>
        <w:tc>
          <w:tcPr>
            <w:tcW w:w="1820" w:type="dxa"/>
            <w:vAlign w:val="bottom"/>
            <w:vMerge w:val="restart"/>
          </w:tcPr>
          <w:p>
            <w:pPr>
              <w:jc w:val="center"/>
              <w:ind w:left="19"/>
              <w:spacing w:after="0"/>
              <w:rPr>
                <w:sz w:val="20"/>
                <w:szCs w:val="20"/>
                <w:color w:val="auto"/>
              </w:rPr>
            </w:pPr>
            <w:r>
              <w:rPr>
                <w:rFonts w:ascii="Arial" w:cs="Arial" w:eastAsia="Arial" w:hAnsi="Arial"/>
                <w:sz w:val="16"/>
                <w:szCs w:val="16"/>
                <w:color w:val="4B4B4B"/>
                <w:w w:val="99"/>
              </w:rPr>
              <w:t>—</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404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94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40" w:type="dxa"/>
            <w:vAlign w:val="bottom"/>
            <w:tcBorders>
              <w:bottom w:val="single" w:sz="8" w:color="E5E5E5"/>
            </w:tcBorders>
          </w:tcPr>
          <w:p>
            <w:pPr>
              <w:spacing w:after="0"/>
              <w:rPr>
                <w:sz w:val="3"/>
                <w:szCs w:val="3"/>
                <w:color w:val="auto"/>
              </w:rPr>
            </w:pPr>
          </w:p>
        </w:tc>
        <w:tc>
          <w:tcPr>
            <w:tcW w:w="4040" w:type="dxa"/>
            <w:vAlign w:val="bottom"/>
            <w:vMerge w:val="restart"/>
          </w:tcPr>
          <w:p>
            <w:pPr>
              <w:ind w:left="120"/>
              <w:spacing w:after="0"/>
              <w:rPr>
                <w:sz w:val="20"/>
                <w:szCs w:val="20"/>
                <w:color w:val="auto"/>
              </w:rPr>
            </w:pPr>
            <w:r>
              <w:rPr>
                <w:rFonts w:ascii="Arial" w:cs="Arial" w:eastAsia="Arial" w:hAnsi="Arial"/>
                <w:sz w:val="16"/>
                <w:szCs w:val="16"/>
                <w:color w:val="4B4B4B"/>
              </w:rPr>
              <w:t>Two or More Races or Ethnicities</w:t>
            </w:r>
          </w:p>
        </w:tc>
        <w:tc>
          <w:tcPr>
            <w:tcW w:w="1980" w:type="dxa"/>
            <w:vAlign w:val="bottom"/>
            <w:vMerge w:val="restart"/>
          </w:tcPr>
          <w:p>
            <w:pPr>
              <w:jc w:val="center"/>
              <w:ind w:left="139"/>
              <w:spacing w:after="0"/>
              <w:rPr>
                <w:sz w:val="20"/>
                <w:szCs w:val="20"/>
                <w:color w:val="auto"/>
              </w:rPr>
            </w:pPr>
            <w:r>
              <w:rPr>
                <w:rFonts w:ascii="Arial" w:cs="Arial" w:eastAsia="Arial" w:hAnsi="Arial"/>
                <w:sz w:val="16"/>
                <w:szCs w:val="16"/>
                <w:color w:val="4B4B4B"/>
                <w:w w:val="99"/>
              </w:rPr>
              <w:t>—</w:t>
            </w:r>
          </w:p>
        </w:tc>
        <w:tc>
          <w:tcPr>
            <w:tcW w:w="1300" w:type="dxa"/>
            <w:vAlign w:val="bottom"/>
            <w:vMerge w:val="restart"/>
          </w:tcPr>
          <w:p>
            <w:pPr>
              <w:jc w:val="center"/>
              <w:ind w:left="219"/>
              <w:spacing w:after="0"/>
              <w:rPr>
                <w:sz w:val="20"/>
                <w:szCs w:val="20"/>
                <w:color w:val="auto"/>
              </w:rPr>
            </w:pPr>
            <w:r>
              <w:rPr>
                <w:rFonts w:ascii="Arial" w:cs="Arial" w:eastAsia="Arial" w:hAnsi="Arial"/>
                <w:sz w:val="16"/>
                <w:szCs w:val="16"/>
                <w:color w:val="4B4B4B"/>
                <w:w w:val="99"/>
              </w:rPr>
              <w:t>—</w:t>
            </w:r>
          </w:p>
        </w:tc>
        <w:tc>
          <w:tcPr>
            <w:tcW w:w="1940" w:type="dxa"/>
            <w:vAlign w:val="bottom"/>
            <w:vMerge w:val="restart"/>
          </w:tcPr>
          <w:p>
            <w:pPr>
              <w:jc w:val="center"/>
              <w:ind w:left="379"/>
              <w:spacing w:after="0"/>
              <w:rPr>
                <w:sz w:val="20"/>
                <w:szCs w:val="20"/>
                <w:color w:val="auto"/>
              </w:rPr>
            </w:pPr>
            <w:r>
              <w:rPr>
                <w:rFonts w:ascii="Arial" w:cs="Arial" w:eastAsia="Arial" w:hAnsi="Arial"/>
                <w:sz w:val="16"/>
                <w:szCs w:val="16"/>
                <w:color w:val="4B4B4B"/>
                <w:w w:val="99"/>
              </w:rPr>
              <w:t>—</w:t>
            </w:r>
          </w:p>
        </w:tc>
        <w:tc>
          <w:tcPr>
            <w:tcW w:w="1820" w:type="dxa"/>
            <w:vAlign w:val="bottom"/>
            <w:vMerge w:val="restart"/>
          </w:tcPr>
          <w:p>
            <w:pPr>
              <w:jc w:val="center"/>
              <w:ind w:left="19"/>
              <w:spacing w:after="0"/>
              <w:rPr>
                <w:sz w:val="20"/>
                <w:szCs w:val="20"/>
                <w:color w:val="auto"/>
              </w:rPr>
            </w:pPr>
            <w:r>
              <w:rPr>
                <w:rFonts w:ascii="Arial" w:cs="Arial" w:eastAsia="Arial" w:hAnsi="Arial"/>
                <w:sz w:val="16"/>
                <w:szCs w:val="16"/>
                <w:color w:val="4B4B4B"/>
                <w:w w:val="99"/>
              </w:rPr>
              <w:t>—</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404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94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40" w:type="dxa"/>
            <w:vAlign w:val="bottom"/>
            <w:tcBorders>
              <w:bottom w:val="single" w:sz="8" w:color="E5E5E5"/>
            </w:tcBorders>
          </w:tcPr>
          <w:p>
            <w:pPr>
              <w:spacing w:after="0"/>
              <w:rPr>
                <w:sz w:val="3"/>
                <w:szCs w:val="3"/>
                <w:color w:val="auto"/>
              </w:rPr>
            </w:pPr>
          </w:p>
        </w:tc>
        <w:tc>
          <w:tcPr>
            <w:tcW w:w="4040" w:type="dxa"/>
            <w:vAlign w:val="bottom"/>
            <w:vMerge w:val="restart"/>
          </w:tcPr>
          <w:p>
            <w:pPr>
              <w:ind w:left="120"/>
              <w:spacing w:after="0"/>
              <w:rPr>
                <w:sz w:val="20"/>
                <w:szCs w:val="20"/>
                <w:color w:val="auto"/>
              </w:rPr>
            </w:pPr>
            <w:r>
              <w:rPr>
                <w:rFonts w:ascii="Arial" w:cs="Arial" w:eastAsia="Arial" w:hAnsi="Arial"/>
                <w:sz w:val="16"/>
                <w:szCs w:val="16"/>
                <w:color w:val="4B4B4B"/>
              </w:rPr>
              <w:t>LGBTQ+</w:t>
            </w:r>
          </w:p>
        </w:tc>
        <w:tc>
          <w:tcPr>
            <w:tcW w:w="1980" w:type="dxa"/>
            <w:vAlign w:val="bottom"/>
            <w:vMerge w:val="restart"/>
          </w:tcPr>
          <w:p>
            <w:pPr>
              <w:jc w:val="center"/>
              <w:ind w:left="119"/>
              <w:spacing w:after="0"/>
              <w:rPr>
                <w:sz w:val="20"/>
                <w:szCs w:val="20"/>
                <w:color w:val="auto"/>
              </w:rPr>
            </w:pPr>
            <w:r>
              <w:rPr>
                <w:rFonts w:ascii="Arial" w:cs="Arial" w:eastAsia="Arial" w:hAnsi="Arial"/>
                <w:sz w:val="16"/>
                <w:szCs w:val="16"/>
                <w:color w:val="4B4B4B"/>
              </w:rPr>
              <w:t>1</w:t>
            </w:r>
          </w:p>
        </w:tc>
        <w:tc>
          <w:tcPr>
            <w:tcW w:w="1300" w:type="dxa"/>
            <w:vAlign w:val="bottom"/>
            <w:vMerge w:val="restart"/>
          </w:tcPr>
          <w:p>
            <w:pPr>
              <w:jc w:val="center"/>
              <w:ind w:left="219"/>
              <w:spacing w:after="0"/>
              <w:rPr>
                <w:sz w:val="20"/>
                <w:szCs w:val="20"/>
                <w:color w:val="auto"/>
              </w:rPr>
            </w:pPr>
            <w:r>
              <w:rPr>
                <w:rFonts w:ascii="Arial" w:cs="Arial" w:eastAsia="Arial" w:hAnsi="Arial"/>
                <w:sz w:val="16"/>
                <w:szCs w:val="16"/>
                <w:color w:val="4B4B4B"/>
                <w:w w:val="99"/>
              </w:rPr>
              <w:t>—</w:t>
            </w:r>
          </w:p>
        </w:tc>
        <w:tc>
          <w:tcPr>
            <w:tcW w:w="1940" w:type="dxa"/>
            <w:vAlign w:val="bottom"/>
            <w:vMerge w:val="restart"/>
          </w:tcPr>
          <w:p>
            <w:pPr>
              <w:jc w:val="center"/>
              <w:ind w:left="379"/>
              <w:spacing w:after="0"/>
              <w:rPr>
                <w:sz w:val="20"/>
                <w:szCs w:val="20"/>
                <w:color w:val="auto"/>
              </w:rPr>
            </w:pPr>
            <w:r>
              <w:rPr>
                <w:rFonts w:ascii="Arial" w:cs="Arial" w:eastAsia="Arial" w:hAnsi="Arial"/>
                <w:sz w:val="16"/>
                <w:szCs w:val="16"/>
                <w:color w:val="4B4B4B"/>
                <w:w w:val="99"/>
              </w:rPr>
              <w:t>—</w:t>
            </w:r>
          </w:p>
        </w:tc>
        <w:tc>
          <w:tcPr>
            <w:tcW w:w="1820" w:type="dxa"/>
            <w:vAlign w:val="bottom"/>
            <w:vMerge w:val="restart"/>
          </w:tcPr>
          <w:p>
            <w:pPr>
              <w:jc w:val="center"/>
              <w:ind w:left="19"/>
              <w:spacing w:after="0"/>
              <w:rPr>
                <w:sz w:val="20"/>
                <w:szCs w:val="20"/>
                <w:color w:val="auto"/>
              </w:rPr>
            </w:pPr>
            <w:r>
              <w:rPr>
                <w:rFonts w:ascii="Arial" w:cs="Arial" w:eastAsia="Arial" w:hAnsi="Arial"/>
                <w:sz w:val="16"/>
                <w:szCs w:val="16"/>
                <w:color w:val="4B4B4B"/>
                <w:w w:val="99"/>
              </w:rPr>
              <w:t>—</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404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94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40" w:type="dxa"/>
            <w:vAlign w:val="bottom"/>
            <w:tcBorders>
              <w:bottom w:val="single" w:sz="8" w:color="E5E5E5"/>
            </w:tcBorders>
          </w:tcPr>
          <w:p>
            <w:pPr>
              <w:spacing w:after="0"/>
              <w:rPr>
                <w:sz w:val="3"/>
                <w:szCs w:val="3"/>
                <w:color w:val="auto"/>
              </w:rPr>
            </w:pPr>
          </w:p>
        </w:tc>
        <w:tc>
          <w:tcPr>
            <w:tcW w:w="4040" w:type="dxa"/>
            <w:vAlign w:val="bottom"/>
            <w:vMerge w:val="restart"/>
          </w:tcPr>
          <w:p>
            <w:pPr>
              <w:ind w:left="120"/>
              <w:spacing w:after="0"/>
              <w:rPr>
                <w:sz w:val="20"/>
                <w:szCs w:val="20"/>
                <w:color w:val="auto"/>
              </w:rPr>
            </w:pPr>
            <w:r>
              <w:rPr>
                <w:rFonts w:ascii="Arial" w:cs="Arial" w:eastAsia="Arial" w:hAnsi="Arial"/>
                <w:sz w:val="16"/>
                <w:szCs w:val="16"/>
                <w:color w:val="4B4B4B"/>
              </w:rPr>
              <w:t>Did Not Disclose Demographic Background</w:t>
            </w:r>
          </w:p>
        </w:tc>
        <w:tc>
          <w:tcPr>
            <w:tcW w:w="1980" w:type="dxa"/>
            <w:vAlign w:val="bottom"/>
            <w:vMerge w:val="restart"/>
          </w:tcPr>
          <w:p>
            <w:pPr>
              <w:jc w:val="center"/>
              <w:ind w:left="139"/>
              <w:spacing w:after="0"/>
              <w:rPr>
                <w:sz w:val="20"/>
                <w:szCs w:val="20"/>
                <w:color w:val="auto"/>
              </w:rPr>
            </w:pPr>
            <w:r>
              <w:rPr>
                <w:rFonts w:ascii="Arial" w:cs="Arial" w:eastAsia="Arial" w:hAnsi="Arial"/>
                <w:sz w:val="16"/>
                <w:szCs w:val="16"/>
                <w:color w:val="4B4B4B"/>
                <w:w w:val="99"/>
              </w:rPr>
              <w:t>—</w:t>
            </w:r>
          </w:p>
        </w:tc>
        <w:tc>
          <w:tcPr>
            <w:tcW w:w="1300" w:type="dxa"/>
            <w:vAlign w:val="bottom"/>
            <w:vMerge w:val="restart"/>
          </w:tcPr>
          <w:p>
            <w:pPr>
              <w:jc w:val="center"/>
              <w:ind w:left="219"/>
              <w:spacing w:after="0"/>
              <w:rPr>
                <w:sz w:val="20"/>
                <w:szCs w:val="20"/>
                <w:color w:val="auto"/>
              </w:rPr>
            </w:pPr>
            <w:r>
              <w:rPr>
                <w:rFonts w:ascii="Arial" w:cs="Arial" w:eastAsia="Arial" w:hAnsi="Arial"/>
                <w:sz w:val="16"/>
                <w:szCs w:val="16"/>
                <w:color w:val="4B4B4B"/>
                <w:w w:val="99"/>
              </w:rPr>
              <w:t>—</w:t>
            </w:r>
          </w:p>
        </w:tc>
        <w:tc>
          <w:tcPr>
            <w:tcW w:w="1940" w:type="dxa"/>
            <w:vAlign w:val="bottom"/>
            <w:vMerge w:val="restart"/>
          </w:tcPr>
          <w:p>
            <w:pPr>
              <w:jc w:val="center"/>
              <w:ind w:left="379"/>
              <w:spacing w:after="0"/>
              <w:rPr>
                <w:sz w:val="20"/>
                <w:szCs w:val="20"/>
                <w:color w:val="auto"/>
              </w:rPr>
            </w:pPr>
            <w:r>
              <w:rPr>
                <w:rFonts w:ascii="Arial" w:cs="Arial" w:eastAsia="Arial" w:hAnsi="Arial"/>
                <w:sz w:val="16"/>
                <w:szCs w:val="16"/>
                <w:color w:val="4B4B4B"/>
                <w:w w:val="99"/>
              </w:rPr>
              <w:t>—</w:t>
            </w:r>
          </w:p>
        </w:tc>
        <w:tc>
          <w:tcPr>
            <w:tcW w:w="1820" w:type="dxa"/>
            <w:vAlign w:val="bottom"/>
            <w:vMerge w:val="restart"/>
          </w:tcPr>
          <w:p>
            <w:pPr>
              <w:jc w:val="center"/>
              <w:ind w:left="19"/>
              <w:spacing w:after="0"/>
              <w:rPr>
                <w:sz w:val="20"/>
                <w:szCs w:val="20"/>
                <w:color w:val="auto"/>
              </w:rPr>
            </w:pPr>
            <w:r>
              <w:rPr>
                <w:rFonts w:ascii="Arial" w:cs="Arial" w:eastAsia="Arial" w:hAnsi="Arial"/>
                <w:sz w:val="16"/>
                <w:szCs w:val="16"/>
                <w:color w:val="4B4B4B"/>
                <w:w w:val="99"/>
              </w:rPr>
              <w:t>—</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404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94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40" w:type="dxa"/>
            <w:vAlign w:val="bottom"/>
            <w:tcBorders>
              <w:bottom w:val="single" w:sz="8" w:color="E5E5E5"/>
            </w:tcBorders>
          </w:tcPr>
          <w:p>
            <w:pPr>
              <w:spacing w:after="0"/>
              <w:rPr>
                <w:sz w:val="3"/>
                <w:szCs w:val="3"/>
                <w:color w:val="auto"/>
              </w:rPr>
            </w:pPr>
          </w:p>
        </w:tc>
        <w:tc>
          <w:tcPr>
            <w:tcW w:w="40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-26670</wp:posOffset>
            </wp:positionV>
            <wp:extent cx="705485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-207010</wp:posOffset>
            </wp:positionV>
            <wp:extent cx="705485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-386715</wp:posOffset>
            </wp:positionV>
            <wp:extent cx="705485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-567055</wp:posOffset>
            </wp:positionV>
            <wp:extent cx="705485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-747395</wp:posOffset>
            </wp:positionV>
            <wp:extent cx="705485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-927100</wp:posOffset>
            </wp:positionV>
            <wp:extent cx="705485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-1106805</wp:posOffset>
            </wp:positionV>
            <wp:extent cx="705485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-1287145</wp:posOffset>
            </wp:positionV>
            <wp:extent cx="705485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-1467485</wp:posOffset>
            </wp:positionV>
            <wp:extent cx="705485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-1647190</wp:posOffset>
            </wp:positionV>
            <wp:extent cx="705485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-1826895</wp:posOffset>
            </wp:positionV>
            <wp:extent cx="705485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-2007235</wp:posOffset>
            </wp:positionV>
            <wp:extent cx="705485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782320</wp:posOffset>
            </wp:positionV>
            <wp:extent cx="71062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28</w:t>
            </w:r>
          </w:p>
        </w:tc>
      </w:tr>
    </w:tbl>
    <w:p>
      <w:pPr>
        <w:sectPr>
          <w:pgSz w:w="11900" w:h="16838" w:orient="portrait"/>
          <w:cols w:equalWidth="0" w:num="1">
            <w:col w:w="11240"/>
          </w:cols>
          <w:pgMar w:left="320" w:top="1385" w:right="339" w:bottom="1440" w:gutter="0" w:footer="0" w:header="0"/>
        </w:sectPr>
      </w:pPr>
    </w:p>
    <w:bookmarkStart w:id="33" w:name="page34"/>
    <w:bookmarkEnd w:id="33"/>
    <w:p>
      <w:pPr>
        <w:spacing w:after="0"/>
        <w:rPr>
          <w:sz w:val="20"/>
          <w:szCs w:val="20"/>
          <w:color w:val="auto"/>
        </w:rPr>
      </w:pPr>
      <w:r>
        <w:rPr>
          <w:rFonts w:ascii="Arial" w:cs="Arial" w:eastAsia="Arial" w:hAnsi="Arial"/>
          <w:sz w:val="36"/>
          <w:szCs w:val="36"/>
          <w:b w:val="1"/>
          <w:bCs w:val="1"/>
          <w:color w:val="4B4B4B"/>
        </w:rPr>
        <w:t>Executive and Director Compensation</w:t>
      </w:r>
    </w:p>
    <w:p>
      <w:pPr>
        <w:spacing w:after="0" w:line="3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4B4B4B"/>
        </w:rPr>
        <w:t>This section discusses the material components of the executive compensation program for our executive officers who are named in the “Summary Compensation Table” below. In 2021, our “named executive officers” and their positions were as follows:</w:t>
      </w:r>
    </w:p>
    <w:p>
      <w:pPr>
        <w:spacing w:after="0" w:line="143" w:lineRule="exact"/>
        <w:rPr>
          <w:sz w:val="20"/>
          <w:szCs w:val="20"/>
          <w:color w:val="auto"/>
        </w:rPr>
      </w:pPr>
    </w:p>
    <w:p>
      <w:pPr>
        <w:ind w:left="240" w:hanging="232"/>
        <w:spacing w:after="0"/>
        <w:tabs>
          <w:tab w:leader="none" w:pos="240" w:val="left"/>
        </w:tabs>
        <w:numPr>
          <w:ilvl w:val="0"/>
          <w:numId w:val="18"/>
        </w:numPr>
        <w:rPr>
          <w:rFonts w:ascii="Arial" w:cs="Arial" w:eastAsia="Arial" w:hAnsi="Arial"/>
          <w:sz w:val="18"/>
          <w:szCs w:val="18"/>
          <w:color w:val="4B4B4B"/>
        </w:rPr>
      </w:pPr>
      <w:r>
        <w:rPr>
          <w:rFonts w:ascii="Arial" w:cs="Arial" w:eastAsia="Arial" w:hAnsi="Arial"/>
          <w:sz w:val="18"/>
          <w:szCs w:val="18"/>
          <w:color w:val="4B4B4B"/>
        </w:rPr>
        <w:t>Luis von Ahn, our Chief Executive Officer;</w:t>
      </w:r>
    </w:p>
    <w:p>
      <w:pPr>
        <w:spacing w:after="0" w:line="184" w:lineRule="exact"/>
        <w:rPr>
          <w:rFonts w:ascii="Arial" w:cs="Arial" w:eastAsia="Arial" w:hAnsi="Arial"/>
          <w:sz w:val="18"/>
          <w:szCs w:val="18"/>
          <w:color w:val="4B4B4B"/>
        </w:rPr>
      </w:pPr>
    </w:p>
    <w:p>
      <w:pPr>
        <w:ind w:left="240" w:hanging="232"/>
        <w:spacing w:after="0"/>
        <w:tabs>
          <w:tab w:leader="none" w:pos="240" w:val="left"/>
        </w:tabs>
        <w:numPr>
          <w:ilvl w:val="0"/>
          <w:numId w:val="18"/>
        </w:numPr>
        <w:rPr>
          <w:rFonts w:ascii="Arial" w:cs="Arial" w:eastAsia="Arial" w:hAnsi="Arial"/>
          <w:sz w:val="18"/>
          <w:szCs w:val="18"/>
          <w:color w:val="4B4B4B"/>
        </w:rPr>
      </w:pPr>
      <w:r>
        <w:rPr>
          <w:rFonts w:ascii="Arial" w:cs="Arial" w:eastAsia="Arial" w:hAnsi="Arial"/>
          <w:sz w:val="18"/>
          <w:szCs w:val="18"/>
          <w:color w:val="4B4B4B"/>
        </w:rPr>
        <w:t>Severin Hacker, our Chief Technology Officer; and</w:t>
      </w:r>
    </w:p>
    <w:p>
      <w:pPr>
        <w:spacing w:after="0" w:line="184" w:lineRule="exact"/>
        <w:rPr>
          <w:rFonts w:ascii="Arial" w:cs="Arial" w:eastAsia="Arial" w:hAnsi="Arial"/>
          <w:sz w:val="18"/>
          <w:szCs w:val="18"/>
          <w:color w:val="4B4B4B"/>
        </w:rPr>
      </w:pPr>
    </w:p>
    <w:p>
      <w:pPr>
        <w:ind w:left="240" w:hanging="232"/>
        <w:spacing w:after="0"/>
        <w:tabs>
          <w:tab w:leader="none" w:pos="240" w:val="left"/>
        </w:tabs>
        <w:numPr>
          <w:ilvl w:val="0"/>
          <w:numId w:val="18"/>
        </w:numPr>
        <w:rPr>
          <w:rFonts w:ascii="Arial" w:cs="Arial" w:eastAsia="Arial" w:hAnsi="Arial"/>
          <w:sz w:val="18"/>
          <w:szCs w:val="18"/>
          <w:color w:val="4B4B4B"/>
        </w:rPr>
      </w:pPr>
      <w:r>
        <w:rPr>
          <w:rFonts w:ascii="Arial" w:cs="Arial" w:eastAsia="Arial" w:hAnsi="Arial"/>
          <w:sz w:val="18"/>
          <w:szCs w:val="18"/>
          <w:color w:val="4B4B4B"/>
        </w:rPr>
        <w:t>Matthew Skaruppa, our Chief Financial Officer.</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4B4B4B"/>
        </w:rPr>
        <w:t>The following is a discussion and analysis of compensation arrangements of our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40" w:type="dxa"/>
            <w:vAlign w:val="bottom"/>
            <w:shd w:val="clear" w:color="auto" w:fill="F7F7F7"/>
          </w:tcPr>
          <w:p>
            <w:pPr>
              <w:spacing w:after="0"/>
              <w:rPr>
                <w:sz w:val="19"/>
                <w:szCs w:val="19"/>
                <w:color w:val="auto"/>
              </w:rPr>
            </w:pPr>
          </w:p>
        </w:tc>
        <w:tc>
          <w:tcPr>
            <w:tcW w:w="2580" w:type="dxa"/>
            <w:vAlign w:val="bottom"/>
            <w:shd w:val="clear" w:color="auto" w:fill="F7F7F7"/>
          </w:tcPr>
          <w:p>
            <w:pPr>
              <w:spacing w:after="0"/>
              <w:rPr>
                <w:sz w:val="19"/>
                <w:szCs w:val="19"/>
                <w:color w:val="auto"/>
              </w:rPr>
            </w:pPr>
          </w:p>
        </w:tc>
        <w:tc>
          <w:tcPr>
            <w:tcW w:w="1000" w:type="dxa"/>
            <w:vAlign w:val="bottom"/>
            <w:shd w:val="clear" w:color="auto" w:fill="F7F7F7"/>
          </w:tcPr>
          <w:p>
            <w:pPr>
              <w:spacing w:after="0"/>
              <w:rPr>
                <w:sz w:val="19"/>
                <w:szCs w:val="19"/>
                <w:color w:val="auto"/>
              </w:rPr>
            </w:pPr>
          </w:p>
        </w:tc>
        <w:tc>
          <w:tcPr>
            <w:tcW w:w="1060" w:type="dxa"/>
            <w:vAlign w:val="bottom"/>
            <w:shd w:val="clear" w:color="auto" w:fill="F7F7F7"/>
          </w:tcPr>
          <w:p>
            <w:pPr>
              <w:spacing w:after="0"/>
              <w:rPr>
                <w:sz w:val="19"/>
                <w:szCs w:val="19"/>
                <w:color w:val="auto"/>
              </w:rPr>
            </w:pPr>
          </w:p>
        </w:tc>
        <w:tc>
          <w:tcPr>
            <w:tcW w:w="980" w:type="dxa"/>
            <w:vAlign w:val="bottom"/>
            <w:shd w:val="clear" w:color="auto" w:fill="F7F7F7"/>
          </w:tcPr>
          <w:p>
            <w:pPr>
              <w:spacing w:after="0"/>
              <w:rPr>
                <w:sz w:val="19"/>
                <w:szCs w:val="19"/>
                <w:color w:val="auto"/>
              </w:rPr>
            </w:pPr>
          </w:p>
        </w:tc>
        <w:tc>
          <w:tcPr>
            <w:tcW w:w="1380" w:type="dxa"/>
            <w:vAlign w:val="bottom"/>
            <w:shd w:val="clear" w:color="auto" w:fill="F7F7F7"/>
          </w:tcPr>
          <w:p>
            <w:pPr>
              <w:spacing w:after="0"/>
              <w:rPr>
                <w:sz w:val="19"/>
                <w:szCs w:val="19"/>
                <w:color w:val="auto"/>
              </w:rPr>
            </w:pPr>
          </w:p>
        </w:tc>
        <w:tc>
          <w:tcPr>
            <w:tcW w:w="1440" w:type="dxa"/>
            <w:vAlign w:val="bottom"/>
            <w:shd w:val="clear" w:color="auto" w:fill="F7F7F7"/>
          </w:tcPr>
          <w:p>
            <w:pPr>
              <w:spacing w:after="0"/>
              <w:rPr>
                <w:sz w:val="19"/>
                <w:szCs w:val="19"/>
                <w:color w:val="auto"/>
              </w:rPr>
            </w:pPr>
          </w:p>
        </w:tc>
        <w:tc>
          <w:tcPr>
            <w:tcW w:w="146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All Other</w:t>
            </w:r>
          </w:p>
        </w:tc>
        <w:tc>
          <w:tcPr>
            <w:tcW w:w="1180" w:type="dxa"/>
            <w:vAlign w:val="bottom"/>
            <w:shd w:val="clear" w:color="auto" w:fill="F7F7F7"/>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40" w:type="dxa"/>
            <w:vAlign w:val="bottom"/>
            <w:shd w:val="clear" w:color="auto" w:fill="F7F7F7"/>
          </w:tcPr>
          <w:p>
            <w:pPr>
              <w:spacing w:after="0"/>
              <w:rPr>
                <w:sz w:val="16"/>
                <w:szCs w:val="16"/>
                <w:color w:val="auto"/>
              </w:rPr>
            </w:pPr>
          </w:p>
        </w:tc>
        <w:tc>
          <w:tcPr>
            <w:tcW w:w="2580" w:type="dxa"/>
            <w:vAlign w:val="bottom"/>
            <w:shd w:val="clear" w:color="auto" w:fill="F7F7F7"/>
          </w:tcPr>
          <w:p>
            <w:pPr>
              <w:spacing w:after="0"/>
              <w:rPr>
                <w:sz w:val="16"/>
                <w:szCs w:val="16"/>
                <w:color w:val="auto"/>
              </w:rPr>
            </w:pPr>
          </w:p>
        </w:tc>
        <w:tc>
          <w:tcPr>
            <w:tcW w:w="1000" w:type="dxa"/>
            <w:vAlign w:val="bottom"/>
            <w:shd w:val="clear" w:color="auto" w:fill="F7F7F7"/>
          </w:tcPr>
          <w:p>
            <w:pPr>
              <w:spacing w:after="0"/>
              <w:rPr>
                <w:sz w:val="16"/>
                <w:szCs w:val="16"/>
                <w:color w:val="auto"/>
              </w:rPr>
            </w:pPr>
          </w:p>
        </w:tc>
        <w:tc>
          <w:tcPr>
            <w:tcW w:w="1060" w:type="dxa"/>
            <w:vAlign w:val="bottom"/>
            <w:shd w:val="clear" w:color="auto" w:fill="F7F7F7"/>
          </w:tcPr>
          <w:p>
            <w:pPr>
              <w:ind w:left="300"/>
              <w:spacing w:after="0"/>
              <w:rPr>
                <w:sz w:val="20"/>
                <w:szCs w:val="20"/>
                <w:color w:val="auto"/>
              </w:rPr>
            </w:pPr>
            <w:r>
              <w:rPr>
                <w:rFonts w:ascii="Arial" w:cs="Arial" w:eastAsia="Arial" w:hAnsi="Arial"/>
                <w:sz w:val="16"/>
                <w:szCs w:val="16"/>
                <w:b w:val="1"/>
                <w:bCs w:val="1"/>
                <w:color w:val="4B4B4B"/>
              </w:rPr>
              <w:t>Salary</w:t>
            </w:r>
          </w:p>
        </w:tc>
        <w:tc>
          <w:tcPr>
            <w:tcW w:w="980" w:type="dxa"/>
            <w:vAlign w:val="bottom"/>
            <w:shd w:val="clear" w:color="auto" w:fill="F7F7F7"/>
          </w:tcPr>
          <w:p>
            <w:pPr>
              <w:ind w:left="260"/>
              <w:spacing w:after="0"/>
              <w:rPr>
                <w:sz w:val="20"/>
                <w:szCs w:val="20"/>
                <w:color w:val="auto"/>
              </w:rPr>
            </w:pPr>
            <w:r>
              <w:rPr>
                <w:rFonts w:ascii="Arial" w:cs="Arial" w:eastAsia="Arial" w:hAnsi="Arial"/>
                <w:sz w:val="16"/>
                <w:szCs w:val="16"/>
                <w:b w:val="1"/>
                <w:bCs w:val="1"/>
                <w:color w:val="4B4B4B"/>
              </w:rPr>
              <w:t>Bonus</w:t>
            </w:r>
          </w:p>
        </w:tc>
        <w:tc>
          <w:tcPr>
            <w:tcW w:w="1380" w:type="dxa"/>
            <w:vAlign w:val="bottom"/>
            <w:shd w:val="clear" w:color="auto" w:fill="F7F7F7"/>
          </w:tcPr>
          <w:p>
            <w:pPr>
              <w:ind w:left="160"/>
              <w:spacing w:after="0"/>
              <w:rPr>
                <w:sz w:val="20"/>
                <w:szCs w:val="20"/>
                <w:color w:val="auto"/>
              </w:rPr>
            </w:pPr>
            <w:r>
              <w:rPr>
                <w:rFonts w:ascii="Arial" w:cs="Arial" w:eastAsia="Arial" w:hAnsi="Arial"/>
                <w:sz w:val="16"/>
                <w:szCs w:val="16"/>
                <w:b w:val="1"/>
                <w:bCs w:val="1"/>
                <w:color w:val="4B4B4B"/>
              </w:rPr>
              <w:t>Stock Awards</w:t>
            </w:r>
          </w:p>
        </w:tc>
        <w:tc>
          <w:tcPr>
            <w:tcW w:w="1440" w:type="dxa"/>
            <w:vAlign w:val="bottom"/>
            <w:shd w:val="clear" w:color="auto" w:fill="F7F7F7"/>
          </w:tcPr>
          <w:p>
            <w:pPr>
              <w:ind w:left="160"/>
              <w:spacing w:after="0"/>
              <w:rPr>
                <w:sz w:val="20"/>
                <w:szCs w:val="20"/>
                <w:color w:val="auto"/>
              </w:rPr>
            </w:pPr>
            <w:r>
              <w:rPr>
                <w:rFonts w:ascii="Arial" w:cs="Arial" w:eastAsia="Arial" w:hAnsi="Arial"/>
                <w:sz w:val="16"/>
                <w:szCs w:val="16"/>
                <w:b w:val="1"/>
                <w:bCs w:val="1"/>
                <w:color w:val="4B4B4B"/>
              </w:rPr>
              <w:t>Equity Awards</w:t>
            </w:r>
          </w:p>
        </w:tc>
        <w:tc>
          <w:tcPr>
            <w:tcW w:w="146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Compensation</w:t>
            </w:r>
          </w:p>
        </w:tc>
        <w:tc>
          <w:tcPr>
            <w:tcW w:w="1180" w:type="dxa"/>
            <w:vAlign w:val="bottom"/>
            <w:shd w:val="clear" w:color="auto" w:fill="F7F7F7"/>
          </w:tcPr>
          <w:p>
            <w:pPr>
              <w:ind w:left="400"/>
              <w:spacing w:after="0"/>
              <w:rPr>
                <w:sz w:val="20"/>
                <w:szCs w:val="20"/>
                <w:color w:val="auto"/>
              </w:rPr>
            </w:pPr>
            <w:r>
              <w:rPr>
                <w:rFonts w:ascii="Arial" w:cs="Arial" w:eastAsia="Arial" w:hAnsi="Arial"/>
                <w:sz w:val="16"/>
                <w:szCs w:val="16"/>
                <w:b w:val="1"/>
                <w:bCs w:val="1"/>
                <w:color w:val="4B4B4B"/>
                <w:highlight w:val="white"/>
              </w:rPr>
              <w:t>Total</w:t>
            </w:r>
          </w:p>
        </w:tc>
        <w:tc>
          <w:tcPr>
            <w:tcW w:w="0" w:type="dxa"/>
            <w:vAlign w:val="bottom"/>
          </w:tcPr>
          <w:p>
            <w:pPr>
              <w:spacing w:after="0"/>
              <w:rPr>
                <w:sz w:val="1"/>
                <w:szCs w:val="1"/>
                <w:color w:val="auto"/>
              </w:rPr>
            </w:pPr>
          </w:p>
        </w:tc>
      </w:tr>
      <w:tr>
        <w:trPr>
          <w:trHeight w:val="203"/>
        </w:trPr>
        <w:tc>
          <w:tcPr>
            <w:tcW w:w="140" w:type="dxa"/>
            <w:vAlign w:val="bottom"/>
            <w:shd w:val="clear" w:color="auto" w:fill="F7F7F7"/>
          </w:tcPr>
          <w:p>
            <w:pPr>
              <w:spacing w:after="0"/>
              <w:rPr>
                <w:sz w:val="17"/>
                <w:szCs w:val="17"/>
                <w:color w:val="auto"/>
              </w:rPr>
            </w:pPr>
          </w:p>
        </w:tc>
        <w:tc>
          <w:tcPr>
            <w:tcW w:w="2580" w:type="dxa"/>
            <w:vAlign w:val="bottom"/>
            <w:shd w:val="clear" w:color="auto" w:fill="F7F7F7"/>
          </w:tcPr>
          <w:p>
            <w:pPr>
              <w:ind w:left="20"/>
              <w:spacing w:after="0"/>
              <w:rPr>
                <w:sz w:val="20"/>
                <w:szCs w:val="20"/>
                <w:color w:val="auto"/>
              </w:rPr>
            </w:pPr>
            <w:r>
              <w:rPr>
                <w:rFonts w:ascii="Arial" w:cs="Arial" w:eastAsia="Arial" w:hAnsi="Arial"/>
                <w:sz w:val="16"/>
                <w:szCs w:val="16"/>
                <w:b w:val="1"/>
                <w:bCs w:val="1"/>
                <w:color w:val="4B4B4B"/>
              </w:rPr>
              <w:t>Name and Principal Position</w:t>
            </w:r>
          </w:p>
        </w:tc>
        <w:tc>
          <w:tcPr>
            <w:tcW w:w="1000" w:type="dxa"/>
            <w:vAlign w:val="bottom"/>
            <w:shd w:val="clear" w:color="auto" w:fill="F7F7F7"/>
          </w:tcPr>
          <w:p>
            <w:pPr>
              <w:ind w:left="380"/>
              <w:spacing w:after="0"/>
              <w:rPr>
                <w:sz w:val="20"/>
                <w:szCs w:val="20"/>
                <w:color w:val="auto"/>
              </w:rPr>
            </w:pPr>
            <w:r>
              <w:rPr>
                <w:rFonts w:ascii="Arial" w:cs="Arial" w:eastAsia="Arial" w:hAnsi="Arial"/>
                <w:sz w:val="16"/>
                <w:szCs w:val="16"/>
                <w:b w:val="1"/>
                <w:bCs w:val="1"/>
                <w:color w:val="4B4B4B"/>
              </w:rPr>
              <w:t>Year</w:t>
            </w:r>
          </w:p>
        </w:tc>
        <w:tc>
          <w:tcPr>
            <w:tcW w:w="106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w:t>
            </w:r>
          </w:p>
        </w:tc>
        <w:tc>
          <w:tcPr>
            <w:tcW w:w="98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($)(1)</w:t>
            </w:r>
          </w:p>
        </w:tc>
        <w:tc>
          <w:tcPr>
            <w:tcW w:w="138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($)(2)</w:t>
            </w:r>
          </w:p>
        </w:tc>
        <w:tc>
          <w:tcPr>
            <w:tcW w:w="144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($)(3)</w:t>
            </w:r>
          </w:p>
        </w:tc>
        <w:tc>
          <w:tcPr>
            <w:tcW w:w="146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($)(4)</w:t>
            </w:r>
          </w:p>
        </w:tc>
        <w:tc>
          <w:tcPr>
            <w:tcW w:w="118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highlight w:val="white"/>
              </w:rPr>
              <w:t>($)</w:t>
            </w:r>
          </w:p>
        </w:tc>
        <w:tc>
          <w:tcPr>
            <w:tcW w:w="0" w:type="dxa"/>
            <w:vAlign w:val="bottom"/>
          </w:tcPr>
          <w:p>
            <w:pPr>
              <w:spacing w:after="0"/>
              <w:rPr>
                <w:sz w:val="1"/>
                <w:szCs w:val="1"/>
                <w:color w:val="auto"/>
              </w:rPr>
            </w:pPr>
          </w:p>
        </w:tc>
      </w:tr>
      <w:tr>
        <w:trPr>
          <w:trHeight w:val="94"/>
        </w:trPr>
        <w:tc>
          <w:tcPr>
            <w:tcW w:w="140" w:type="dxa"/>
            <w:vAlign w:val="bottom"/>
            <w:shd w:val="clear" w:color="auto" w:fill="F7F7F7"/>
          </w:tcPr>
          <w:p>
            <w:pPr>
              <w:spacing w:after="0"/>
              <w:rPr>
                <w:sz w:val="8"/>
                <w:szCs w:val="8"/>
                <w:color w:val="auto"/>
              </w:rPr>
            </w:pPr>
          </w:p>
        </w:tc>
        <w:tc>
          <w:tcPr>
            <w:tcW w:w="2580" w:type="dxa"/>
            <w:vAlign w:val="bottom"/>
            <w:shd w:val="clear" w:color="auto" w:fill="F7F7F7"/>
          </w:tcPr>
          <w:p>
            <w:pPr>
              <w:spacing w:after="0"/>
              <w:rPr>
                <w:sz w:val="8"/>
                <w:szCs w:val="8"/>
                <w:color w:val="auto"/>
              </w:rPr>
            </w:pPr>
          </w:p>
        </w:tc>
        <w:tc>
          <w:tcPr>
            <w:tcW w:w="1000" w:type="dxa"/>
            <w:vAlign w:val="bottom"/>
            <w:shd w:val="clear" w:color="auto" w:fill="F7F7F7"/>
          </w:tcPr>
          <w:p>
            <w:pPr>
              <w:spacing w:after="0"/>
              <w:rPr>
                <w:sz w:val="8"/>
                <w:szCs w:val="8"/>
                <w:color w:val="auto"/>
              </w:rPr>
            </w:pPr>
          </w:p>
        </w:tc>
        <w:tc>
          <w:tcPr>
            <w:tcW w:w="1060" w:type="dxa"/>
            <w:vAlign w:val="bottom"/>
            <w:shd w:val="clear" w:color="auto" w:fill="F7F7F7"/>
          </w:tcPr>
          <w:p>
            <w:pPr>
              <w:spacing w:after="0"/>
              <w:rPr>
                <w:sz w:val="8"/>
                <w:szCs w:val="8"/>
                <w:color w:val="auto"/>
              </w:rPr>
            </w:pPr>
          </w:p>
        </w:tc>
        <w:tc>
          <w:tcPr>
            <w:tcW w:w="980" w:type="dxa"/>
            <w:vAlign w:val="bottom"/>
            <w:shd w:val="clear" w:color="auto" w:fill="F7F7F7"/>
          </w:tcPr>
          <w:p>
            <w:pPr>
              <w:spacing w:after="0"/>
              <w:rPr>
                <w:sz w:val="8"/>
                <w:szCs w:val="8"/>
                <w:color w:val="auto"/>
              </w:rPr>
            </w:pPr>
          </w:p>
        </w:tc>
        <w:tc>
          <w:tcPr>
            <w:tcW w:w="1380" w:type="dxa"/>
            <w:vAlign w:val="bottom"/>
            <w:shd w:val="clear" w:color="auto" w:fill="F7F7F7"/>
          </w:tcPr>
          <w:p>
            <w:pPr>
              <w:spacing w:after="0"/>
              <w:rPr>
                <w:sz w:val="8"/>
                <w:szCs w:val="8"/>
                <w:color w:val="auto"/>
              </w:rPr>
            </w:pPr>
          </w:p>
        </w:tc>
        <w:tc>
          <w:tcPr>
            <w:tcW w:w="1440" w:type="dxa"/>
            <w:vAlign w:val="bottom"/>
            <w:shd w:val="clear" w:color="auto" w:fill="F7F7F7"/>
          </w:tcPr>
          <w:p>
            <w:pPr>
              <w:spacing w:after="0"/>
              <w:rPr>
                <w:sz w:val="8"/>
                <w:szCs w:val="8"/>
                <w:color w:val="auto"/>
              </w:rPr>
            </w:pPr>
          </w:p>
        </w:tc>
        <w:tc>
          <w:tcPr>
            <w:tcW w:w="1460" w:type="dxa"/>
            <w:vAlign w:val="bottom"/>
            <w:shd w:val="clear" w:color="auto" w:fill="F7F7F7"/>
          </w:tcPr>
          <w:p>
            <w:pPr>
              <w:spacing w:after="0"/>
              <w:rPr>
                <w:sz w:val="8"/>
                <w:szCs w:val="8"/>
                <w:color w:val="auto"/>
              </w:rPr>
            </w:pPr>
          </w:p>
        </w:tc>
        <w:tc>
          <w:tcPr>
            <w:tcW w:w="1180" w:type="dxa"/>
            <w:vAlign w:val="bottom"/>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140" w:type="dxa"/>
            <w:vAlign w:val="bottom"/>
          </w:tcPr>
          <w:p>
            <w:pPr>
              <w:spacing w:after="0"/>
              <w:rPr>
                <w:sz w:val="24"/>
                <w:szCs w:val="24"/>
                <w:color w:val="auto"/>
              </w:rPr>
            </w:pPr>
          </w:p>
        </w:tc>
        <w:tc>
          <w:tcPr>
            <w:tcW w:w="2580" w:type="dxa"/>
            <w:vAlign w:val="bottom"/>
          </w:tcPr>
          <w:p>
            <w:pPr>
              <w:ind w:left="20"/>
              <w:spacing w:after="0"/>
              <w:rPr>
                <w:sz w:val="20"/>
                <w:szCs w:val="20"/>
                <w:color w:val="auto"/>
              </w:rPr>
            </w:pPr>
            <w:r>
              <w:rPr>
                <w:rFonts w:ascii="Arial" w:cs="Arial" w:eastAsia="Arial" w:hAnsi="Arial"/>
                <w:sz w:val="16"/>
                <w:szCs w:val="16"/>
                <w:b w:val="1"/>
                <w:bCs w:val="1"/>
                <w:color w:val="4B4B4B"/>
              </w:rPr>
              <w:t>Luis von Ahn</w:t>
            </w:r>
          </w:p>
        </w:tc>
        <w:tc>
          <w:tcPr>
            <w:tcW w:w="1000" w:type="dxa"/>
            <w:vAlign w:val="bottom"/>
          </w:tcPr>
          <w:p>
            <w:pPr>
              <w:ind w:left="360"/>
              <w:spacing w:after="0"/>
              <w:rPr>
                <w:sz w:val="20"/>
                <w:szCs w:val="20"/>
                <w:color w:val="auto"/>
              </w:rPr>
            </w:pPr>
            <w:r>
              <w:rPr>
                <w:rFonts w:ascii="Arial" w:cs="Arial" w:eastAsia="Arial" w:hAnsi="Arial"/>
                <w:sz w:val="16"/>
                <w:szCs w:val="16"/>
                <w:color w:val="4B4B4B"/>
              </w:rPr>
              <w:t>2020</w:t>
            </w:r>
          </w:p>
        </w:tc>
        <w:tc>
          <w:tcPr>
            <w:tcW w:w="1060" w:type="dxa"/>
            <w:vAlign w:val="bottom"/>
          </w:tcPr>
          <w:p>
            <w:pPr>
              <w:jc w:val="center"/>
              <w:spacing w:after="0"/>
              <w:rPr>
                <w:sz w:val="20"/>
                <w:szCs w:val="20"/>
                <w:color w:val="auto"/>
              </w:rPr>
            </w:pPr>
            <w:r>
              <w:rPr>
                <w:rFonts w:ascii="Arial" w:cs="Arial" w:eastAsia="Arial" w:hAnsi="Arial"/>
                <w:sz w:val="16"/>
                <w:szCs w:val="16"/>
                <w:color w:val="4B4B4B"/>
              </w:rPr>
              <w:t>330,000</w:t>
            </w:r>
          </w:p>
        </w:tc>
        <w:tc>
          <w:tcPr>
            <w:tcW w:w="980" w:type="dxa"/>
            <w:vAlign w:val="bottom"/>
          </w:tcPr>
          <w:p>
            <w:pPr>
              <w:jc w:val="center"/>
              <w:spacing w:after="0"/>
              <w:rPr>
                <w:sz w:val="20"/>
                <w:szCs w:val="20"/>
                <w:color w:val="auto"/>
              </w:rPr>
            </w:pPr>
            <w:r>
              <w:rPr>
                <w:rFonts w:ascii="Arial" w:cs="Arial" w:eastAsia="Arial" w:hAnsi="Arial"/>
                <w:sz w:val="16"/>
                <w:szCs w:val="16"/>
                <w:color w:val="4B4B4B"/>
                <w:w w:val="99"/>
              </w:rPr>
              <w:t>1,250</w:t>
            </w:r>
          </w:p>
        </w:tc>
        <w:tc>
          <w:tcPr>
            <w:tcW w:w="138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4B4B4B"/>
              </w:rPr>
              <w:t>3,094,000</w:t>
            </w:r>
          </w:p>
        </w:tc>
        <w:tc>
          <w:tcPr>
            <w:tcW w:w="1460" w:type="dxa"/>
            <w:vAlign w:val="bottom"/>
          </w:tcPr>
          <w:p>
            <w:pPr>
              <w:jc w:val="center"/>
              <w:spacing w:after="0"/>
              <w:rPr>
                <w:sz w:val="20"/>
                <w:szCs w:val="20"/>
                <w:color w:val="auto"/>
              </w:rPr>
            </w:pPr>
            <w:r>
              <w:rPr>
                <w:rFonts w:ascii="Arial" w:cs="Arial" w:eastAsia="Arial" w:hAnsi="Arial"/>
                <w:sz w:val="16"/>
                <w:szCs w:val="16"/>
                <w:color w:val="4B4B4B"/>
              </w:rPr>
              <w:t>16,840</w:t>
            </w:r>
          </w:p>
        </w:tc>
        <w:tc>
          <w:tcPr>
            <w:tcW w:w="1180" w:type="dxa"/>
            <w:vAlign w:val="bottom"/>
          </w:tcPr>
          <w:p>
            <w:pPr>
              <w:jc w:val="center"/>
              <w:spacing w:after="0"/>
              <w:rPr>
                <w:sz w:val="20"/>
                <w:szCs w:val="20"/>
                <w:color w:val="auto"/>
              </w:rPr>
            </w:pPr>
            <w:r>
              <w:rPr>
                <w:rFonts w:ascii="Arial" w:cs="Arial" w:eastAsia="Arial" w:hAnsi="Arial"/>
                <w:sz w:val="16"/>
                <w:szCs w:val="16"/>
                <w:color w:val="4B4B4B"/>
              </w:rPr>
              <w:t>3,442,090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580" w:type="dxa"/>
            <w:vAlign w:val="bottom"/>
          </w:tcPr>
          <w:p>
            <w:pPr>
              <w:ind w:left="20"/>
              <w:spacing w:after="0"/>
              <w:rPr>
                <w:sz w:val="20"/>
                <w:szCs w:val="20"/>
                <w:color w:val="auto"/>
              </w:rPr>
            </w:pPr>
            <w:r>
              <w:rPr>
                <w:rFonts w:ascii="Arial" w:cs="Arial" w:eastAsia="Arial" w:hAnsi="Arial"/>
                <w:sz w:val="16"/>
                <w:szCs w:val="16"/>
                <w:color w:val="4B4B4B"/>
              </w:rPr>
              <w:t>Chief Executive Officer</w:t>
            </w:r>
          </w:p>
        </w:tc>
        <w:tc>
          <w:tcPr>
            <w:tcW w:w="1000" w:type="dxa"/>
            <w:vAlign w:val="bottom"/>
            <w:vMerge w:val="restart"/>
          </w:tcPr>
          <w:p>
            <w:pPr>
              <w:ind w:left="360"/>
              <w:spacing w:after="0"/>
              <w:rPr>
                <w:sz w:val="20"/>
                <w:szCs w:val="20"/>
                <w:color w:val="auto"/>
              </w:rPr>
            </w:pPr>
            <w:r>
              <w:rPr>
                <w:rFonts w:ascii="Arial" w:cs="Arial" w:eastAsia="Arial" w:hAnsi="Arial"/>
                <w:sz w:val="16"/>
                <w:szCs w:val="16"/>
                <w:color w:val="4B4B4B"/>
              </w:rPr>
              <w:t>2021</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4B4B4B"/>
              </w:rPr>
              <w:t>540,000</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4B4B4B"/>
                <w:w w:val="99"/>
              </w:rPr>
              <w:t>—</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4B4B4B"/>
                <w:w w:val="99"/>
              </w:rPr>
              <w:t>73,872,000</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4B4B4B"/>
                <w:w w:val="99"/>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4B4B4B"/>
              </w:rPr>
              <w:t>19,300</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4B4B4B"/>
                <w:w w:val="99"/>
              </w:rPr>
              <w:t>74,431,300</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140" w:type="dxa"/>
            <w:vAlign w:val="bottom"/>
            <w:tcBorders>
              <w:bottom w:val="single" w:sz="8" w:color="E5E5E5"/>
            </w:tcBorders>
          </w:tcPr>
          <w:p>
            <w:pPr>
              <w:spacing w:after="0"/>
              <w:rPr>
                <w:sz w:val="5"/>
                <w:szCs w:val="5"/>
                <w:color w:val="auto"/>
              </w:rPr>
            </w:pPr>
          </w:p>
        </w:tc>
        <w:tc>
          <w:tcPr>
            <w:tcW w:w="2580" w:type="dxa"/>
            <w:vAlign w:val="bottom"/>
            <w:vMerge w:val="restart"/>
          </w:tcPr>
          <w:p>
            <w:pPr>
              <w:ind w:left="20"/>
              <w:spacing w:after="0"/>
              <w:rPr>
                <w:sz w:val="20"/>
                <w:szCs w:val="20"/>
                <w:color w:val="auto"/>
              </w:rPr>
            </w:pPr>
            <w:r>
              <w:rPr>
                <w:rFonts w:ascii="Arial" w:cs="Arial" w:eastAsia="Arial" w:hAnsi="Arial"/>
                <w:sz w:val="16"/>
                <w:szCs w:val="16"/>
                <w:b w:val="1"/>
                <w:bCs w:val="1"/>
                <w:color w:val="4B4B4B"/>
              </w:rPr>
              <w:t>Severin Hacker</w:t>
            </w:r>
          </w:p>
        </w:tc>
        <w:tc>
          <w:tcPr>
            <w:tcW w:w="1000" w:type="dxa"/>
            <w:vAlign w:val="bottom"/>
            <w:vMerge w:val="restart"/>
          </w:tcPr>
          <w:p>
            <w:pPr>
              <w:ind w:left="360"/>
              <w:spacing w:after="0"/>
              <w:rPr>
                <w:sz w:val="20"/>
                <w:szCs w:val="20"/>
                <w:color w:val="auto"/>
              </w:rPr>
            </w:pPr>
            <w:r>
              <w:rPr>
                <w:rFonts w:ascii="Arial" w:cs="Arial" w:eastAsia="Arial" w:hAnsi="Arial"/>
                <w:sz w:val="16"/>
                <w:szCs w:val="16"/>
                <w:color w:val="4B4B4B"/>
              </w:rPr>
              <w:t>2020</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4B4B4B"/>
              </w:rPr>
              <w:t>322,350</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4B4B4B"/>
                <w:w w:val="99"/>
              </w:rPr>
              <w:t>—</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4B4B4B"/>
                <w:w w:val="99"/>
              </w:rPr>
              <w:t>—</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4B4B4B"/>
              </w:rPr>
              <w:t>3,094,000</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4B4B4B"/>
              </w:rPr>
              <w:t>16,840</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4B4B4B"/>
              </w:rPr>
              <w:t>3,433,190</w:t>
            </w:r>
          </w:p>
        </w:tc>
        <w:tc>
          <w:tcPr>
            <w:tcW w:w="0" w:type="dxa"/>
            <w:vAlign w:val="bottom"/>
          </w:tcPr>
          <w:p>
            <w:pPr>
              <w:spacing w:after="0"/>
              <w:rPr>
                <w:sz w:val="1"/>
                <w:szCs w:val="1"/>
                <w:color w:val="auto"/>
              </w:rPr>
            </w:pPr>
          </w:p>
        </w:tc>
      </w:tr>
      <w:tr>
        <w:trPr>
          <w:trHeight w:val="308"/>
        </w:trPr>
        <w:tc>
          <w:tcPr>
            <w:tcW w:w="1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580" w:type="dxa"/>
            <w:vAlign w:val="bottom"/>
          </w:tcPr>
          <w:p>
            <w:pPr>
              <w:ind w:left="20"/>
              <w:spacing w:after="0"/>
              <w:rPr>
                <w:sz w:val="20"/>
                <w:szCs w:val="20"/>
                <w:color w:val="auto"/>
              </w:rPr>
            </w:pPr>
            <w:r>
              <w:rPr>
                <w:rFonts w:ascii="Arial" w:cs="Arial" w:eastAsia="Arial" w:hAnsi="Arial"/>
                <w:sz w:val="16"/>
                <w:szCs w:val="16"/>
                <w:color w:val="4B4B4B"/>
              </w:rPr>
              <w:t>Chief Technology Officer</w:t>
            </w:r>
          </w:p>
        </w:tc>
        <w:tc>
          <w:tcPr>
            <w:tcW w:w="1000" w:type="dxa"/>
            <w:vAlign w:val="bottom"/>
            <w:vMerge w:val="restart"/>
          </w:tcPr>
          <w:p>
            <w:pPr>
              <w:ind w:left="360"/>
              <w:spacing w:after="0"/>
              <w:rPr>
                <w:sz w:val="20"/>
                <w:szCs w:val="20"/>
                <w:color w:val="auto"/>
              </w:rPr>
            </w:pPr>
            <w:r>
              <w:rPr>
                <w:rFonts w:ascii="Arial" w:cs="Arial" w:eastAsia="Arial" w:hAnsi="Arial"/>
                <w:sz w:val="16"/>
                <w:szCs w:val="16"/>
                <w:color w:val="4B4B4B"/>
              </w:rPr>
              <w:t>2021</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4B4B4B"/>
              </w:rPr>
              <w:t>448,281</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4B4B4B"/>
                <w:w w:val="99"/>
              </w:rPr>
              <w:t>—</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4B4B4B"/>
                <w:w w:val="99"/>
              </w:rPr>
              <w:t>36,950,756</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4B4B4B"/>
                <w:w w:val="89"/>
              </w:rPr>
              <w:t>0</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4B4B4B"/>
              </w:rPr>
              <w:t>19,300</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4B4B4B"/>
                <w:w w:val="99"/>
              </w:rPr>
              <w:t>37,418,337</w:t>
            </w:r>
          </w:p>
        </w:tc>
        <w:tc>
          <w:tcPr>
            <w:tcW w:w="0" w:type="dxa"/>
            <w:vAlign w:val="bottom"/>
          </w:tcPr>
          <w:p>
            <w:pPr>
              <w:spacing w:after="0"/>
              <w:rPr>
                <w:sz w:val="1"/>
                <w:szCs w:val="1"/>
                <w:color w:val="auto"/>
              </w:rPr>
            </w:pPr>
          </w:p>
        </w:tc>
      </w:tr>
      <w:tr>
        <w:trPr>
          <w:trHeight w:val="54"/>
        </w:trPr>
        <w:tc>
          <w:tcPr>
            <w:tcW w:w="1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140" w:type="dxa"/>
            <w:vAlign w:val="bottom"/>
            <w:tcBorders>
              <w:bottom w:val="single" w:sz="8" w:color="E5E5E5"/>
            </w:tcBorders>
          </w:tcPr>
          <w:p>
            <w:pPr>
              <w:spacing w:after="0"/>
              <w:rPr>
                <w:sz w:val="5"/>
                <w:szCs w:val="5"/>
                <w:color w:val="auto"/>
              </w:rPr>
            </w:pPr>
          </w:p>
        </w:tc>
        <w:tc>
          <w:tcPr>
            <w:tcW w:w="2580" w:type="dxa"/>
            <w:vAlign w:val="bottom"/>
            <w:vMerge w:val="restart"/>
          </w:tcPr>
          <w:p>
            <w:pPr>
              <w:ind w:left="20"/>
              <w:spacing w:after="0"/>
              <w:rPr>
                <w:sz w:val="20"/>
                <w:szCs w:val="20"/>
                <w:color w:val="auto"/>
              </w:rPr>
            </w:pPr>
            <w:r>
              <w:rPr>
                <w:rFonts w:ascii="Arial" w:cs="Arial" w:eastAsia="Arial" w:hAnsi="Arial"/>
                <w:sz w:val="16"/>
                <w:szCs w:val="16"/>
                <w:b w:val="1"/>
                <w:bCs w:val="1"/>
                <w:color w:val="4B4B4B"/>
              </w:rPr>
              <w:t>Matthew Skaruppa</w:t>
            </w:r>
          </w:p>
        </w:tc>
        <w:tc>
          <w:tcPr>
            <w:tcW w:w="1000" w:type="dxa"/>
            <w:vAlign w:val="bottom"/>
            <w:vMerge w:val="restart"/>
          </w:tcPr>
          <w:p>
            <w:pPr>
              <w:ind w:left="360"/>
              <w:spacing w:after="0"/>
              <w:rPr>
                <w:sz w:val="20"/>
                <w:szCs w:val="20"/>
                <w:color w:val="auto"/>
              </w:rPr>
            </w:pPr>
            <w:r>
              <w:rPr>
                <w:rFonts w:ascii="Arial" w:cs="Arial" w:eastAsia="Arial" w:hAnsi="Arial"/>
                <w:sz w:val="16"/>
                <w:szCs w:val="16"/>
                <w:color w:val="4B4B4B"/>
              </w:rPr>
              <w:t>2020</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4B4B4B"/>
              </w:rPr>
              <w:t>322,537</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4B4B4B"/>
              </w:rPr>
              <w:t>150,000</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4B4B4B"/>
                <w:w w:val="99"/>
              </w:rPr>
              <w:t>—</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4B4B4B"/>
              </w:rPr>
              <w:t>1,931,889</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4B4B4B"/>
                <w:w w:val="99"/>
              </w:rPr>
              <w:t>5,840</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4B4B4B"/>
              </w:rPr>
              <w:t>2,410,266</w:t>
            </w:r>
          </w:p>
        </w:tc>
        <w:tc>
          <w:tcPr>
            <w:tcW w:w="0" w:type="dxa"/>
            <w:vAlign w:val="bottom"/>
          </w:tcPr>
          <w:p>
            <w:pPr>
              <w:spacing w:after="0"/>
              <w:rPr>
                <w:sz w:val="1"/>
                <w:szCs w:val="1"/>
                <w:color w:val="auto"/>
              </w:rPr>
            </w:pPr>
          </w:p>
        </w:tc>
      </w:tr>
      <w:tr>
        <w:trPr>
          <w:trHeight w:val="308"/>
        </w:trPr>
        <w:tc>
          <w:tcPr>
            <w:tcW w:w="1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580" w:type="dxa"/>
            <w:vAlign w:val="bottom"/>
          </w:tcPr>
          <w:p>
            <w:pPr>
              <w:ind w:left="20"/>
              <w:spacing w:after="0"/>
              <w:rPr>
                <w:sz w:val="20"/>
                <w:szCs w:val="20"/>
                <w:color w:val="auto"/>
              </w:rPr>
            </w:pPr>
            <w:r>
              <w:rPr>
                <w:rFonts w:ascii="Arial" w:cs="Arial" w:eastAsia="Arial" w:hAnsi="Arial"/>
                <w:sz w:val="16"/>
                <w:szCs w:val="16"/>
                <w:color w:val="4B4B4B"/>
              </w:rPr>
              <w:t>Chief Financial Officer</w:t>
            </w:r>
          </w:p>
        </w:tc>
        <w:tc>
          <w:tcPr>
            <w:tcW w:w="1000" w:type="dxa"/>
            <w:vAlign w:val="bottom"/>
            <w:vMerge w:val="restart"/>
          </w:tcPr>
          <w:p>
            <w:pPr>
              <w:ind w:left="360"/>
              <w:spacing w:after="0"/>
              <w:rPr>
                <w:sz w:val="20"/>
                <w:szCs w:val="20"/>
                <w:color w:val="auto"/>
              </w:rPr>
            </w:pPr>
            <w:r>
              <w:rPr>
                <w:rFonts w:ascii="Arial" w:cs="Arial" w:eastAsia="Arial" w:hAnsi="Arial"/>
                <w:sz w:val="16"/>
                <w:szCs w:val="16"/>
                <w:color w:val="4B4B4B"/>
              </w:rPr>
              <w:t>2021</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4B4B4B"/>
              </w:rPr>
              <w:t>480,159</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4B4B4B"/>
              </w:rPr>
              <w:t>15,000</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4B4B4B"/>
              </w:rPr>
              <w:t>1,518,114</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4B4B4B"/>
                <w:w w:val="99"/>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4B4B4B"/>
              </w:rPr>
              <w:t>19,300</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4B4B4B"/>
              </w:rPr>
              <w:t>2,032,573</w:t>
            </w:r>
          </w:p>
        </w:tc>
        <w:tc>
          <w:tcPr>
            <w:tcW w:w="0" w:type="dxa"/>
            <w:vAlign w:val="bottom"/>
          </w:tcPr>
          <w:p>
            <w:pPr>
              <w:spacing w:after="0"/>
              <w:rPr>
                <w:sz w:val="1"/>
                <w:szCs w:val="1"/>
                <w:color w:val="auto"/>
              </w:rPr>
            </w:pPr>
          </w:p>
        </w:tc>
      </w:tr>
      <w:tr>
        <w:trPr>
          <w:trHeight w:val="54"/>
        </w:trPr>
        <w:tc>
          <w:tcPr>
            <w:tcW w:w="1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140" w:type="dxa"/>
            <w:vAlign w:val="bottom"/>
            <w:tcBorders>
              <w:bottom w:val="single" w:sz="8" w:color="E5E5E5"/>
            </w:tcBorders>
          </w:tcPr>
          <w:p>
            <w:pPr>
              <w:spacing w:after="0"/>
              <w:rPr>
                <w:sz w:val="5"/>
                <w:szCs w:val="5"/>
                <w:color w:val="auto"/>
              </w:rPr>
            </w:pPr>
          </w:p>
        </w:tc>
        <w:tc>
          <w:tcPr>
            <w:tcW w:w="25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-26670</wp:posOffset>
            </wp:positionV>
            <wp:extent cx="705485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-438150</wp:posOffset>
            </wp:positionV>
            <wp:extent cx="705485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-850265</wp:posOffset>
            </wp:positionV>
            <wp:extent cx="705485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54850" cy="4254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FAFAF"/>
        </w:rPr>
        <w:t>___________________</w:t>
      </w:r>
    </w:p>
    <w:p>
      <w:pPr>
        <w:spacing w:after="0" w:line="1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b w:val="1"/>
          <w:bCs w:val="1"/>
          <w:color w:val="AFAFAF"/>
        </w:rPr>
      </w:pPr>
      <w:r>
        <w:rPr>
          <w:rFonts w:ascii="Arial" w:cs="Arial" w:eastAsia="Arial" w:hAnsi="Arial"/>
          <w:sz w:val="14"/>
          <w:szCs w:val="14"/>
          <w:b w:val="1"/>
          <w:bCs w:val="1"/>
          <w:color w:val="AFAFAF"/>
        </w:rPr>
        <w:t>Amount for Mr. Skaruppa reflects an ad hoc performance based bonus we paid in 2021.</w:t>
      </w:r>
    </w:p>
    <w:p>
      <w:pPr>
        <w:spacing w:after="0" w:line="145" w:lineRule="exact"/>
        <w:rPr>
          <w:rFonts w:ascii="Arial" w:cs="Arial" w:eastAsia="Arial" w:hAnsi="Arial"/>
          <w:sz w:val="14"/>
          <w:szCs w:val="14"/>
          <w:b w:val="1"/>
          <w:bCs w:val="1"/>
          <w:color w:val="AFAFAF"/>
        </w:rPr>
      </w:pPr>
    </w:p>
    <w:p>
      <w:pPr>
        <w:ind w:left="340" w:right="40" w:hanging="332"/>
        <w:spacing w:after="0" w:line="285" w:lineRule="auto"/>
        <w:tabs>
          <w:tab w:leader="none" w:pos="340" w:val="left"/>
        </w:tabs>
        <w:numPr>
          <w:ilvl w:val="0"/>
          <w:numId w:val="19"/>
        </w:numPr>
        <w:rPr>
          <w:rFonts w:ascii="Arial" w:cs="Arial" w:eastAsia="Arial" w:hAnsi="Arial"/>
          <w:sz w:val="14"/>
          <w:szCs w:val="14"/>
          <w:b w:val="1"/>
          <w:bCs w:val="1"/>
          <w:color w:val="AFAFAF"/>
        </w:rPr>
      </w:pPr>
      <w:r>
        <w:rPr>
          <w:rFonts w:ascii="Arial" w:cs="Arial" w:eastAsia="Arial" w:hAnsi="Arial"/>
          <w:sz w:val="14"/>
          <w:szCs w:val="14"/>
          <w:b w:val="1"/>
          <w:bCs w:val="1"/>
          <w:color w:val="AFAFAF"/>
        </w:rPr>
        <w:t>Amounts in this column represent the aggregate grant date fair value, as calculated in accordance with ASC Topic 718, of restricted stock units (RSUs) granted in 2021 to the named executive officers.</w:t>
      </w:r>
    </w:p>
    <w:p>
      <w:pPr>
        <w:spacing w:after="0" w:line="103" w:lineRule="exact"/>
        <w:rPr>
          <w:rFonts w:ascii="Arial" w:cs="Arial" w:eastAsia="Arial" w:hAnsi="Arial"/>
          <w:sz w:val="14"/>
          <w:szCs w:val="14"/>
          <w:b w:val="1"/>
          <w:bCs w:val="1"/>
          <w:color w:val="AFAFAF"/>
        </w:rPr>
      </w:pPr>
    </w:p>
    <w:p>
      <w:pPr>
        <w:ind w:left="340" w:right="180" w:hanging="332"/>
        <w:spacing w:after="0" w:line="285" w:lineRule="auto"/>
        <w:tabs>
          <w:tab w:leader="none" w:pos="340" w:val="left"/>
        </w:tabs>
        <w:numPr>
          <w:ilvl w:val="0"/>
          <w:numId w:val="19"/>
        </w:numPr>
        <w:rPr>
          <w:rFonts w:ascii="Arial" w:cs="Arial" w:eastAsia="Arial" w:hAnsi="Arial"/>
          <w:sz w:val="14"/>
          <w:szCs w:val="14"/>
          <w:b w:val="1"/>
          <w:bCs w:val="1"/>
          <w:color w:val="AFAFAF"/>
        </w:rPr>
      </w:pPr>
      <w:r>
        <w:rPr>
          <w:rFonts w:ascii="Arial" w:cs="Arial" w:eastAsia="Arial" w:hAnsi="Arial"/>
          <w:sz w:val="14"/>
          <w:szCs w:val="14"/>
          <w:b w:val="1"/>
          <w:bCs w:val="1"/>
          <w:color w:val="AFAFAF"/>
        </w:rPr>
        <w:t>See Note 9 to our audited financial statements included in our Annual Report on Form 10-K for the fiscal year ended December 31, 2021 filed with the SEC on March 4, 2022, for a description of the assumptions used in valuing these awards.</w:t>
      </w:r>
    </w:p>
    <w:p>
      <w:pPr>
        <w:spacing w:after="0" w:line="103" w:lineRule="exact"/>
        <w:rPr>
          <w:rFonts w:ascii="Arial" w:cs="Arial" w:eastAsia="Arial" w:hAnsi="Arial"/>
          <w:sz w:val="14"/>
          <w:szCs w:val="14"/>
          <w:b w:val="1"/>
          <w:bCs w:val="1"/>
          <w:color w:val="AFAFAF"/>
        </w:rPr>
      </w:pPr>
    </w:p>
    <w:p>
      <w:pPr>
        <w:ind w:left="340" w:hanging="332"/>
        <w:spacing w:after="0"/>
        <w:tabs>
          <w:tab w:leader="none" w:pos="340" w:val="left"/>
        </w:tabs>
        <w:numPr>
          <w:ilvl w:val="0"/>
          <w:numId w:val="19"/>
        </w:numPr>
        <w:rPr>
          <w:rFonts w:ascii="Arial" w:cs="Arial" w:eastAsia="Arial" w:hAnsi="Arial"/>
          <w:sz w:val="14"/>
          <w:szCs w:val="14"/>
          <w:b w:val="1"/>
          <w:bCs w:val="1"/>
          <w:color w:val="AFAFAF"/>
        </w:rPr>
      </w:pPr>
      <w:r>
        <w:rPr>
          <w:rFonts w:ascii="Arial" w:cs="Arial" w:eastAsia="Arial" w:hAnsi="Arial"/>
          <w:sz w:val="14"/>
          <w:szCs w:val="14"/>
          <w:b w:val="1"/>
          <w:bCs w:val="1"/>
          <w:color w:val="AFAFAF"/>
        </w:rPr>
        <w:t>Amounts represents $4,800 paid to all employees as a work from home stipend and $14,500 in matching contributions under our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728980</wp:posOffset>
            </wp:positionV>
            <wp:extent cx="71062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29</w:t>
            </w:r>
          </w:p>
        </w:tc>
      </w:tr>
    </w:tbl>
    <w:p>
      <w:pPr>
        <w:sectPr>
          <w:pgSz w:w="11900" w:h="16838" w:orient="portrait"/>
          <w:cols w:equalWidth="0" w:num="1">
            <w:col w:w="11240"/>
          </w:cols>
          <w:pgMar w:left="320" w:top="1307" w:right="339" w:bottom="1440" w:gutter="0" w:footer="0" w:header="0"/>
        </w:sectPr>
      </w:pPr>
    </w:p>
    <w:bookmarkStart w:id="34" w:name="page35"/>
    <w:bookmarkEnd w:id="34"/>
    <w:p>
      <w:pPr>
        <w:spacing w:after="0"/>
        <w:rPr>
          <w:sz w:val="20"/>
          <w:szCs w:val="20"/>
          <w:color w:val="auto"/>
        </w:rPr>
      </w:pPr>
      <w:r>
        <w:rPr>
          <w:rFonts w:ascii="Arial" w:cs="Arial" w:eastAsia="Arial" w:hAnsi="Arial"/>
          <w:sz w:val="23"/>
          <w:szCs w:val="23"/>
          <w:b w:val="1"/>
          <w:bCs w:val="1"/>
          <w:color w:val="4B4B4B"/>
        </w:rPr>
        <w:t>Narrative Disclosure to Compensation Tables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777777"/>
        </w:rPr>
        <w:t>2021 Salaries</w:t>
      </w:r>
    </w:p>
    <w:p>
      <w:pPr>
        <w:spacing w:after="0" w:line="153"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4B4B4B"/>
        </w:rPr>
        <w:t>Our NEOs each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1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4B4B4B"/>
        </w:rPr>
        <w:t>For fiscal year 2021, Drs. von Ahn and Hacker and Mr. Skaruppa received an increase to their base salaries from $330,000 to $750,000, from $322,350 to $488,000 and from $375,000 to $600,000,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4B4B4B"/>
        </w:rPr>
        <w:t>Our Board of Directors and Compensation Committee may adjust base salaries from time to time at their discretion.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777777"/>
        </w:rPr>
        <w:t>2021 Bonuses</w:t>
      </w:r>
    </w:p>
    <w:p>
      <w:pPr>
        <w:spacing w:after="0" w:line="153" w:lineRule="exact"/>
        <w:rPr>
          <w:sz w:val="20"/>
          <w:szCs w:val="20"/>
          <w:color w:val="auto"/>
        </w:rPr>
      </w:pPr>
    </w:p>
    <w:p>
      <w:pPr>
        <w:spacing w:after="0" w:line="277" w:lineRule="auto"/>
        <w:rPr>
          <w:sz w:val="20"/>
          <w:szCs w:val="20"/>
          <w:color w:val="auto"/>
        </w:rPr>
      </w:pPr>
      <w:r>
        <w:rPr>
          <w:rFonts w:ascii="Arial" w:cs="Arial" w:eastAsia="Arial" w:hAnsi="Arial"/>
          <w:sz w:val="18"/>
          <w:szCs w:val="18"/>
          <w:color w:val="4B4B4B"/>
        </w:rPr>
        <w:t>During the fiscal year 2021, we did not maintain a formal performance bonus program, and we have not adopted a formal performance bonus program for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4B4B4B"/>
        </w:rPr>
        <w:t>Mr. Skaruppa earned $15,000 for an ad hoc performance bonus in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777777"/>
        </w:rPr>
        <w:t>Fiscal 2021 Equity-Based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777777"/>
        </w:rPr>
        <w:t>Special Multi-Year Performance-Based Founder Awards</w:t>
      </w:r>
    </w:p>
    <w:p>
      <w:pPr>
        <w:spacing w:after="0" w:line="153" w:lineRule="exact"/>
        <w:rPr>
          <w:sz w:val="20"/>
          <w:szCs w:val="20"/>
          <w:color w:val="auto"/>
        </w:rPr>
      </w:pPr>
    </w:p>
    <w:p>
      <w:pPr>
        <w:spacing w:after="0" w:line="267" w:lineRule="auto"/>
        <w:rPr>
          <w:sz w:val="20"/>
          <w:szCs w:val="20"/>
          <w:color w:val="auto"/>
        </w:rPr>
      </w:pPr>
      <w:r>
        <w:rPr>
          <w:rFonts w:ascii="Arial" w:cs="Arial" w:eastAsia="Arial" w:hAnsi="Arial"/>
          <w:sz w:val="18"/>
          <w:szCs w:val="18"/>
          <w:color w:val="4B4B4B"/>
        </w:rPr>
        <w:t>In connection with our initial public offering, our Board of Directors worked closely with its compensation consultant, Compensia, to design a one-time equity incentive for Drs. von Ahn and Hacker that significantly aligns their compensation with the long-term interests of our stockholders by requiring the achievement of sustained stock price targets. In designing the equity incentive for Drs. von Ahn and Hacker, our Board of Directors considered Dr. von Ahn’s and Dr. Hacker’s significant stockholdings, long-term leadership and the comparatively modest level of cash compensation they have received from us. The equity incentive is comprised of 1,200,000 and 600,000 performance-based restricted stock units (PSUs), respectively. The PSUs vest upon the satisfaction of both a service-based condition and a performance-based condition and generally are settled one year after vesting. The service-based condition is satisfied as to 25% of the PSUs on each anniversary of the completion of our initial public offering, subject to Dr. von Ahn and Dr. Hacker continuing to serve as our Chief Executive Officer and Chief Technology Officer, respectively, through the applicable date. The performance-based condition will be satisfied in the event Dr. von Ahn and Dr. Hacker continue to serve as our Chief Executive Officer and Chief Technology Officer, respectively, through the date the 60-day trailing volume weighted average closing price of our Class A common stock reaches certain stock price hurdles, which are set at multiples of the price to the public for our initial public offering, over a period of ten years,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706120</wp:posOffset>
            </wp:positionV>
            <wp:extent cx="71062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30</w:t>
            </w:r>
          </w:p>
        </w:tc>
      </w:tr>
    </w:tbl>
    <w:p>
      <w:pPr>
        <w:sectPr>
          <w:pgSz w:w="11900" w:h="16838" w:orient="portrait"/>
          <w:cols w:equalWidth="0" w:num="1">
            <w:col w:w="11240"/>
          </w:cols>
          <w:pgMar w:left="320" w:top="1331" w:right="339" w:bottom="1440" w:gutter="0" w:footer="0" w:header="0"/>
        </w:sectPr>
      </w:pPr>
    </w:p>
    <w:bookmarkStart w:id="35" w:name="page36"/>
    <w:bookmarkEnd w:id="35"/>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140" w:type="dxa"/>
            <w:vAlign w:val="bottom"/>
            <w:tcBorders>
              <w:bottom w:val="single" w:sz="8" w:color="F7F7F7"/>
            </w:tcBorders>
            <w:shd w:val="clear" w:color="auto" w:fill="F7F7F7"/>
          </w:tcPr>
          <w:p>
            <w:pPr>
              <w:spacing w:after="0"/>
              <w:rPr>
                <w:sz w:val="20"/>
                <w:szCs w:val="20"/>
                <w:color w:val="auto"/>
              </w:rPr>
            </w:pPr>
          </w:p>
        </w:tc>
        <w:tc>
          <w:tcPr>
            <w:tcW w:w="1720" w:type="dxa"/>
            <w:vAlign w:val="bottom"/>
            <w:tcBorders>
              <w:bottom w:val="single" w:sz="8" w:color="F7F7F7"/>
            </w:tcBorders>
            <w:shd w:val="clear" w:color="auto" w:fill="F7F7F7"/>
          </w:tcPr>
          <w:p>
            <w:pPr>
              <w:ind w:left="440"/>
              <w:spacing w:after="0"/>
              <w:rPr>
                <w:sz w:val="20"/>
                <w:szCs w:val="20"/>
                <w:color w:val="auto"/>
              </w:rPr>
            </w:pPr>
            <w:r>
              <w:rPr>
                <w:rFonts w:ascii="Arial" w:cs="Arial" w:eastAsia="Arial" w:hAnsi="Arial"/>
                <w:sz w:val="16"/>
                <w:szCs w:val="16"/>
                <w:b w:val="1"/>
                <w:bCs w:val="1"/>
                <w:color w:val="4B4B4B"/>
              </w:rPr>
              <w:t>Tranche</w:t>
            </w:r>
          </w:p>
        </w:tc>
        <w:tc>
          <w:tcPr>
            <w:tcW w:w="272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6"/>
                <w:szCs w:val="16"/>
                <w:b w:val="1"/>
                <w:bCs w:val="1"/>
                <w:color w:val="4B4B4B"/>
              </w:rPr>
              <w:t>Stock Price Hurdle</w:t>
            </w:r>
          </w:p>
        </w:tc>
        <w:tc>
          <w:tcPr>
            <w:tcW w:w="3480" w:type="dxa"/>
            <w:vAlign w:val="bottom"/>
            <w:tcBorders>
              <w:bottom w:val="single" w:sz="8" w:color="F7F7F7"/>
            </w:tcBorders>
            <w:shd w:val="clear" w:color="auto" w:fill="F7F7F7"/>
          </w:tcPr>
          <w:p>
            <w:pPr>
              <w:ind w:left="600"/>
              <w:spacing w:after="0"/>
              <w:rPr>
                <w:sz w:val="20"/>
                <w:szCs w:val="20"/>
                <w:color w:val="auto"/>
              </w:rPr>
            </w:pPr>
            <w:r>
              <w:rPr>
                <w:rFonts w:ascii="Arial" w:cs="Arial" w:eastAsia="Arial" w:hAnsi="Arial"/>
                <w:sz w:val="16"/>
                <w:szCs w:val="16"/>
                <w:b w:val="1"/>
                <w:bCs w:val="1"/>
                <w:color w:val="4B4B4B"/>
              </w:rPr>
              <w:t>Number of PSUs for Dr. von Ahn</w:t>
            </w:r>
          </w:p>
        </w:tc>
        <w:tc>
          <w:tcPr>
            <w:tcW w:w="3160" w:type="dxa"/>
            <w:vAlign w:val="bottom"/>
            <w:tcBorders>
              <w:bottom w:val="single" w:sz="8" w:color="F7F7F7"/>
            </w:tcBorders>
            <w:shd w:val="clear" w:color="auto" w:fill="F7F7F7"/>
          </w:tcPr>
          <w:p>
            <w:pPr>
              <w:ind w:left="360"/>
              <w:spacing w:after="0"/>
              <w:rPr>
                <w:sz w:val="20"/>
                <w:szCs w:val="20"/>
                <w:color w:val="auto"/>
              </w:rPr>
            </w:pPr>
            <w:r>
              <w:rPr>
                <w:rFonts w:ascii="Arial" w:cs="Arial" w:eastAsia="Arial" w:hAnsi="Arial"/>
                <w:sz w:val="16"/>
                <w:szCs w:val="16"/>
                <w:b w:val="1"/>
                <w:bCs w:val="1"/>
                <w:color w:val="4B4B4B"/>
              </w:rPr>
              <w:t>Number of PSUs for Dr. Hacker</w:t>
            </w:r>
          </w:p>
        </w:tc>
      </w:tr>
      <w:tr>
        <w:trPr>
          <w:trHeight w:val="224"/>
        </w:trPr>
        <w:tc>
          <w:tcPr>
            <w:tcW w:w="1860" w:type="dxa"/>
            <w:vAlign w:val="bottom"/>
            <w:gridSpan w:val="2"/>
          </w:tcPr>
          <w:p>
            <w:pPr>
              <w:jc w:val="center"/>
              <w:spacing w:after="0"/>
              <w:rPr>
                <w:sz w:val="20"/>
                <w:szCs w:val="20"/>
                <w:color w:val="auto"/>
              </w:rPr>
            </w:pPr>
            <w:r>
              <w:rPr>
                <w:rFonts w:ascii="Arial" w:cs="Arial" w:eastAsia="Arial" w:hAnsi="Arial"/>
                <w:sz w:val="16"/>
                <w:szCs w:val="16"/>
                <w:color w:val="4B4B4B"/>
                <w:w w:val="89"/>
              </w:rPr>
              <w:t>1</w:t>
            </w:r>
          </w:p>
        </w:tc>
        <w:tc>
          <w:tcPr>
            <w:tcW w:w="2720" w:type="dxa"/>
            <w:vAlign w:val="bottom"/>
          </w:tcPr>
          <w:p>
            <w:pPr>
              <w:jc w:val="center"/>
              <w:spacing w:after="0"/>
              <w:rPr>
                <w:sz w:val="20"/>
                <w:szCs w:val="20"/>
                <w:color w:val="auto"/>
              </w:rPr>
            </w:pPr>
            <w:r>
              <w:rPr>
                <w:rFonts w:ascii="Arial" w:cs="Arial" w:eastAsia="Arial" w:hAnsi="Arial"/>
                <w:sz w:val="16"/>
                <w:szCs w:val="16"/>
                <w:color w:val="4B4B4B"/>
              </w:rPr>
              <w:t>$127.50</w:t>
            </w:r>
          </w:p>
        </w:tc>
        <w:tc>
          <w:tcPr>
            <w:tcW w:w="3480" w:type="dxa"/>
            <w:vAlign w:val="bottom"/>
          </w:tcPr>
          <w:p>
            <w:pPr>
              <w:jc w:val="center"/>
              <w:ind w:left="139"/>
              <w:spacing w:after="0"/>
              <w:rPr>
                <w:sz w:val="20"/>
                <w:szCs w:val="20"/>
                <w:color w:val="auto"/>
              </w:rPr>
            </w:pPr>
            <w:r>
              <w:rPr>
                <w:rFonts w:ascii="Arial" w:cs="Arial" w:eastAsia="Arial" w:hAnsi="Arial"/>
                <w:sz w:val="16"/>
                <w:szCs w:val="16"/>
                <w:color w:val="4B4B4B"/>
              </w:rPr>
              <w:t>60,000</w:t>
            </w:r>
          </w:p>
        </w:tc>
        <w:tc>
          <w:tcPr>
            <w:tcW w:w="3160" w:type="dxa"/>
            <w:vAlign w:val="bottom"/>
          </w:tcPr>
          <w:p>
            <w:pPr>
              <w:jc w:val="center"/>
              <w:spacing w:after="0"/>
              <w:rPr>
                <w:sz w:val="20"/>
                <w:szCs w:val="20"/>
                <w:color w:val="auto"/>
              </w:rPr>
            </w:pPr>
            <w:r>
              <w:rPr>
                <w:rFonts w:ascii="Arial" w:cs="Arial" w:eastAsia="Arial" w:hAnsi="Arial"/>
                <w:sz w:val="16"/>
                <w:szCs w:val="16"/>
                <w:color w:val="4B4B4B"/>
                <w:w w:val="98"/>
              </w:rPr>
              <w:t>30,000</w:t>
            </w:r>
          </w:p>
        </w:tc>
      </w:tr>
      <w:tr>
        <w:trPr>
          <w:trHeight w:val="36"/>
        </w:trPr>
        <w:tc>
          <w:tcPr>
            <w:tcW w:w="140" w:type="dxa"/>
            <w:vAlign w:val="bottom"/>
            <w:tcBorders>
              <w:bottom w:val="single" w:sz="8" w:color="E5E5E5"/>
            </w:tcBorders>
          </w:tcPr>
          <w:p>
            <w:pPr>
              <w:spacing w:after="0"/>
              <w:rPr>
                <w:sz w:val="3"/>
                <w:szCs w:val="3"/>
                <w:color w:val="auto"/>
              </w:rPr>
            </w:pPr>
          </w:p>
        </w:tc>
        <w:tc>
          <w:tcPr>
            <w:tcW w:w="17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3160" w:type="dxa"/>
            <w:vAlign w:val="bottom"/>
          </w:tcPr>
          <w:p>
            <w:pPr>
              <w:spacing w:after="0"/>
              <w:rPr>
                <w:sz w:val="3"/>
                <w:szCs w:val="3"/>
                <w:color w:val="auto"/>
              </w:rPr>
            </w:pPr>
          </w:p>
        </w:tc>
      </w:tr>
      <w:tr>
        <w:trPr>
          <w:trHeight w:val="227"/>
        </w:trPr>
        <w:tc>
          <w:tcPr>
            <w:tcW w:w="1860" w:type="dxa"/>
            <w:vAlign w:val="bottom"/>
            <w:gridSpan w:val="2"/>
          </w:tcPr>
          <w:p>
            <w:pPr>
              <w:jc w:val="center"/>
              <w:spacing w:after="0"/>
              <w:rPr>
                <w:sz w:val="20"/>
                <w:szCs w:val="20"/>
                <w:color w:val="auto"/>
              </w:rPr>
            </w:pPr>
            <w:r>
              <w:rPr>
                <w:rFonts w:ascii="Arial" w:cs="Arial" w:eastAsia="Arial" w:hAnsi="Arial"/>
                <w:sz w:val="16"/>
                <w:szCs w:val="16"/>
                <w:color w:val="4B4B4B"/>
                <w:w w:val="89"/>
              </w:rPr>
              <w:t>2</w:t>
            </w:r>
          </w:p>
        </w:tc>
        <w:tc>
          <w:tcPr>
            <w:tcW w:w="2720" w:type="dxa"/>
            <w:vAlign w:val="bottom"/>
          </w:tcPr>
          <w:p>
            <w:pPr>
              <w:jc w:val="center"/>
              <w:spacing w:after="0"/>
              <w:rPr>
                <w:sz w:val="20"/>
                <w:szCs w:val="20"/>
                <w:color w:val="auto"/>
              </w:rPr>
            </w:pPr>
            <w:r>
              <w:rPr>
                <w:rFonts w:ascii="Arial" w:cs="Arial" w:eastAsia="Arial" w:hAnsi="Arial"/>
                <w:sz w:val="16"/>
                <w:szCs w:val="16"/>
                <w:color w:val="4B4B4B"/>
              </w:rPr>
              <w:t>$153.00</w:t>
            </w:r>
          </w:p>
        </w:tc>
        <w:tc>
          <w:tcPr>
            <w:tcW w:w="3480" w:type="dxa"/>
            <w:vAlign w:val="bottom"/>
          </w:tcPr>
          <w:p>
            <w:pPr>
              <w:jc w:val="center"/>
              <w:ind w:left="139"/>
              <w:spacing w:after="0"/>
              <w:rPr>
                <w:sz w:val="20"/>
                <w:szCs w:val="20"/>
                <w:color w:val="auto"/>
              </w:rPr>
            </w:pPr>
            <w:r>
              <w:rPr>
                <w:rFonts w:ascii="Arial" w:cs="Arial" w:eastAsia="Arial" w:hAnsi="Arial"/>
                <w:sz w:val="16"/>
                <w:szCs w:val="16"/>
                <w:color w:val="4B4B4B"/>
              </w:rPr>
              <w:t>60,000</w:t>
            </w:r>
          </w:p>
        </w:tc>
        <w:tc>
          <w:tcPr>
            <w:tcW w:w="3160" w:type="dxa"/>
            <w:vAlign w:val="bottom"/>
          </w:tcPr>
          <w:p>
            <w:pPr>
              <w:jc w:val="center"/>
              <w:spacing w:after="0"/>
              <w:rPr>
                <w:sz w:val="20"/>
                <w:szCs w:val="20"/>
                <w:color w:val="auto"/>
              </w:rPr>
            </w:pPr>
            <w:r>
              <w:rPr>
                <w:rFonts w:ascii="Arial" w:cs="Arial" w:eastAsia="Arial" w:hAnsi="Arial"/>
                <w:sz w:val="16"/>
                <w:szCs w:val="16"/>
                <w:color w:val="4B4B4B"/>
                <w:w w:val="98"/>
              </w:rPr>
              <w:t>30,000</w:t>
            </w:r>
          </w:p>
        </w:tc>
      </w:tr>
      <w:tr>
        <w:trPr>
          <w:trHeight w:val="36"/>
        </w:trPr>
        <w:tc>
          <w:tcPr>
            <w:tcW w:w="140" w:type="dxa"/>
            <w:vAlign w:val="bottom"/>
            <w:tcBorders>
              <w:bottom w:val="single" w:sz="8" w:color="E5E5E5"/>
            </w:tcBorders>
          </w:tcPr>
          <w:p>
            <w:pPr>
              <w:spacing w:after="0"/>
              <w:rPr>
                <w:sz w:val="3"/>
                <w:szCs w:val="3"/>
                <w:color w:val="auto"/>
              </w:rPr>
            </w:pPr>
          </w:p>
        </w:tc>
        <w:tc>
          <w:tcPr>
            <w:tcW w:w="17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3160" w:type="dxa"/>
            <w:vAlign w:val="bottom"/>
          </w:tcPr>
          <w:p>
            <w:pPr>
              <w:spacing w:after="0"/>
              <w:rPr>
                <w:sz w:val="3"/>
                <w:szCs w:val="3"/>
                <w:color w:val="auto"/>
              </w:rPr>
            </w:pPr>
          </w:p>
        </w:tc>
      </w:tr>
      <w:tr>
        <w:trPr>
          <w:trHeight w:val="227"/>
        </w:trPr>
        <w:tc>
          <w:tcPr>
            <w:tcW w:w="1860" w:type="dxa"/>
            <w:vAlign w:val="bottom"/>
            <w:gridSpan w:val="2"/>
          </w:tcPr>
          <w:p>
            <w:pPr>
              <w:jc w:val="center"/>
              <w:spacing w:after="0"/>
              <w:rPr>
                <w:sz w:val="20"/>
                <w:szCs w:val="20"/>
                <w:color w:val="auto"/>
              </w:rPr>
            </w:pPr>
            <w:r>
              <w:rPr>
                <w:rFonts w:ascii="Arial" w:cs="Arial" w:eastAsia="Arial" w:hAnsi="Arial"/>
                <w:sz w:val="16"/>
                <w:szCs w:val="16"/>
                <w:color w:val="4B4B4B"/>
                <w:w w:val="89"/>
              </w:rPr>
              <w:t>3</w:t>
            </w:r>
          </w:p>
        </w:tc>
        <w:tc>
          <w:tcPr>
            <w:tcW w:w="2720" w:type="dxa"/>
            <w:vAlign w:val="bottom"/>
          </w:tcPr>
          <w:p>
            <w:pPr>
              <w:jc w:val="center"/>
              <w:spacing w:after="0"/>
              <w:rPr>
                <w:sz w:val="20"/>
                <w:szCs w:val="20"/>
                <w:color w:val="auto"/>
              </w:rPr>
            </w:pPr>
            <w:r>
              <w:rPr>
                <w:rFonts w:ascii="Arial" w:cs="Arial" w:eastAsia="Arial" w:hAnsi="Arial"/>
                <w:sz w:val="16"/>
                <w:szCs w:val="16"/>
                <w:color w:val="4B4B4B"/>
              </w:rPr>
              <w:t>$178.50</w:t>
            </w:r>
          </w:p>
        </w:tc>
        <w:tc>
          <w:tcPr>
            <w:tcW w:w="3480" w:type="dxa"/>
            <w:vAlign w:val="bottom"/>
          </w:tcPr>
          <w:p>
            <w:pPr>
              <w:jc w:val="center"/>
              <w:ind w:left="139"/>
              <w:spacing w:after="0"/>
              <w:rPr>
                <w:sz w:val="20"/>
                <w:szCs w:val="20"/>
                <w:color w:val="auto"/>
              </w:rPr>
            </w:pPr>
            <w:r>
              <w:rPr>
                <w:rFonts w:ascii="Arial" w:cs="Arial" w:eastAsia="Arial" w:hAnsi="Arial"/>
                <w:sz w:val="16"/>
                <w:szCs w:val="16"/>
                <w:color w:val="4B4B4B"/>
              </w:rPr>
              <w:t>60,000</w:t>
            </w:r>
          </w:p>
        </w:tc>
        <w:tc>
          <w:tcPr>
            <w:tcW w:w="3160" w:type="dxa"/>
            <w:vAlign w:val="bottom"/>
          </w:tcPr>
          <w:p>
            <w:pPr>
              <w:jc w:val="center"/>
              <w:spacing w:after="0"/>
              <w:rPr>
                <w:sz w:val="20"/>
                <w:szCs w:val="20"/>
                <w:color w:val="auto"/>
              </w:rPr>
            </w:pPr>
            <w:r>
              <w:rPr>
                <w:rFonts w:ascii="Arial" w:cs="Arial" w:eastAsia="Arial" w:hAnsi="Arial"/>
                <w:sz w:val="16"/>
                <w:szCs w:val="16"/>
                <w:color w:val="4B4B4B"/>
                <w:w w:val="98"/>
              </w:rPr>
              <w:t>30,000</w:t>
            </w:r>
          </w:p>
        </w:tc>
      </w:tr>
      <w:tr>
        <w:trPr>
          <w:trHeight w:val="36"/>
        </w:trPr>
        <w:tc>
          <w:tcPr>
            <w:tcW w:w="140" w:type="dxa"/>
            <w:vAlign w:val="bottom"/>
            <w:tcBorders>
              <w:bottom w:val="single" w:sz="8" w:color="E5E5E5"/>
            </w:tcBorders>
          </w:tcPr>
          <w:p>
            <w:pPr>
              <w:spacing w:after="0"/>
              <w:rPr>
                <w:sz w:val="3"/>
                <w:szCs w:val="3"/>
                <w:color w:val="auto"/>
              </w:rPr>
            </w:pPr>
          </w:p>
        </w:tc>
        <w:tc>
          <w:tcPr>
            <w:tcW w:w="17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3160" w:type="dxa"/>
            <w:vAlign w:val="bottom"/>
          </w:tcPr>
          <w:p>
            <w:pPr>
              <w:spacing w:after="0"/>
              <w:rPr>
                <w:sz w:val="3"/>
                <w:szCs w:val="3"/>
                <w:color w:val="auto"/>
              </w:rPr>
            </w:pPr>
          </w:p>
        </w:tc>
      </w:tr>
      <w:tr>
        <w:trPr>
          <w:trHeight w:val="227"/>
        </w:trPr>
        <w:tc>
          <w:tcPr>
            <w:tcW w:w="1860" w:type="dxa"/>
            <w:vAlign w:val="bottom"/>
            <w:gridSpan w:val="2"/>
          </w:tcPr>
          <w:p>
            <w:pPr>
              <w:jc w:val="center"/>
              <w:spacing w:after="0"/>
              <w:rPr>
                <w:sz w:val="20"/>
                <w:szCs w:val="20"/>
                <w:color w:val="auto"/>
              </w:rPr>
            </w:pPr>
            <w:r>
              <w:rPr>
                <w:rFonts w:ascii="Arial" w:cs="Arial" w:eastAsia="Arial" w:hAnsi="Arial"/>
                <w:sz w:val="16"/>
                <w:szCs w:val="16"/>
                <w:color w:val="4B4B4B"/>
                <w:w w:val="89"/>
              </w:rPr>
              <w:t>4</w:t>
            </w:r>
          </w:p>
        </w:tc>
        <w:tc>
          <w:tcPr>
            <w:tcW w:w="2720" w:type="dxa"/>
            <w:vAlign w:val="bottom"/>
          </w:tcPr>
          <w:p>
            <w:pPr>
              <w:jc w:val="center"/>
              <w:spacing w:after="0"/>
              <w:rPr>
                <w:sz w:val="20"/>
                <w:szCs w:val="20"/>
                <w:color w:val="auto"/>
              </w:rPr>
            </w:pPr>
            <w:r>
              <w:rPr>
                <w:rFonts w:ascii="Arial" w:cs="Arial" w:eastAsia="Arial" w:hAnsi="Arial"/>
                <w:sz w:val="16"/>
                <w:szCs w:val="16"/>
                <w:color w:val="4B4B4B"/>
              </w:rPr>
              <w:t>$204.00</w:t>
            </w:r>
          </w:p>
        </w:tc>
        <w:tc>
          <w:tcPr>
            <w:tcW w:w="3480" w:type="dxa"/>
            <w:vAlign w:val="bottom"/>
          </w:tcPr>
          <w:p>
            <w:pPr>
              <w:jc w:val="center"/>
              <w:ind w:left="139"/>
              <w:spacing w:after="0"/>
              <w:rPr>
                <w:sz w:val="20"/>
                <w:szCs w:val="20"/>
                <w:color w:val="auto"/>
              </w:rPr>
            </w:pPr>
            <w:r>
              <w:rPr>
                <w:rFonts w:ascii="Arial" w:cs="Arial" w:eastAsia="Arial" w:hAnsi="Arial"/>
                <w:sz w:val="16"/>
                <w:szCs w:val="16"/>
                <w:color w:val="4B4B4B"/>
              </w:rPr>
              <w:t>120,000</w:t>
            </w:r>
          </w:p>
        </w:tc>
        <w:tc>
          <w:tcPr>
            <w:tcW w:w="3160" w:type="dxa"/>
            <w:vAlign w:val="bottom"/>
          </w:tcPr>
          <w:p>
            <w:pPr>
              <w:jc w:val="center"/>
              <w:spacing w:after="0"/>
              <w:rPr>
                <w:sz w:val="20"/>
                <w:szCs w:val="20"/>
                <w:color w:val="auto"/>
              </w:rPr>
            </w:pPr>
            <w:r>
              <w:rPr>
                <w:rFonts w:ascii="Arial" w:cs="Arial" w:eastAsia="Arial" w:hAnsi="Arial"/>
                <w:sz w:val="16"/>
                <w:szCs w:val="16"/>
                <w:color w:val="4B4B4B"/>
                <w:w w:val="98"/>
              </w:rPr>
              <w:t>60,000</w:t>
            </w:r>
          </w:p>
        </w:tc>
      </w:tr>
      <w:tr>
        <w:trPr>
          <w:trHeight w:val="37"/>
        </w:trPr>
        <w:tc>
          <w:tcPr>
            <w:tcW w:w="140" w:type="dxa"/>
            <w:vAlign w:val="bottom"/>
            <w:tcBorders>
              <w:bottom w:val="single" w:sz="8" w:color="E5E5E5"/>
            </w:tcBorders>
          </w:tcPr>
          <w:p>
            <w:pPr>
              <w:spacing w:after="0"/>
              <w:rPr>
                <w:sz w:val="3"/>
                <w:szCs w:val="3"/>
                <w:color w:val="auto"/>
              </w:rPr>
            </w:pPr>
          </w:p>
        </w:tc>
        <w:tc>
          <w:tcPr>
            <w:tcW w:w="17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3160" w:type="dxa"/>
            <w:vAlign w:val="bottom"/>
          </w:tcPr>
          <w:p>
            <w:pPr>
              <w:spacing w:after="0"/>
              <w:rPr>
                <w:sz w:val="3"/>
                <w:szCs w:val="3"/>
                <w:color w:val="auto"/>
              </w:rPr>
            </w:pPr>
          </w:p>
        </w:tc>
      </w:tr>
      <w:tr>
        <w:trPr>
          <w:trHeight w:val="227"/>
        </w:trPr>
        <w:tc>
          <w:tcPr>
            <w:tcW w:w="1860" w:type="dxa"/>
            <w:vAlign w:val="bottom"/>
            <w:gridSpan w:val="2"/>
          </w:tcPr>
          <w:p>
            <w:pPr>
              <w:jc w:val="center"/>
              <w:spacing w:after="0"/>
              <w:rPr>
                <w:sz w:val="20"/>
                <w:szCs w:val="20"/>
                <w:color w:val="auto"/>
              </w:rPr>
            </w:pPr>
            <w:r>
              <w:rPr>
                <w:rFonts w:ascii="Arial" w:cs="Arial" w:eastAsia="Arial" w:hAnsi="Arial"/>
                <w:sz w:val="16"/>
                <w:szCs w:val="16"/>
                <w:color w:val="4B4B4B"/>
                <w:w w:val="89"/>
              </w:rPr>
              <w:t>5</w:t>
            </w:r>
          </w:p>
        </w:tc>
        <w:tc>
          <w:tcPr>
            <w:tcW w:w="2720" w:type="dxa"/>
            <w:vAlign w:val="bottom"/>
          </w:tcPr>
          <w:p>
            <w:pPr>
              <w:jc w:val="center"/>
              <w:spacing w:after="0"/>
              <w:rPr>
                <w:sz w:val="20"/>
                <w:szCs w:val="20"/>
                <w:color w:val="auto"/>
              </w:rPr>
            </w:pPr>
            <w:r>
              <w:rPr>
                <w:rFonts w:ascii="Arial" w:cs="Arial" w:eastAsia="Arial" w:hAnsi="Arial"/>
                <w:sz w:val="16"/>
                <w:szCs w:val="16"/>
                <w:color w:val="4B4B4B"/>
              </w:rPr>
              <w:t>$255.00</w:t>
            </w:r>
          </w:p>
        </w:tc>
        <w:tc>
          <w:tcPr>
            <w:tcW w:w="3480" w:type="dxa"/>
            <w:vAlign w:val="bottom"/>
          </w:tcPr>
          <w:p>
            <w:pPr>
              <w:jc w:val="center"/>
              <w:ind w:left="139"/>
              <w:spacing w:after="0"/>
              <w:rPr>
                <w:sz w:val="20"/>
                <w:szCs w:val="20"/>
                <w:color w:val="auto"/>
              </w:rPr>
            </w:pPr>
            <w:r>
              <w:rPr>
                <w:rFonts w:ascii="Arial" w:cs="Arial" w:eastAsia="Arial" w:hAnsi="Arial"/>
                <w:sz w:val="16"/>
                <w:szCs w:val="16"/>
                <w:color w:val="4B4B4B"/>
              </w:rPr>
              <w:t>120,000</w:t>
            </w:r>
          </w:p>
        </w:tc>
        <w:tc>
          <w:tcPr>
            <w:tcW w:w="3160" w:type="dxa"/>
            <w:vAlign w:val="bottom"/>
          </w:tcPr>
          <w:p>
            <w:pPr>
              <w:jc w:val="center"/>
              <w:spacing w:after="0"/>
              <w:rPr>
                <w:sz w:val="20"/>
                <w:szCs w:val="20"/>
                <w:color w:val="auto"/>
              </w:rPr>
            </w:pPr>
            <w:r>
              <w:rPr>
                <w:rFonts w:ascii="Arial" w:cs="Arial" w:eastAsia="Arial" w:hAnsi="Arial"/>
                <w:sz w:val="16"/>
                <w:szCs w:val="16"/>
                <w:color w:val="4B4B4B"/>
                <w:w w:val="98"/>
              </w:rPr>
              <w:t>60,000</w:t>
            </w:r>
          </w:p>
        </w:tc>
      </w:tr>
      <w:tr>
        <w:trPr>
          <w:trHeight w:val="37"/>
        </w:trPr>
        <w:tc>
          <w:tcPr>
            <w:tcW w:w="140" w:type="dxa"/>
            <w:vAlign w:val="bottom"/>
            <w:tcBorders>
              <w:bottom w:val="single" w:sz="8" w:color="E5E5E5"/>
            </w:tcBorders>
          </w:tcPr>
          <w:p>
            <w:pPr>
              <w:spacing w:after="0"/>
              <w:rPr>
                <w:sz w:val="3"/>
                <w:szCs w:val="3"/>
                <w:color w:val="auto"/>
              </w:rPr>
            </w:pPr>
          </w:p>
        </w:tc>
        <w:tc>
          <w:tcPr>
            <w:tcW w:w="17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3160" w:type="dxa"/>
            <w:vAlign w:val="bottom"/>
          </w:tcPr>
          <w:p>
            <w:pPr>
              <w:spacing w:after="0"/>
              <w:rPr>
                <w:sz w:val="3"/>
                <w:szCs w:val="3"/>
                <w:color w:val="auto"/>
              </w:rPr>
            </w:pPr>
          </w:p>
        </w:tc>
      </w:tr>
      <w:tr>
        <w:trPr>
          <w:trHeight w:val="227"/>
        </w:trPr>
        <w:tc>
          <w:tcPr>
            <w:tcW w:w="1860" w:type="dxa"/>
            <w:vAlign w:val="bottom"/>
            <w:gridSpan w:val="2"/>
          </w:tcPr>
          <w:p>
            <w:pPr>
              <w:jc w:val="center"/>
              <w:spacing w:after="0"/>
              <w:rPr>
                <w:sz w:val="20"/>
                <w:szCs w:val="20"/>
                <w:color w:val="auto"/>
              </w:rPr>
            </w:pPr>
            <w:r>
              <w:rPr>
                <w:rFonts w:ascii="Arial" w:cs="Arial" w:eastAsia="Arial" w:hAnsi="Arial"/>
                <w:sz w:val="16"/>
                <w:szCs w:val="16"/>
                <w:color w:val="4B4B4B"/>
                <w:w w:val="89"/>
              </w:rPr>
              <w:t>6</w:t>
            </w:r>
          </w:p>
        </w:tc>
        <w:tc>
          <w:tcPr>
            <w:tcW w:w="2720" w:type="dxa"/>
            <w:vAlign w:val="bottom"/>
          </w:tcPr>
          <w:p>
            <w:pPr>
              <w:jc w:val="center"/>
              <w:spacing w:after="0"/>
              <w:rPr>
                <w:sz w:val="20"/>
                <w:szCs w:val="20"/>
                <w:color w:val="auto"/>
              </w:rPr>
            </w:pPr>
            <w:r>
              <w:rPr>
                <w:rFonts w:ascii="Arial" w:cs="Arial" w:eastAsia="Arial" w:hAnsi="Arial"/>
                <w:sz w:val="16"/>
                <w:szCs w:val="16"/>
                <w:color w:val="4B4B4B"/>
              </w:rPr>
              <w:t>$306.00</w:t>
            </w:r>
          </w:p>
        </w:tc>
        <w:tc>
          <w:tcPr>
            <w:tcW w:w="3480" w:type="dxa"/>
            <w:vAlign w:val="bottom"/>
          </w:tcPr>
          <w:p>
            <w:pPr>
              <w:jc w:val="center"/>
              <w:ind w:left="139"/>
              <w:spacing w:after="0"/>
              <w:rPr>
                <w:sz w:val="20"/>
                <w:szCs w:val="20"/>
                <w:color w:val="auto"/>
              </w:rPr>
            </w:pPr>
            <w:r>
              <w:rPr>
                <w:rFonts w:ascii="Arial" w:cs="Arial" w:eastAsia="Arial" w:hAnsi="Arial"/>
                <w:sz w:val="16"/>
                <w:szCs w:val="16"/>
                <w:color w:val="4B4B4B"/>
              </w:rPr>
              <w:t>120,000</w:t>
            </w:r>
          </w:p>
        </w:tc>
        <w:tc>
          <w:tcPr>
            <w:tcW w:w="3160" w:type="dxa"/>
            <w:vAlign w:val="bottom"/>
          </w:tcPr>
          <w:p>
            <w:pPr>
              <w:jc w:val="center"/>
              <w:spacing w:after="0"/>
              <w:rPr>
                <w:sz w:val="20"/>
                <w:szCs w:val="20"/>
                <w:color w:val="auto"/>
              </w:rPr>
            </w:pPr>
            <w:r>
              <w:rPr>
                <w:rFonts w:ascii="Arial" w:cs="Arial" w:eastAsia="Arial" w:hAnsi="Arial"/>
                <w:sz w:val="16"/>
                <w:szCs w:val="16"/>
                <w:color w:val="4B4B4B"/>
                <w:w w:val="98"/>
              </w:rPr>
              <w:t>60,000</w:t>
            </w:r>
          </w:p>
        </w:tc>
      </w:tr>
      <w:tr>
        <w:trPr>
          <w:trHeight w:val="36"/>
        </w:trPr>
        <w:tc>
          <w:tcPr>
            <w:tcW w:w="140" w:type="dxa"/>
            <w:vAlign w:val="bottom"/>
            <w:tcBorders>
              <w:bottom w:val="single" w:sz="8" w:color="E5E5E5"/>
            </w:tcBorders>
          </w:tcPr>
          <w:p>
            <w:pPr>
              <w:spacing w:after="0"/>
              <w:rPr>
                <w:sz w:val="3"/>
                <w:szCs w:val="3"/>
                <w:color w:val="auto"/>
              </w:rPr>
            </w:pPr>
          </w:p>
        </w:tc>
        <w:tc>
          <w:tcPr>
            <w:tcW w:w="17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3160" w:type="dxa"/>
            <w:vAlign w:val="bottom"/>
          </w:tcPr>
          <w:p>
            <w:pPr>
              <w:spacing w:after="0"/>
              <w:rPr>
                <w:sz w:val="3"/>
                <w:szCs w:val="3"/>
                <w:color w:val="auto"/>
              </w:rPr>
            </w:pPr>
          </w:p>
        </w:tc>
      </w:tr>
      <w:tr>
        <w:trPr>
          <w:trHeight w:val="227"/>
        </w:trPr>
        <w:tc>
          <w:tcPr>
            <w:tcW w:w="1860" w:type="dxa"/>
            <w:vAlign w:val="bottom"/>
            <w:gridSpan w:val="2"/>
          </w:tcPr>
          <w:p>
            <w:pPr>
              <w:jc w:val="center"/>
              <w:spacing w:after="0"/>
              <w:rPr>
                <w:sz w:val="20"/>
                <w:szCs w:val="20"/>
                <w:color w:val="auto"/>
              </w:rPr>
            </w:pPr>
            <w:r>
              <w:rPr>
                <w:rFonts w:ascii="Arial" w:cs="Arial" w:eastAsia="Arial" w:hAnsi="Arial"/>
                <w:sz w:val="16"/>
                <w:szCs w:val="16"/>
                <w:color w:val="4B4B4B"/>
                <w:w w:val="89"/>
              </w:rPr>
              <w:t>7</w:t>
            </w:r>
          </w:p>
        </w:tc>
        <w:tc>
          <w:tcPr>
            <w:tcW w:w="2720" w:type="dxa"/>
            <w:vAlign w:val="bottom"/>
          </w:tcPr>
          <w:p>
            <w:pPr>
              <w:jc w:val="center"/>
              <w:spacing w:after="0"/>
              <w:rPr>
                <w:sz w:val="20"/>
                <w:szCs w:val="20"/>
                <w:color w:val="auto"/>
              </w:rPr>
            </w:pPr>
            <w:r>
              <w:rPr>
                <w:rFonts w:ascii="Arial" w:cs="Arial" w:eastAsia="Arial" w:hAnsi="Arial"/>
                <w:sz w:val="16"/>
                <w:szCs w:val="16"/>
                <w:color w:val="4B4B4B"/>
              </w:rPr>
              <w:t>$357.00</w:t>
            </w:r>
          </w:p>
        </w:tc>
        <w:tc>
          <w:tcPr>
            <w:tcW w:w="3480" w:type="dxa"/>
            <w:vAlign w:val="bottom"/>
          </w:tcPr>
          <w:p>
            <w:pPr>
              <w:jc w:val="center"/>
              <w:ind w:left="139"/>
              <w:spacing w:after="0"/>
              <w:rPr>
                <w:sz w:val="20"/>
                <w:szCs w:val="20"/>
                <w:color w:val="auto"/>
              </w:rPr>
            </w:pPr>
            <w:r>
              <w:rPr>
                <w:rFonts w:ascii="Arial" w:cs="Arial" w:eastAsia="Arial" w:hAnsi="Arial"/>
                <w:sz w:val="16"/>
                <w:szCs w:val="16"/>
                <w:color w:val="4B4B4B"/>
              </w:rPr>
              <w:t>120,000</w:t>
            </w:r>
          </w:p>
        </w:tc>
        <w:tc>
          <w:tcPr>
            <w:tcW w:w="3160" w:type="dxa"/>
            <w:vAlign w:val="bottom"/>
          </w:tcPr>
          <w:p>
            <w:pPr>
              <w:jc w:val="center"/>
              <w:spacing w:after="0"/>
              <w:rPr>
                <w:sz w:val="20"/>
                <w:szCs w:val="20"/>
                <w:color w:val="auto"/>
              </w:rPr>
            </w:pPr>
            <w:r>
              <w:rPr>
                <w:rFonts w:ascii="Arial" w:cs="Arial" w:eastAsia="Arial" w:hAnsi="Arial"/>
                <w:sz w:val="16"/>
                <w:szCs w:val="16"/>
                <w:color w:val="4B4B4B"/>
                <w:w w:val="98"/>
              </w:rPr>
              <w:t>60,000</w:t>
            </w:r>
          </w:p>
        </w:tc>
      </w:tr>
      <w:tr>
        <w:trPr>
          <w:trHeight w:val="36"/>
        </w:trPr>
        <w:tc>
          <w:tcPr>
            <w:tcW w:w="140" w:type="dxa"/>
            <w:vAlign w:val="bottom"/>
            <w:tcBorders>
              <w:bottom w:val="single" w:sz="8" w:color="E5E5E5"/>
            </w:tcBorders>
          </w:tcPr>
          <w:p>
            <w:pPr>
              <w:spacing w:after="0"/>
              <w:rPr>
                <w:sz w:val="3"/>
                <w:szCs w:val="3"/>
                <w:color w:val="auto"/>
              </w:rPr>
            </w:pPr>
          </w:p>
        </w:tc>
        <w:tc>
          <w:tcPr>
            <w:tcW w:w="17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3160" w:type="dxa"/>
            <w:vAlign w:val="bottom"/>
          </w:tcPr>
          <w:p>
            <w:pPr>
              <w:spacing w:after="0"/>
              <w:rPr>
                <w:sz w:val="3"/>
                <w:szCs w:val="3"/>
                <w:color w:val="auto"/>
              </w:rPr>
            </w:pPr>
          </w:p>
        </w:tc>
      </w:tr>
      <w:tr>
        <w:trPr>
          <w:trHeight w:val="227"/>
        </w:trPr>
        <w:tc>
          <w:tcPr>
            <w:tcW w:w="1860" w:type="dxa"/>
            <w:vAlign w:val="bottom"/>
            <w:gridSpan w:val="2"/>
          </w:tcPr>
          <w:p>
            <w:pPr>
              <w:jc w:val="center"/>
              <w:spacing w:after="0"/>
              <w:rPr>
                <w:sz w:val="20"/>
                <w:szCs w:val="20"/>
                <w:color w:val="auto"/>
              </w:rPr>
            </w:pPr>
            <w:r>
              <w:rPr>
                <w:rFonts w:ascii="Arial" w:cs="Arial" w:eastAsia="Arial" w:hAnsi="Arial"/>
                <w:sz w:val="16"/>
                <w:szCs w:val="16"/>
                <w:color w:val="4B4B4B"/>
                <w:w w:val="89"/>
              </w:rPr>
              <w:t>8</w:t>
            </w:r>
          </w:p>
        </w:tc>
        <w:tc>
          <w:tcPr>
            <w:tcW w:w="2720" w:type="dxa"/>
            <w:vAlign w:val="bottom"/>
          </w:tcPr>
          <w:p>
            <w:pPr>
              <w:jc w:val="center"/>
              <w:spacing w:after="0"/>
              <w:rPr>
                <w:sz w:val="20"/>
                <w:szCs w:val="20"/>
                <w:color w:val="auto"/>
              </w:rPr>
            </w:pPr>
            <w:r>
              <w:rPr>
                <w:rFonts w:ascii="Arial" w:cs="Arial" w:eastAsia="Arial" w:hAnsi="Arial"/>
                <w:sz w:val="16"/>
                <w:szCs w:val="16"/>
                <w:color w:val="4B4B4B"/>
              </w:rPr>
              <w:t>$408.00</w:t>
            </w:r>
          </w:p>
        </w:tc>
        <w:tc>
          <w:tcPr>
            <w:tcW w:w="3480" w:type="dxa"/>
            <w:vAlign w:val="bottom"/>
          </w:tcPr>
          <w:p>
            <w:pPr>
              <w:jc w:val="center"/>
              <w:ind w:left="139"/>
              <w:spacing w:after="0"/>
              <w:rPr>
                <w:sz w:val="20"/>
                <w:szCs w:val="20"/>
                <w:color w:val="auto"/>
              </w:rPr>
            </w:pPr>
            <w:r>
              <w:rPr>
                <w:rFonts w:ascii="Arial" w:cs="Arial" w:eastAsia="Arial" w:hAnsi="Arial"/>
                <w:sz w:val="16"/>
                <w:szCs w:val="16"/>
                <w:color w:val="4B4B4B"/>
              </w:rPr>
              <w:t>120,000</w:t>
            </w:r>
          </w:p>
        </w:tc>
        <w:tc>
          <w:tcPr>
            <w:tcW w:w="3160" w:type="dxa"/>
            <w:vAlign w:val="bottom"/>
          </w:tcPr>
          <w:p>
            <w:pPr>
              <w:jc w:val="center"/>
              <w:spacing w:after="0"/>
              <w:rPr>
                <w:sz w:val="20"/>
                <w:szCs w:val="20"/>
                <w:color w:val="auto"/>
              </w:rPr>
            </w:pPr>
            <w:r>
              <w:rPr>
                <w:rFonts w:ascii="Arial" w:cs="Arial" w:eastAsia="Arial" w:hAnsi="Arial"/>
                <w:sz w:val="16"/>
                <w:szCs w:val="16"/>
                <w:color w:val="4B4B4B"/>
                <w:w w:val="98"/>
              </w:rPr>
              <w:t>60,000</w:t>
            </w:r>
          </w:p>
        </w:tc>
      </w:tr>
      <w:tr>
        <w:trPr>
          <w:trHeight w:val="36"/>
        </w:trPr>
        <w:tc>
          <w:tcPr>
            <w:tcW w:w="140" w:type="dxa"/>
            <w:vAlign w:val="bottom"/>
            <w:tcBorders>
              <w:bottom w:val="single" w:sz="8" w:color="E5E5E5"/>
            </w:tcBorders>
          </w:tcPr>
          <w:p>
            <w:pPr>
              <w:spacing w:after="0"/>
              <w:rPr>
                <w:sz w:val="3"/>
                <w:szCs w:val="3"/>
                <w:color w:val="auto"/>
              </w:rPr>
            </w:pPr>
          </w:p>
        </w:tc>
        <w:tc>
          <w:tcPr>
            <w:tcW w:w="17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3160" w:type="dxa"/>
            <w:vAlign w:val="bottom"/>
          </w:tcPr>
          <w:p>
            <w:pPr>
              <w:spacing w:after="0"/>
              <w:rPr>
                <w:sz w:val="3"/>
                <w:szCs w:val="3"/>
                <w:color w:val="auto"/>
              </w:rPr>
            </w:pPr>
          </w:p>
        </w:tc>
      </w:tr>
      <w:tr>
        <w:trPr>
          <w:trHeight w:val="227"/>
        </w:trPr>
        <w:tc>
          <w:tcPr>
            <w:tcW w:w="1860" w:type="dxa"/>
            <w:vAlign w:val="bottom"/>
            <w:gridSpan w:val="2"/>
          </w:tcPr>
          <w:p>
            <w:pPr>
              <w:jc w:val="center"/>
              <w:spacing w:after="0"/>
              <w:rPr>
                <w:sz w:val="20"/>
                <w:szCs w:val="20"/>
                <w:color w:val="auto"/>
              </w:rPr>
            </w:pPr>
            <w:r>
              <w:rPr>
                <w:rFonts w:ascii="Arial" w:cs="Arial" w:eastAsia="Arial" w:hAnsi="Arial"/>
                <w:sz w:val="16"/>
                <w:szCs w:val="16"/>
                <w:color w:val="4B4B4B"/>
                <w:w w:val="89"/>
              </w:rPr>
              <w:t>9</w:t>
            </w:r>
          </w:p>
        </w:tc>
        <w:tc>
          <w:tcPr>
            <w:tcW w:w="2720" w:type="dxa"/>
            <w:vAlign w:val="bottom"/>
          </w:tcPr>
          <w:p>
            <w:pPr>
              <w:jc w:val="center"/>
              <w:spacing w:after="0"/>
              <w:rPr>
                <w:sz w:val="20"/>
                <w:szCs w:val="20"/>
                <w:color w:val="auto"/>
              </w:rPr>
            </w:pPr>
            <w:r>
              <w:rPr>
                <w:rFonts w:ascii="Arial" w:cs="Arial" w:eastAsia="Arial" w:hAnsi="Arial"/>
                <w:sz w:val="16"/>
                <w:szCs w:val="16"/>
                <w:color w:val="4B4B4B"/>
              </w:rPr>
              <w:t>$612.00</w:t>
            </w:r>
          </w:p>
        </w:tc>
        <w:tc>
          <w:tcPr>
            <w:tcW w:w="3480" w:type="dxa"/>
            <w:vAlign w:val="bottom"/>
          </w:tcPr>
          <w:p>
            <w:pPr>
              <w:jc w:val="center"/>
              <w:ind w:left="139"/>
              <w:spacing w:after="0"/>
              <w:rPr>
                <w:sz w:val="20"/>
                <w:szCs w:val="20"/>
                <w:color w:val="auto"/>
              </w:rPr>
            </w:pPr>
            <w:r>
              <w:rPr>
                <w:rFonts w:ascii="Arial" w:cs="Arial" w:eastAsia="Arial" w:hAnsi="Arial"/>
                <w:sz w:val="16"/>
                <w:szCs w:val="16"/>
                <w:color w:val="4B4B4B"/>
              </w:rPr>
              <w:t>180,000</w:t>
            </w:r>
          </w:p>
        </w:tc>
        <w:tc>
          <w:tcPr>
            <w:tcW w:w="3160" w:type="dxa"/>
            <w:vAlign w:val="bottom"/>
          </w:tcPr>
          <w:p>
            <w:pPr>
              <w:jc w:val="center"/>
              <w:spacing w:after="0"/>
              <w:rPr>
                <w:sz w:val="20"/>
                <w:szCs w:val="20"/>
                <w:color w:val="auto"/>
              </w:rPr>
            </w:pPr>
            <w:r>
              <w:rPr>
                <w:rFonts w:ascii="Arial" w:cs="Arial" w:eastAsia="Arial" w:hAnsi="Arial"/>
                <w:sz w:val="16"/>
                <w:szCs w:val="16"/>
                <w:color w:val="4B4B4B"/>
                <w:w w:val="98"/>
              </w:rPr>
              <w:t>90,000</w:t>
            </w:r>
          </w:p>
        </w:tc>
      </w:tr>
      <w:tr>
        <w:trPr>
          <w:trHeight w:val="36"/>
        </w:trPr>
        <w:tc>
          <w:tcPr>
            <w:tcW w:w="140" w:type="dxa"/>
            <w:vAlign w:val="bottom"/>
            <w:tcBorders>
              <w:bottom w:val="single" w:sz="8" w:color="E5E5E5"/>
            </w:tcBorders>
          </w:tcPr>
          <w:p>
            <w:pPr>
              <w:spacing w:after="0"/>
              <w:rPr>
                <w:sz w:val="3"/>
                <w:szCs w:val="3"/>
                <w:color w:val="auto"/>
              </w:rPr>
            </w:pPr>
          </w:p>
        </w:tc>
        <w:tc>
          <w:tcPr>
            <w:tcW w:w="17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3160" w:type="dxa"/>
            <w:vAlign w:val="bottom"/>
          </w:tcPr>
          <w:p>
            <w:pPr>
              <w:spacing w:after="0"/>
              <w:rPr>
                <w:sz w:val="3"/>
                <w:szCs w:val="3"/>
                <w:color w:val="auto"/>
              </w:rPr>
            </w:pPr>
          </w:p>
        </w:tc>
      </w:tr>
      <w:tr>
        <w:trPr>
          <w:trHeight w:val="227"/>
        </w:trPr>
        <w:tc>
          <w:tcPr>
            <w:tcW w:w="1860" w:type="dxa"/>
            <w:vAlign w:val="bottom"/>
            <w:gridSpan w:val="2"/>
          </w:tcPr>
          <w:p>
            <w:pPr>
              <w:jc w:val="center"/>
              <w:spacing w:after="0"/>
              <w:rPr>
                <w:sz w:val="20"/>
                <w:szCs w:val="20"/>
                <w:color w:val="auto"/>
              </w:rPr>
            </w:pPr>
            <w:r>
              <w:rPr>
                <w:rFonts w:ascii="Arial" w:cs="Arial" w:eastAsia="Arial" w:hAnsi="Arial"/>
                <w:sz w:val="16"/>
                <w:szCs w:val="16"/>
                <w:color w:val="4B4B4B"/>
              </w:rPr>
              <w:t>10</w:t>
            </w:r>
          </w:p>
        </w:tc>
        <w:tc>
          <w:tcPr>
            <w:tcW w:w="2720" w:type="dxa"/>
            <w:vAlign w:val="bottom"/>
          </w:tcPr>
          <w:p>
            <w:pPr>
              <w:jc w:val="center"/>
              <w:spacing w:after="0"/>
              <w:rPr>
                <w:sz w:val="20"/>
                <w:szCs w:val="20"/>
                <w:color w:val="auto"/>
              </w:rPr>
            </w:pPr>
            <w:r>
              <w:rPr>
                <w:rFonts w:ascii="Arial" w:cs="Arial" w:eastAsia="Arial" w:hAnsi="Arial"/>
                <w:sz w:val="16"/>
                <w:szCs w:val="16"/>
                <w:color w:val="4B4B4B"/>
              </w:rPr>
              <w:t>$816.00</w:t>
            </w:r>
          </w:p>
        </w:tc>
        <w:tc>
          <w:tcPr>
            <w:tcW w:w="3480" w:type="dxa"/>
            <w:vAlign w:val="bottom"/>
          </w:tcPr>
          <w:p>
            <w:pPr>
              <w:jc w:val="center"/>
              <w:ind w:left="139"/>
              <w:spacing w:after="0"/>
              <w:rPr>
                <w:sz w:val="20"/>
                <w:szCs w:val="20"/>
                <w:color w:val="auto"/>
              </w:rPr>
            </w:pPr>
            <w:r>
              <w:rPr>
                <w:rFonts w:ascii="Arial" w:cs="Arial" w:eastAsia="Arial" w:hAnsi="Arial"/>
                <w:sz w:val="16"/>
                <w:szCs w:val="16"/>
                <w:color w:val="4B4B4B"/>
              </w:rPr>
              <w:t>240,000</w:t>
            </w:r>
          </w:p>
        </w:tc>
        <w:tc>
          <w:tcPr>
            <w:tcW w:w="3160" w:type="dxa"/>
            <w:vAlign w:val="bottom"/>
          </w:tcPr>
          <w:p>
            <w:pPr>
              <w:jc w:val="center"/>
              <w:spacing w:after="0"/>
              <w:rPr>
                <w:sz w:val="20"/>
                <w:szCs w:val="20"/>
                <w:color w:val="auto"/>
              </w:rPr>
            </w:pPr>
            <w:r>
              <w:rPr>
                <w:rFonts w:ascii="Arial" w:cs="Arial" w:eastAsia="Arial" w:hAnsi="Arial"/>
                <w:sz w:val="16"/>
                <w:szCs w:val="16"/>
                <w:color w:val="4B4B4B"/>
              </w:rPr>
              <w:t>120,000</w:t>
            </w:r>
          </w:p>
        </w:tc>
      </w:tr>
      <w:tr>
        <w:trPr>
          <w:trHeight w:val="37"/>
        </w:trPr>
        <w:tc>
          <w:tcPr>
            <w:tcW w:w="140" w:type="dxa"/>
            <w:vAlign w:val="bottom"/>
            <w:tcBorders>
              <w:bottom w:val="single" w:sz="8" w:color="E5E5E5"/>
            </w:tcBorders>
          </w:tcPr>
          <w:p>
            <w:pPr>
              <w:spacing w:after="0"/>
              <w:rPr>
                <w:sz w:val="3"/>
                <w:szCs w:val="3"/>
                <w:color w:val="auto"/>
              </w:rPr>
            </w:pPr>
          </w:p>
        </w:tc>
        <w:tc>
          <w:tcPr>
            <w:tcW w:w="17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316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-27305</wp:posOffset>
            </wp:positionV>
            <wp:extent cx="705485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-207010</wp:posOffset>
            </wp:positionV>
            <wp:extent cx="705485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-387350</wp:posOffset>
            </wp:positionV>
            <wp:extent cx="705485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-567055</wp:posOffset>
            </wp:positionV>
            <wp:extent cx="705485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-747395</wp:posOffset>
            </wp:positionV>
            <wp:extent cx="705485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-927100</wp:posOffset>
            </wp:positionV>
            <wp:extent cx="705485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-1107440</wp:posOffset>
            </wp:positionV>
            <wp:extent cx="705485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-1287145</wp:posOffset>
            </wp:positionV>
            <wp:extent cx="705485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-1467485</wp:posOffset>
            </wp:positionV>
            <wp:extent cx="705485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-1647190</wp:posOffset>
            </wp:positionV>
            <wp:extent cx="705485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54850" cy="42545"/>
                    </a:xfrm>
                    <a:prstGeom prst="rect">
                      <a:avLst/>
                    </a:prstGeom>
                    <a:noFill/>
                  </pic:spPr>
                </pic:pic>
              </a:graphicData>
            </a:graphic>
          </wp:anchor>
        </w:drawing>
      </w:r>
    </w:p>
    <w:p>
      <w:pPr>
        <w:spacing w:after="0" w:line="23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4B4B4B"/>
        </w:rPr>
        <w:t>Each stock price hurdle will be equitably adjusted to reflect any stock splits, stock dividends or other restructurings impacting our Class A common stock. The size of the award was determined after consideration of similar equity awards to founders of privately held and publicly traded technology companies that are serving in executive positions. The number of PSUs for which the performance-based condition may be satisfied is heavily weighted towards the higher stock price hurdles, which our Board of Directors believes that, when combined with the service-based condition requiring a minimum of four years of service, comprises a structure designed to achieve its incentive and alignment goals with respect to this award.</w:t>
      </w:r>
    </w:p>
    <w:p>
      <w:pPr>
        <w:spacing w:after="0" w:line="15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4B4B4B"/>
        </w:rPr>
        <w:t>Any PSUs that have not satisfied the performance-based condition as of the tenth anniversary of the grant date will be forfeited. Our Board of Directors intends for the PSUs to be the exclusive equity award that Drs. von Ahn and Hacker will receive through the tenth anniversary of the date of grant.</w:t>
      </w:r>
    </w:p>
    <w:p>
      <w:pPr>
        <w:spacing w:after="0" w:line="149"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4B4B4B"/>
        </w:rPr>
        <w:t>In the event Dr. von Ahn or Dr. Hacker ceases to serve as our Chief Executive Officer or Chief Technology Officer, respectively, as a result of death or disability, the service-based condition will be deemed satisfied, any vested PSUs will generally be settled, any unvested PSUs will remain outstanding and eligible to vest based on achievement of the stock price hurdles set forth above for two years, and any PSUs for which the stock price hurdle has not been met at that time will be forfeited. Unless mutually agreed otherwise, in the event Dr. von Ahn or Dr. Hacker ceases to serve as our Chief Executive Officer or Chief Technology Officer, respectively, for any reason other than death or disability, any vested PSUs will generally be settled and any unvested PSUs will be forfeited. Further, if such cessation of service is effected by us for cause, or Dr. von Ahn or Dr. Hacker engages in fraud or material misconduct, vested PSUs which have not yet been settled may be clawed back to the extent determined appropriate by our Board of Directors.</w:t>
      </w:r>
    </w:p>
    <w:p>
      <w:pPr>
        <w:spacing w:after="0" w:line="15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4B4B4B"/>
        </w:rPr>
        <w:t>In the event of a change in control, the service-based condition will be deemed satisfied, achievement of stock price hurdles for purposes of the PSUs will be measured based on the price per share to be received by stockholders in connection with the change in control, and any PSUs for which the stock price hurdle has not been met will be forfeited. To the extent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712470</wp:posOffset>
            </wp:positionV>
            <wp:extent cx="71062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31</w:t>
            </w:r>
          </w:p>
        </w:tc>
      </w:tr>
    </w:tbl>
    <w:p>
      <w:pPr>
        <w:sectPr>
          <w:pgSz w:w="11900" w:h="16838" w:orient="portrait"/>
          <w:cols w:equalWidth="0" w:num="1">
            <w:col w:w="11240"/>
          </w:cols>
          <w:pgMar w:left="320" w:top="1368" w:right="339" w:bottom="1440" w:gutter="0" w:footer="0" w:header="0"/>
        </w:sectPr>
      </w:pPr>
    </w:p>
    <w:bookmarkStart w:id="36" w:name="page37"/>
    <w:bookmarkEnd w:id="36"/>
    <w:p>
      <w:pPr>
        <w:ind w:right="60"/>
        <w:spacing w:after="0" w:line="271" w:lineRule="auto"/>
        <w:rPr>
          <w:sz w:val="20"/>
          <w:szCs w:val="20"/>
          <w:color w:val="auto"/>
        </w:rPr>
      </w:pPr>
      <w:r>
        <w:rPr>
          <w:rFonts w:ascii="Arial" w:cs="Arial" w:eastAsia="Arial" w:hAnsi="Arial"/>
          <w:sz w:val="18"/>
          <w:szCs w:val="18"/>
          <w:color w:val="4B4B4B"/>
        </w:rPr>
        <w:t>price per share received by the stockholders in connection with the change in control falls between two stock price hurdles, the number of PSUs deemed earned based on satisfaction of the performance condition will be determined using linear interpolation between the two stock price hurdles.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777777"/>
        </w:rPr>
        <w:t>Other 2021 Equity Awards</w:t>
      </w:r>
    </w:p>
    <w:p>
      <w:pPr>
        <w:spacing w:after="0" w:line="153" w:lineRule="exact"/>
        <w:rPr>
          <w:sz w:val="20"/>
          <w:szCs w:val="20"/>
          <w:color w:val="auto"/>
        </w:rPr>
      </w:pPr>
    </w:p>
    <w:p>
      <w:pPr>
        <w:spacing w:after="0" w:line="269" w:lineRule="auto"/>
        <w:rPr>
          <w:sz w:val="20"/>
          <w:szCs w:val="20"/>
          <w:color w:val="auto"/>
        </w:rPr>
      </w:pPr>
      <w:r>
        <w:rPr>
          <w:rFonts w:ascii="Arial" w:cs="Arial" w:eastAsia="Arial" w:hAnsi="Arial"/>
          <w:sz w:val="18"/>
          <w:szCs w:val="18"/>
          <w:color w:val="4B4B4B"/>
        </w:rPr>
        <w:t>On April 7, 2021, we granted Mr. Skaruppa 25,000 RSUs under our Amended and Restated 2011 Equity Incentive Plan (the “2011 Plan”. The RSUs vest based on the satisfaction of a service-based requirement and a liquidity event requirement within the term of the RSUs. Subject to Mr. Skaruppa’s continued service to us, the service-based requirement is satisfied as to 6.25% of the RSUs beginning on August 15, 2021 and each quarter thereafter. The liquidity event requirement was satisfied in connection with the IPO of our Class A common stock.</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4B4B4B"/>
        </w:rPr>
        <w:t>On August 15, 2021, we granted Dr. Hacker 108 RSUs and Mr. Skaruppa 1,450 RSUs under our 2022 Plan. The service-based requirement was satisfied as to 100% of the RSUs on November 15,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777777"/>
        </w:rPr>
        <w:t>Other Elements of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777777"/>
        </w:rPr>
        <w:t>Retirement Savings and Health and Welfare Benefits</w:t>
      </w:r>
    </w:p>
    <w:p>
      <w:pPr>
        <w:spacing w:after="0" w:line="153"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4B4B4B"/>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The Internal Revenue Code allows eligible employees to defer a portion of their compensation, within prescribed limits, on a pre-tax basis through contributions to the 401(k) plan. Currently, we match contributions made by employees who have been employed by us for at least one year and who participate in the 401(k) plan up to a specified percentage of the employee contributions, and these matching contributions are fully vested as of the date on which the contribution is made.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156"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4B4B4B"/>
        </w:rPr>
        <w:t>All of our full-time employees, including our named executive officers, are eligible to participate in our health and welfare plans, including medical, dental and vision benefits; medical and dependent care flexible spending accounts; short-term and long-term disability insurance; and life and AD&amp;D insurance.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777777"/>
        </w:rPr>
        <w:t>Perquisites and Other Personal Benefits</w:t>
      </w:r>
    </w:p>
    <w:p>
      <w:pPr>
        <w:spacing w:after="0" w:line="153"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4B4B4B"/>
        </w:rPr>
        <w:t>We do not provide our named executive officers with any perquisites beyond those made generally available to our other employees. In 2020, we provided each of our employees, including our named executive officers, with a stipend of $5,700 to assist with costs related to working remotely.</w:t>
      </w:r>
    </w:p>
    <w:p>
      <w:pPr>
        <w:spacing w:after="0" w:line="1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4B4B4B"/>
        </w:rPr>
        <w:t>In the future, our Board of Directors or Compensation Committee may provide perquisites to our named executive officers in the event it determines that it is necessary or appropriate to incentivize or fairly compensate them.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777777"/>
        </w:rPr>
        <w:t>No Tax Gross-Ups</w:t>
      </w:r>
    </w:p>
    <w:p>
      <w:pPr>
        <w:spacing w:after="0" w:line="153"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4B4B4B"/>
        </w:rPr>
        <w:t>We do not make gross-up payments to cover our named executive officers’ personal income taxes that may pertain to any of the compensation or perquisites paid or provided by our company.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777777"/>
        </w:rPr>
        <w:t>Outstanding Equity Awards at 2021 Fiscal Year End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4B4B4B"/>
        </w:rPr>
        <w:t>The following tables list all outstanding equity awards held by our NEOs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726440</wp:posOffset>
            </wp:positionV>
            <wp:extent cx="71062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32</w:t>
            </w:r>
          </w:p>
        </w:tc>
      </w:tr>
    </w:tbl>
    <w:p>
      <w:pPr>
        <w:sectPr>
          <w:pgSz w:w="11900" w:h="16838" w:orient="portrait"/>
          <w:cols w:equalWidth="0" w:num="1">
            <w:col w:w="11240"/>
          </w:cols>
          <w:pgMar w:left="320" w:top="1354" w:right="339" w:bottom="1440" w:gutter="0" w:footer="0" w:header="0"/>
        </w:sectPr>
      </w:pPr>
    </w:p>
    <w:bookmarkStart w:id="37" w:name="page38"/>
    <w:bookmarkEnd w:id="3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400" w:type="dxa"/>
            <w:vAlign w:val="bottom"/>
            <w:shd w:val="clear" w:color="auto" w:fill="F7F7F7"/>
          </w:tcPr>
          <w:p>
            <w:pPr>
              <w:spacing w:after="0"/>
              <w:rPr>
                <w:sz w:val="18"/>
                <w:szCs w:val="18"/>
                <w:color w:val="auto"/>
              </w:rPr>
            </w:pPr>
          </w:p>
        </w:tc>
        <w:tc>
          <w:tcPr>
            <w:tcW w:w="1340" w:type="dxa"/>
            <w:vAlign w:val="bottom"/>
            <w:shd w:val="clear" w:color="auto" w:fill="F7F7F7"/>
          </w:tcPr>
          <w:p>
            <w:pPr>
              <w:spacing w:after="0"/>
              <w:rPr>
                <w:sz w:val="18"/>
                <w:szCs w:val="18"/>
                <w:color w:val="auto"/>
              </w:rPr>
            </w:pPr>
          </w:p>
        </w:tc>
        <w:tc>
          <w:tcPr>
            <w:tcW w:w="2260" w:type="dxa"/>
            <w:vAlign w:val="bottom"/>
            <w:gridSpan w:val="2"/>
            <w:shd w:val="clear" w:color="auto" w:fill="F7F7F7"/>
          </w:tcPr>
          <w:p>
            <w:pPr>
              <w:ind w:left="780"/>
              <w:spacing w:after="0"/>
              <w:rPr>
                <w:sz w:val="20"/>
                <w:szCs w:val="20"/>
                <w:color w:val="auto"/>
              </w:rPr>
            </w:pPr>
            <w:r>
              <w:rPr>
                <w:rFonts w:ascii="Arial" w:cs="Arial" w:eastAsia="Arial" w:hAnsi="Arial"/>
                <w:sz w:val="13"/>
                <w:szCs w:val="13"/>
                <w:b w:val="1"/>
                <w:bCs w:val="1"/>
                <w:color w:val="4B4B4B"/>
              </w:rPr>
              <w:t xml:space="preserve">Option Awards </w:t>
            </w:r>
            <w:r>
              <w:rPr>
                <w:rFonts w:ascii="Arial" w:cs="Arial" w:eastAsia="Arial" w:hAnsi="Arial"/>
                <w:sz w:val="16"/>
                <w:szCs w:val="16"/>
                <w:b w:val="1"/>
                <w:bCs w:val="1"/>
                <w:color w:val="4B4B4B"/>
                <w:vertAlign w:val="superscript"/>
              </w:rPr>
              <w:t>(1)</w:t>
            </w:r>
          </w:p>
        </w:tc>
        <w:tc>
          <w:tcPr>
            <w:tcW w:w="720" w:type="dxa"/>
            <w:vAlign w:val="bottom"/>
            <w:shd w:val="clear" w:color="auto" w:fill="F7F7F7"/>
          </w:tcPr>
          <w:p>
            <w:pPr>
              <w:spacing w:after="0"/>
              <w:rPr>
                <w:sz w:val="18"/>
                <w:szCs w:val="18"/>
                <w:color w:val="auto"/>
              </w:rPr>
            </w:pPr>
          </w:p>
        </w:tc>
        <w:tc>
          <w:tcPr>
            <w:tcW w:w="820" w:type="dxa"/>
            <w:vAlign w:val="bottom"/>
            <w:shd w:val="clear" w:color="auto" w:fill="F7F7F7"/>
          </w:tcPr>
          <w:p>
            <w:pPr>
              <w:spacing w:after="0"/>
              <w:rPr>
                <w:sz w:val="18"/>
                <w:szCs w:val="18"/>
                <w:color w:val="auto"/>
              </w:rPr>
            </w:pPr>
          </w:p>
        </w:tc>
        <w:tc>
          <w:tcPr>
            <w:tcW w:w="1200" w:type="dxa"/>
            <w:vAlign w:val="bottom"/>
            <w:shd w:val="clear" w:color="auto" w:fill="F7F7F7"/>
          </w:tcPr>
          <w:p>
            <w:pPr>
              <w:spacing w:after="0"/>
              <w:rPr>
                <w:sz w:val="18"/>
                <w:szCs w:val="18"/>
                <w:color w:val="auto"/>
              </w:rPr>
            </w:pPr>
          </w:p>
        </w:tc>
        <w:tc>
          <w:tcPr>
            <w:tcW w:w="2300" w:type="dxa"/>
            <w:vAlign w:val="bottom"/>
            <w:gridSpan w:val="2"/>
            <w:shd w:val="clear" w:color="auto" w:fill="F7F7F7"/>
          </w:tcPr>
          <w:p>
            <w:pPr>
              <w:ind w:left="740"/>
              <w:spacing w:after="0"/>
              <w:rPr>
                <w:sz w:val="20"/>
                <w:szCs w:val="20"/>
                <w:color w:val="auto"/>
              </w:rPr>
            </w:pPr>
            <w:r>
              <w:rPr>
                <w:rFonts w:ascii="Arial" w:cs="Arial" w:eastAsia="Arial" w:hAnsi="Arial"/>
                <w:sz w:val="13"/>
                <w:szCs w:val="13"/>
                <w:b w:val="1"/>
                <w:bCs w:val="1"/>
                <w:color w:val="4B4B4B"/>
              </w:rPr>
              <w:t>Stock Awards</w:t>
            </w:r>
          </w:p>
        </w:tc>
        <w:tc>
          <w:tcPr>
            <w:tcW w:w="1160" w:type="dxa"/>
            <w:vAlign w:val="bottom"/>
            <w:shd w:val="clear" w:color="auto" w:fill="F7F7F7"/>
          </w:tcPr>
          <w:p>
            <w:pPr>
              <w:spacing w:after="0"/>
              <w:rPr>
                <w:sz w:val="18"/>
                <w:szCs w:val="18"/>
                <w:color w:val="auto"/>
              </w:rPr>
            </w:pPr>
          </w:p>
        </w:tc>
      </w:tr>
      <w:tr>
        <w:trPr>
          <w:trHeight w:val="181"/>
        </w:trPr>
        <w:tc>
          <w:tcPr>
            <w:tcW w:w="1400" w:type="dxa"/>
            <w:vAlign w:val="bottom"/>
            <w:shd w:val="clear" w:color="auto" w:fill="F7F7F7"/>
          </w:tcPr>
          <w:p>
            <w:pPr>
              <w:spacing w:after="0"/>
              <w:rPr>
                <w:sz w:val="15"/>
                <w:szCs w:val="15"/>
                <w:color w:val="auto"/>
              </w:rPr>
            </w:pPr>
          </w:p>
        </w:tc>
        <w:tc>
          <w:tcPr>
            <w:tcW w:w="1340" w:type="dxa"/>
            <w:vAlign w:val="bottom"/>
            <w:shd w:val="clear" w:color="auto" w:fill="F7F7F7"/>
          </w:tcPr>
          <w:p>
            <w:pPr>
              <w:spacing w:after="0"/>
              <w:rPr>
                <w:sz w:val="15"/>
                <w:szCs w:val="15"/>
                <w:color w:val="auto"/>
              </w:rPr>
            </w:pPr>
          </w:p>
        </w:tc>
        <w:tc>
          <w:tcPr>
            <w:tcW w:w="1100" w:type="dxa"/>
            <w:vAlign w:val="bottom"/>
            <w:shd w:val="clear" w:color="auto" w:fill="F7F7F7"/>
          </w:tcPr>
          <w:p>
            <w:pPr>
              <w:spacing w:after="0"/>
              <w:rPr>
                <w:sz w:val="15"/>
                <w:szCs w:val="15"/>
                <w:color w:val="auto"/>
              </w:rPr>
            </w:pPr>
          </w:p>
        </w:tc>
        <w:tc>
          <w:tcPr>
            <w:tcW w:w="1160" w:type="dxa"/>
            <w:vAlign w:val="bottom"/>
            <w:shd w:val="clear" w:color="auto" w:fill="F7F7F7"/>
          </w:tcPr>
          <w:p>
            <w:pPr>
              <w:spacing w:after="0"/>
              <w:rPr>
                <w:sz w:val="15"/>
                <w:szCs w:val="15"/>
                <w:color w:val="auto"/>
              </w:rPr>
            </w:pPr>
          </w:p>
        </w:tc>
        <w:tc>
          <w:tcPr>
            <w:tcW w:w="720" w:type="dxa"/>
            <w:vAlign w:val="bottom"/>
            <w:shd w:val="clear" w:color="auto" w:fill="F7F7F7"/>
          </w:tcPr>
          <w:p>
            <w:pPr>
              <w:spacing w:after="0"/>
              <w:rPr>
                <w:sz w:val="15"/>
                <w:szCs w:val="15"/>
                <w:color w:val="auto"/>
              </w:rPr>
            </w:pPr>
          </w:p>
        </w:tc>
        <w:tc>
          <w:tcPr>
            <w:tcW w:w="820" w:type="dxa"/>
            <w:vAlign w:val="bottom"/>
            <w:shd w:val="clear" w:color="auto" w:fill="F7F7F7"/>
          </w:tcPr>
          <w:p>
            <w:pPr>
              <w:spacing w:after="0"/>
              <w:rPr>
                <w:sz w:val="15"/>
                <w:szCs w:val="15"/>
                <w:color w:val="auto"/>
              </w:rPr>
            </w:pPr>
          </w:p>
        </w:tc>
        <w:tc>
          <w:tcPr>
            <w:tcW w:w="1200" w:type="dxa"/>
            <w:vAlign w:val="bottom"/>
            <w:shd w:val="clear" w:color="auto" w:fill="F7F7F7"/>
          </w:tcPr>
          <w:p>
            <w:pPr>
              <w:spacing w:after="0"/>
              <w:rPr>
                <w:sz w:val="15"/>
                <w:szCs w:val="15"/>
                <w:color w:val="auto"/>
              </w:rPr>
            </w:pPr>
          </w:p>
        </w:tc>
        <w:tc>
          <w:tcPr>
            <w:tcW w:w="1160" w:type="dxa"/>
            <w:vAlign w:val="bottom"/>
            <w:shd w:val="clear" w:color="auto" w:fill="F7F7F7"/>
          </w:tcPr>
          <w:p>
            <w:pPr>
              <w:spacing w:after="0"/>
              <w:rPr>
                <w:sz w:val="15"/>
                <w:szCs w:val="15"/>
                <w:color w:val="auto"/>
              </w:rPr>
            </w:pPr>
          </w:p>
        </w:tc>
        <w:tc>
          <w:tcPr>
            <w:tcW w:w="1140" w:type="dxa"/>
            <w:vAlign w:val="bottom"/>
            <w:shd w:val="clear" w:color="auto" w:fill="F7F7F7"/>
          </w:tcPr>
          <w:p>
            <w:pPr>
              <w:spacing w:after="0"/>
              <w:rPr>
                <w:sz w:val="15"/>
                <w:szCs w:val="15"/>
                <w:color w:val="auto"/>
              </w:rPr>
            </w:pPr>
          </w:p>
        </w:tc>
        <w:tc>
          <w:tcPr>
            <w:tcW w:w="116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6"/>
              </w:rPr>
              <w:t>Equity Incentive</w:t>
            </w:r>
          </w:p>
        </w:tc>
      </w:tr>
      <w:tr>
        <w:trPr>
          <w:trHeight w:val="162"/>
        </w:trPr>
        <w:tc>
          <w:tcPr>
            <w:tcW w:w="1400" w:type="dxa"/>
            <w:vAlign w:val="bottom"/>
            <w:shd w:val="clear" w:color="auto" w:fill="F7F7F7"/>
          </w:tcPr>
          <w:p>
            <w:pPr>
              <w:spacing w:after="0"/>
              <w:rPr>
                <w:sz w:val="14"/>
                <w:szCs w:val="14"/>
                <w:color w:val="auto"/>
              </w:rPr>
            </w:pPr>
          </w:p>
        </w:tc>
        <w:tc>
          <w:tcPr>
            <w:tcW w:w="1340" w:type="dxa"/>
            <w:vAlign w:val="bottom"/>
            <w:shd w:val="clear" w:color="auto" w:fill="F7F7F7"/>
          </w:tcPr>
          <w:p>
            <w:pPr>
              <w:spacing w:after="0"/>
              <w:rPr>
                <w:sz w:val="14"/>
                <w:szCs w:val="14"/>
                <w:color w:val="auto"/>
              </w:rPr>
            </w:pPr>
          </w:p>
        </w:tc>
        <w:tc>
          <w:tcPr>
            <w:tcW w:w="1100" w:type="dxa"/>
            <w:vAlign w:val="bottom"/>
            <w:shd w:val="clear" w:color="auto" w:fill="F7F7F7"/>
          </w:tcPr>
          <w:p>
            <w:pPr>
              <w:spacing w:after="0"/>
              <w:rPr>
                <w:sz w:val="14"/>
                <w:szCs w:val="14"/>
                <w:color w:val="auto"/>
              </w:rPr>
            </w:pPr>
          </w:p>
        </w:tc>
        <w:tc>
          <w:tcPr>
            <w:tcW w:w="1160" w:type="dxa"/>
            <w:vAlign w:val="bottom"/>
            <w:shd w:val="clear" w:color="auto" w:fill="F7F7F7"/>
          </w:tcPr>
          <w:p>
            <w:pPr>
              <w:spacing w:after="0"/>
              <w:rPr>
                <w:sz w:val="14"/>
                <w:szCs w:val="14"/>
                <w:color w:val="auto"/>
              </w:rPr>
            </w:pPr>
          </w:p>
        </w:tc>
        <w:tc>
          <w:tcPr>
            <w:tcW w:w="720" w:type="dxa"/>
            <w:vAlign w:val="bottom"/>
            <w:shd w:val="clear" w:color="auto" w:fill="F7F7F7"/>
          </w:tcPr>
          <w:p>
            <w:pPr>
              <w:spacing w:after="0"/>
              <w:rPr>
                <w:sz w:val="14"/>
                <w:szCs w:val="14"/>
                <w:color w:val="auto"/>
              </w:rPr>
            </w:pPr>
          </w:p>
        </w:tc>
        <w:tc>
          <w:tcPr>
            <w:tcW w:w="820" w:type="dxa"/>
            <w:vAlign w:val="bottom"/>
            <w:shd w:val="clear" w:color="auto" w:fill="F7F7F7"/>
          </w:tcPr>
          <w:p>
            <w:pPr>
              <w:spacing w:after="0"/>
              <w:rPr>
                <w:sz w:val="14"/>
                <w:szCs w:val="14"/>
                <w:color w:val="auto"/>
              </w:rPr>
            </w:pPr>
          </w:p>
        </w:tc>
        <w:tc>
          <w:tcPr>
            <w:tcW w:w="1200" w:type="dxa"/>
            <w:vAlign w:val="bottom"/>
            <w:shd w:val="clear" w:color="auto" w:fill="F7F7F7"/>
          </w:tcPr>
          <w:p>
            <w:pPr>
              <w:spacing w:after="0"/>
              <w:rPr>
                <w:sz w:val="14"/>
                <w:szCs w:val="14"/>
                <w:color w:val="auto"/>
              </w:rPr>
            </w:pPr>
          </w:p>
        </w:tc>
        <w:tc>
          <w:tcPr>
            <w:tcW w:w="1160" w:type="dxa"/>
            <w:vAlign w:val="bottom"/>
            <w:shd w:val="clear" w:color="auto" w:fill="F7F7F7"/>
          </w:tcPr>
          <w:p>
            <w:pPr>
              <w:spacing w:after="0"/>
              <w:rPr>
                <w:sz w:val="14"/>
                <w:szCs w:val="14"/>
                <w:color w:val="auto"/>
              </w:rPr>
            </w:pPr>
          </w:p>
        </w:tc>
        <w:tc>
          <w:tcPr>
            <w:tcW w:w="114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6"/>
              </w:rPr>
              <w:t>Equity Incentive</w:t>
            </w:r>
          </w:p>
        </w:tc>
        <w:tc>
          <w:tcPr>
            <w:tcW w:w="116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7"/>
              </w:rPr>
              <w:t>Plan Awards:</w:t>
            </w:r>
          </w:p>
        </w:tc>
      </w:tr>
      <w:tr>
        <w:trPr>
          <w:trHeight w:val="162"/>
        </w:trPr>
        <w:tc>
          <w:tcPr>
            <w:tcW w:w="1400" w:type="dxa"/>
            <w:vAlign w:val="bottom"/>
            <w:shd w:val="clear" w:color="auto" w:fill="F7F7F7"/>
          </w:tcPr>
          <w:p>
            <w:pPr>
              <w:spacing w:after="0"/>
              <w:rPr>
                <w:sz w:val="14"/>
                <w:szCs w:val="14"/>
                <w:color w:val="auto"/>
              </w:rPr>
            </w:pPr>
          </w:p>
        </w:tc>
        <w:tc>
          <w:tcPr>
            <w:tcW w:w="1340" w:type="dxa"/>
            <w:vAlign w:val="bottom"/>
            <w:shd w:val="clear" w:color="auto" w:fill="F7F7F7"/>
          </w:tcPr>
          <w:p>
            <w:pPr>
              <w:spacing w:after="0"/>
              <w:rPr>
                <w:sz w:val="14"/>
                <w:szCs w:val="14"/>
                <w:color w:val="auto"/>
              </w:rPr>
            </w:pPr>
          </w:p>
        </w:tc>
        <w:tc>
          <w:tcPr>
            <w:tcW w:w="110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5"/>
              </w:rPr>
              <w:t>Number of</w:t>
            </w:r>
          </w:p>
        </w:tc>
        <w:tc>
          <w:tcPr>
            <w:tcW w:w="1160" w:type="dxa"/>
            <w:vAlign w:val="bottom"/>
            <w:shd w:val="clear" w:color="auto" w:fill="F7F7F7"/>
          </w:tcPr>
          <w:p>
            <w:pPr>
              <w:jc w:val="center"/>
              <w:ind w:left="17"/>
              <w:spacing w:after="0"/>
              <w:rPr>
                <w:sz w:val="20"/>
                <w:szCs w:val="20"/>
                <w:color w:val="auto"/>
              </w:rPr>
            </w:pPr>
            <w:r>
              <w:rPr>
                <w:rFonts w:ascii="Arial" w:cs="Arial" w:eastAsia="Arial" w:hAnsi="Arial"/>
                <w:sz w:val="13"/>
                <w:szCs w:val="13"/>
                <w:b w:val="1"/>
                <w:bCs w:val="1"/>
                <w:color w:val="4B4B4B"/>
                <w:w w:val="98"/>
              </w:rPr>
              <w:t>Number of</w:t>
            </w:r>
          </w:p>
        </w:tc>
        <w:tc>
          <w:tcPr>
            <w:tcW w:w="720" w:type="dxa"/>
            <w:vAlign w:val="bottom"/>
            <w:shd w:val="clear" w:color="auto" w:fill="F7F7F7"/>
          </w:tcPr>
          <w:p>
            <w:pPr>
              <w:spacing w:after="0"/>
              <w:rPr>
                <w:sz w:val="14"/>
                <w:szCs w:val="14"/>
                <w:color w:val="auto"/>
              </w:rPr>
            </w:pPr>
          </w:p>
        </w:tc>
        <w:tc>
          <w:tcPr>
            <w:tcW w:w="820" w:type="dxa"/>
            <w:vAlign w:val="bottom"/>
            <w:shd w:val="clear" w:color="auto" w:fill="F7F7F7"/>
          </w:tcPr>
          <w:p>
            <w:pPr>
              <w:spacing w:after="0"/>
              <w:rPr>
                <w:sz w:val="14"/>
                <w:szCs w:val="14"/>
                <w:color w:val="auto"/>
              </w:rPr>
            </w:pPr>
          </w:p>
        </w:tc>
        <w:tc>
          <w:tcPr>
            <w:tcW w:w="1200" w:type="dxa"/>
            <w:vAlign w:val="bottom"/>
            <w:shd w:val="clear" w:color="auto" w:fill="F7F7F7"/>
          </w:tcPr>
          <w:p>
            <w:pPr>
              <w:spacing w:after="0"/>
              <w:rPr>
                <w:sz w:val="14"/>
                <w:szCs w:val="14"/>
                <w:color w:val="auto"/>
              </w:rPr>
            </w:pPr>
          </w:p>
        </w:tc>
        <w:tc>
          <w:tcPr>
            <w:tcW w:w="1160" w:type="dxa"/>
            <w:vAlign w:val="bottom"/>
            <w:shd w:val="clear" w:color="auto" w:fill="F7F7F7"/>
          </w:tcPr>
          <w:p>
            <w:pPr>
              <w:spacing w:after="0"/>
              <w:rPr>
                <w:sz w:val="14"/>
                <w:szCs w:val="14"/>
                <w:color w:val="auto"/>
              </w:rPr>
            </w:pPr>
          </w:p>
        </w:tc>
        <w:tc>
          <w:tcPr>
            <w:tcW w:w="114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7"/>
              </w:rPr>
              <w:t>Plan Awards:</w:t>
            </w:r>
          </w:p>
        </w:tc>
        <w:tc>
          <w:tcPr>
            <w:tcW w:w="116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6"/>
              </w:rPr>
              <w:t>Market or Payout</w:t>
            </w:r>
          </w:p>
        </w:tc>
      </w:tr>
      <w:tr>
        <w:trPr>
          <w:trHeight w:val="162"/>
        </w:trPr>
        <w:tc>
          <w:tcPr>
            <w:tcW w:w="1400" w:type="dxa"/>
            <w:vAlign w:val="bottom"/>
            <w:shd w:val="clear" w:color="auto" w:fill="F7F7F7"/>
          </w:tcPr>
          <w:p>
            <w:pPr>
              <w:spacing w:after="0"/>
              <w:rPr>
                <w:sz w:val="14"/>
                <w:szCs w:val="14"/>
                <w:color w:val="auto"/>
              </w:rPr>
            </w:pPr>
          </w:p>
        </w:tc>
        <w:tc>
          <w:tcPr>
            <w:tcW w:w="1340" w:type="dxa"/>
            <w:vAlign w:val="bottom"/>
            <w:shd w:val="clear" w:color="auto" w:fill="F7F7F7"/>
          </w:tcPr>
          <w:p>
            <w:pPr>
              <w:spacing w:after="0"/>
              <w:rPr>
                <w:sz w:val="14"/>
                <w:szCs w:val="14"/>
                <w:color w:val="auto"/>
              </w:rPr>
            </w:pPr>
          </w:p>
        </w:tc>
        <w:tc>
          <w:tcPr>
            <w:tcW w:w="110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6"/>
              </w:rPr>
              <w:t>Securities</w:t>
            </w:r>
          </w:p>
        </w:tc>
        <w:tc>
          <w:tcPr>
            <w:tcW w:w="1160" w:type="dxa"/>
            <w:vAlign w:val="bottom"/>
            <w:shd w:val="clear" w:color="auto" w:fill="F7F7F7"/>
          </w:tcPr>
          <w:p>
            <w:pPr>
              <w:jc w:val="center"/>
              <w:ind w:left="17"/>
              <w:spacing w:after="0"/>
              <w:rPr>
                <w:sz w:val="20"/>
                <w:szCs w:val="20"/>
                <w:color w:val="auto"/>
              </w:rPr>
            </w:pPr>
            <w:r>
              <w:rPr>
                <w:rFonts w:ascii="Arial" w:cs="Arial" w:eastAsia="Arial" w:hAnsi="Arial"/>
                <w:sz w:val="13"/>
                <w:szCs w:val="13"/>
                <w:b w:val="1"/>
                <w:bCs w:val="1"/>
                <w:color w:val="4B4B4B"/>
                <w:w w:val="96"/>
              </w:rPr>
              <w:t>Securities</w:t>
            </w:r>
          </w:p>
        </w:tc>
        <w:tc>
          <w:tcPr>
            <w:tcW w:w="720" w:type="dxa"/>
            <w:vAlign w:val="bottom"/>
            <w:shd w:val="clear" w:color="auto" w:fill="F7F7F7"/>
          </w:tcPr>
          <w:p>
            <w:pPr>
              <w:spacing w:after="0"/>
              <w:rPr>
                <w:sz w:val="14"/>
                <w:szCs w:val="14"/>
                <w:color w:val="auto"/>
              </w:rPr>
            </w:pPr>
          </w:p>
        </w:tc>
        <w:tc>
          <w:tcPr>
            <w:tcW w:w="820" w:type="dxa"/>
            <w:vAlign w:val="bottom"/>
            <w:shd w:val="clear" w:color="auto" w:fill="F7F7F7"/>
          </w:tcPr>
          <w:p>
            <w:pPr>
              <w:spacing w:after="0"/>
              <w:rPr>
                <w:sz w:val="14"/>
                <w:szCs w:val="14"/>
                <w:color w:val="auto"/>
              </w:rPr>
            </w:pPr>
          </w:p>
        </w:tc>
        <w:tc>
          <w:tcPr>
            <w:tcW w:w="1200" w:type="dxa"/>
            <w:vAlign w:val="bottom"/>
            <w:shd w:val="clear" w:color="auto" w:fill="F7F7F7"/>
          </w:tcPr>
          <w:p>
            <w:pPr>
              <w:spacing w:after="0"/>
              <w:rPr>
                <w:sz w:val="14"/>
                <w:szCs w:val="14"/>
                <w:color w:val="auto"/>
              </w:rPr>
            </w:pPr>
          </w:p>
        </w:tc>
        <w:tc>
          <w:tcPr>
            <w:tcW w:w="1160" w:type="dxa"/>
            <w:vAlign w:val="bottom"/>
            <w:shd w:val="clear" w:color="auto" w:fill="F7F7F7"/>
          </w:tcPr>
          <w:p>
            <w:pPr>
              <w:spacing w:after="0"/>
              <w:rPr>
                <w:sz w:val="14"/>
                <w:szCs w:val="14"/>
                <w:color w:val="auto"/>
              </w:rPr>
            </w:pPr>
          </w:p>
        </w:tc>
        <w:tc>
          <w:tcPr>
            <w:tcW w:w="114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5"/>
              </w:rPr>
              <w:t>Number of</w:t>
            </w:r>
          </w:p>
        </w:tc>
        <w:tc>
          <w:tcPr>
            <w:tcW w:w="116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6"/>
              </w:rPr>
              <w:t>Value of Unearned</w:t>
            </w:r>
          </w:p>
        </w:tc>
      </w:tr>
      <w:tr>
        <w:trPr>
          <w:trHeight w:val="162"/>
        </w:trPr>
        <w:tc>
          <w:tcPr>
            <w:tcW w:w="1400" w:type="dxa"/>
            <w:vAlign w:val="bottom"/>
            <w:shd w:val="clear" w:color="auto" w:fill="F7F7F7"/>
          </w:tcPr>
          <w:p>
            <w:pPr>
              <w:spacing w:after="0"/>
              <w:rPr>
                <w:sz w:val="14"/>
                <w:szCs w:val="14"/>
                <w:color w:val="auto"/>
              </w:rPr>
            </w:pPr>
          </w:p>
        </w:tc>
        <w:tc>
          <w:tcPr>
            <w:tcW w:w="1340" w:type="dxa"/>
            <w:vAlign w:val="bottom"/>
            <w:shd w:val="clear" w:color="auto" w:fill="F7F7F7"/>
          </w:tcPr>
          <w:p>
            <w:pPr>
              <w:spacing w:after="0"/>
              <w:rPr>
                <w:sz w:val="14"/>
                <w:szCs w:val="14"/>
                <w:color w:val="auto"/>
              </w:rPr>
            </w:pPr>
          </w:p>
        </w:tc>
        <w:tc>
          <w:tcPr>
            <w:tcW w:w="110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7"/>
              </w:rPr>
              <w:t>Underlying</w:t>
            </w:r>
          </w:p>
        </w:tc>
        <w:tc>
          <w:tcPr>
            <w:tcW w:w="1160" w:type="dxa"/>
            <w:vAlign w:val="bottom"/>
            <w:shd w:val="clear" w:color="auto" w:fill="F7F7F7"/>
          </w:tcPr>
          <w:p>
            <w:pPr>
              <w:jc w:val="center"/>
              <w:ind w:left="37"/>
              <w:spacing w:after="0"/>
              <w:rPr>
                <w:sz w:val="20"/>
                <w:szCs w:val="20"/>
                <w:color w:val="auto"/>
              </w:rPr>
            </w:pPr>
            <w:r>
              <w:rPr>
                <w:rFonts w:ascii="Arial" w:cs="Arial" w:eastAsia="Arial" w:hAnsi="Arial"/>
                <w:sz w:val="13"/>
                <w:szCs w:val="13"/>
                <w:b w:val="1"/>
                <w:bCs w:val="1"/>
                <w:color w:val="4B4B4B"/>
                <w:w w:val="97"/>
              </w:rPr>
              <w:t>Underlying</w:t>
            </w:r>
          </w:p>
        </w:tc>
        <w:tc>
          <w:tcPr>
            <w:tcW w:w="720" w:type="dxa"/>
            <w:vAlign w:val="bottom"/>
            <w:shd w:val="clear" w:color="auto" w:fill="F7F7F7"/>
          </w:tcPr>
          <w:p>
            <w:pPr>
              <w:spacing w:after="0"/>
              <w:rPr>
                <w:sz w:val="14"/>
                <w:szCs w:val="14"/>
                <w:color w:val="auto"/>
              </w:rPr>
            </w:pPr>
          </w:p>
        </w:tc>
        <w:tc>
          <w:tcPr>
            <w:tcW w:w="820" w:type="dxa"/>
            <w:vAlign w:val="bottom"/>
            <w:shd w:val="clear" w:color="auto" w:fill="F7F7F7"/>
          </w:tcPr>
          <w:p>
            <w:pPr>
              <w:spacing w:after="0"/>
              <w:rPr>
                <w:sz w:val="14"/>
                <w:szCs w:val="14"/>
                <w:color w:val="auto"/>
              </w:rPr>
            </w:pPr>
          </w:p>
        </w:tc>
        <w:tc>
          <w:tcPr>
            <w:tcW w:w="120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6"/>
              </w:rPr>
              <w:t>Number of Shares</w:t>
            </w:r>
          </w:p>
        </w:tc>
        <w:tc>
          <w:tcPr>
            <w:tcW w:w="116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7"/>
              </w:rPr>
              <w:t>Market Value of</w:t>
            </w:r>
          </w:p>
        </w:tc>
        <w:tc>
          <w:tcPr>
            <w:tcW w:w="114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7"/>
              </w:rPr>
              <w:t>Unearned Shares,</w:t>
            </w:r>
          </w:p>
        </w:tc>
        <w:tc>
          <w:tcPr>
            <w:tcW w:w="116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6"/>
              </w:rPr>
              <w:t>Shares, Units or</w:t>
            </w:r>
          </w:p>
        </w:tc>
      </w:tr>
      <w:tr>
        <w:trPr>
          <w:trHeight w:val="162"/>
        </w:trPr>
        <w:tc>
          <w:tcPr>
            <w:tcW w:w="1400" w:type="dxa"/>
            <w:vAlign w:val="bottom"/>
            <w:shd w:val="clear" w:color="auto" w:fill="F7F7F7"/>
          </w:tcPr>
          <w:p>
            <w:pPr>
              <w:spacing w:after="0"/>
              <w:rPr>
                <w:sz w:val="14"/>
                <w:szCs w:val="14"/>
                <w:color w:val="auto"/>
              </w:rPr>
            </w:pPr>
          </w:p>
        </w:tc>
        <w:tc>
          <w:tcPr>
            <w:tcW w:w="134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3"/>
              </w:rPr>
              <w:t>Vesting</w:t>
            </w:r>
          </w:p>
        </w:tc>
        <w:tc>
          <w:tcPr>
            <w:tcW w:w="110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5"/>
              </w:rPr>
              <w:t>Unexercised</w:t>
            </w:r>
          </w:p>
        </w:tc>
        <w:tc>
          <w:tcPr>
            <w:tcW w:w="1160" w:type="dxa"/>
            <w:vAlign w:val="bottom"/>
            <w:shd w:val="clear" w:color="auto" w:fill="F7F7F7"/>
          </w:tcPr>
          <w:p>
            <w:pPr>
              <w:jc w:val="center"/>
              <w:ind w:left="17"/>
              <w:spacing w:after="0"/>
              <w:rPr>
                <w:sz w:val="20"/>
                <w:szCs w:val="20"/>
                <w:color w:val="auto"/>
              </w:rPr>
            </w:pPr>
            <w:r>
              <w:rPr>
                <w:rFonts w:ascii="Arial" w:cs="Arial" w:eastAsia="Arial" w:hAnsi="Arial"/>
                <w:sz w:val="13"/>
                <w:szCs w:val="13"/>
                <w:b w:val="1"/>
                <w:bCs w:val="1"/>
                <w:color w:val="4B4B4B"/>
                <w:w w:val="98"/>
              </w:rPr>
              <w:t>Unexercised</w:t>
            </w:r>
          </w:p>
        </w:tc>
        <w:tc>
          <w:tcPr>
            <w:tcW w:w="72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5"/>
              </w:rPr>
              <w:t>Option</w:t>
            </w:r>
          </w:p>
        </w:tc>
        <w:tc>
          <w:tcPr>
            <w:tcW w:w="82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5"/>
              </w:rPr>
              <w:t>Option</w:t>
            </w:r>
          </w:p>
        </w:tc>
        <w:tc>
          <w:tcPr>
            <w:tcW w:w="120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7"/>
              </w:rPr>
              <w:t>or Units That</w:t>
            </w:r>
          </w:p>
        </w:tc>
        <w:tc>
          <w:tcPr>
            <w:tcW w:w="116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8"/>
              </w:rPr>
              <w:t>Shares or Units of</w:t>
            </w:r>
          </w:p>
        </w:tc>
        <w:tc>
          <w:tcPr>
            <w:tcW w:w="114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6"/>
              </w:rPr>
              <w:t>Units or Other</w:t>
            </w:r>
          </w:p>
        </w:tc>
        <w:tc>
          <w:tcPr>
            <w:tcW w:w="116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6"/>
              </w:rPr>
              <w:t>Other Rights That</w:t>
            </w:r>
          </w:p>
        </w:tc>
      </w:tr>
      <w:tr>
        <w:trPr>
          <w:trHeight w:val="162"/>
        </w:trPr>
        <w:tc>
          <w:tcPr>
            <w:tcW w:w="1400" w:type="dxa"/>
            <w:vAlign w:val="bottom"/>
            <w:shd w:val="clear" w:color="auto" w:fill="F7F7F7"/>
          </w:tcPr>
          <w:p>
            <w:pPr>
              <w:spacing w:after="0"/>
              <w:rPr>
                <w:sz w:val="14"/>
                <w:szCs w:val="14"/>
                <w:color w:val="auto"/>
              </w:rPr>
            </w:pPr>
          </w:p>
        </w:tc>
        <w:tc>
          <w:tcPr>
            <w:tcW w:w="134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6"/>
              </w:rPr>
              <w:t>Commencement</w:t>
            </w:r>
          </w:p>
        </w:tc>
        <w:tc>
          <w:tcPr>
            <w:tcW w:w="110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6"/>
              </w:rPr>
              <w:t>Options (#)</w:t>
            </w:r>
          </w:p>
        </w:tc>
        <w:tc>
          <w:tcPr>
            <w:tcW w:w="1160" w:type="dxa"/>
            <w:vAlign w:val="bottom"/>
            <w:shd w:val="clear" w:color="auto" w:fill="F7F7F7"/>
          </w:tcPr>
          <w:p>
            <w:pPr>
              <w:jc w:val="center"/>
              <w:ind w:left="37"/>
              <w:spacing w:after="0"/>
              <w:rPr>
                <w:sz w:val="20"/>
                <w:szCs w:val="20"/>
                <w:color w:val="auto"/>
              </w:rPr>
            </w:pPr>
            <w:r>
              <w:rPr>
                <w:rFonts w:ascii="Arial" w:cs="Arial" w:eastAsia="Arial" w:hAnsi="Arial"/>
                <w:sz w:val="13"/>
                <w:szCs w:val="13"/>
                <w:b w:val="1"/>
                <w:bCs w:val="1"/>
                <w:color w:val="4B4B4B"/>
                <w:w w:val="96"/>
              </w:rPr>
              <w:t>Options (#)</w:t>
            </w:r>
          </w:p>
        </w:tc>
        <w:tc>
          <w:tcPr>
            <w:tcW w:w="72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7"/>
              </w:rPr>
              <w:t>Exercise</w:t>
            </w:r>
          </w:p>
        </w:tc>
        <w:tc>
          <w:tcPr>
            <w:tcW w:w="82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7"/>
              </w:rPr>
              <w:t>Expiration</w:t>
            </w:r>
          </w:p>
        </w:tc>
        <w:tc>
          <w:tcPr>
            <w:tcW w:w="120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4"/>
              </w:rPr>
              <w:t>Have Not Yet</w:t>
            </w:r>
          </w:p>
        </w:tc>
        <w:tc>
          <w:tcPr>
            <w:tcW w:w="116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6"/>
              </w:rPr>
              <w:t>Stock That Have</w:t>
            </w:r>
          </w:p>
        </w:tc>
        <w:tc>
          <w:tcPr>
            <w:tcW w:w="114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6"/>
              </w:rPr>
              <w:t>Rights That Have</w:t>
            </w:r>
          </w:p>
        </w:tc>
        <w:tc>
          <w:tcPr>
            <w:tcW w:w="116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5"/>
              </w:rPr>
              <w:t>Have Not Vested</w:t>
            </w:r>
          </w:p>
        </w:tc>
      </w:tr>
      <w:tr>
        <w:trPr>
          <w:trHeight w:val="197"/>
        </w:trPr>
        <w:tc>
          <w:tcPr>
            <w:tcW w:w="1400" w:type="dxa"/>
            <w:vAlign w:val="bottom"/>
            <w:shd w:val="clear" w:color="auto" w:fill="F7F7F7"/>
          </w:tcPr>
          <w:p>
            <w:pPr>
              <w:ind w:left="280"/>
              <w:spacing w:after="0"/>
              <w:rPr>
                <w:sz w:val="20"/>
                <w:szCs w:val="20"/>
                <w:color w:val="auto"/>
              </w:rPr>
            </w:pPr>
            <w:r>
              <w:rPr>
                <w:rFonts w:ascii="Arial" w:cs="Arial" w:eastAsia="Arial" w:hAnsi="Arial"/>
                <w:sz w:val="13"/>
                <w:szCs w:val="13"/>
                <w:b w:val="1"/>
                <w:bCs w:val="1"/>
                <w:color w:val="4B4B4B"/>
              </w:rPr>
              <w:t>Name</w:t>
            </w:r>
          </w:p>
        </w:tc>
        <w:tc>
          <w:tcPr>
            <w:tcW w:w="134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9"/>
              </w:rPr>
              <w:t>Date</w:t>
            </w:r>
          </w:p>
        </w:tc>
        <w:tc>
          <w:tcPr>
            <w:tcW w:w="110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6"/>
              </w:rPr>
              <w:t>Exercisable</w:t>
            </w:r>
          </w:p>
        </w:tc>
        <w:tc>
          <w:tcPr>
            <w:tcW w:w="1160" w:type="dxa"/>
            <w:vAlign w:val="bottom"/>
            <w:shd w:val="clear" w:color="auto" w:fill="F7F7F7"/>
          </w:tcPr>
          <w:p>
            <w:pPr>
              <w:jc w:val="center"/>
              <w:ind w:left="37"/>
              <w:spacing w:after="0"/>
              <w:rPr>
                <w:sz w:val="20"/>
                <w:szCs w:val="20"/>
                <w:color w:val="auto"/>
              </w:rPr>
            </w:pPr>
            <w:r>
              <w:rPr>
                <w:rFonts w:ascii="Arial" w:cs="Arial" w:eastAsia="Arial" w:hAnsi="Arial"/>
                <w:sz w:val="13"/>
                <w:szCs w:val="13"/>
                <w:b w:val="1"/>
                <w:bCs w:val="1"/>
                <w:color w:val="4B4B4B"/>
                <w:w w:val="97"/>
              </w:rPr>
              <w:t>Unexercisable</w:t>
            </w:r>
          </w:p>
        </w:tc>
        <w:tc>
          <w:tcPr>
            <w:tcW w:w="72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7"/>
              </w:rPr>
              <w:t>Price ($)</w:t>
            </w:r>
          </w:p>
        </w:tc>
        <w:tc>
          <w:tcPr>
            <w:tcW w:w="82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9"/>
              </w:rPr>
              <w:t>Date</w:t>
            </w:r>
          </w:p>
        </w:tc>
        <w:tc>
          <w:tcPr>
            <w:tcW w:w="120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3"/>
              </w:rPr>
              <w:t>Vested</w:t>
            </w:r>
          </w:p>
        </w:tc>
        <w:tc>
          <w:tcPr>
            <w:tcW w:w="116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3"/>
              </w:rPr>
              <w:t>Not Vested ($)</w:t>
            </w:r>
            <w:r>
              <w:rPr>
                <w:rFonts w:ascii="Arial" w:cs="Arial" w:eastAsia="Arial" w:hAnsi="Arial"/>
                <w:sz w:val="16"/>
                <w:szCs w:val="16"/>
                <w:b w:val="1"/>
                <w:bCs w:val="1"/>
                <w:color w:val="4B4B4B"/>
                <w:w w:val="93"/>
                <w:vertAlign w:val="superscript"/>
              </w:rPr>
              <w:t>(1)</w:t>
            </w:r>
          </w:p>
        </w:tc>
        <w:tc>
          <w:tcPr>
            <w:tcW w:w="1140" w:type="dxa"/>
            <w:vAlign w:val="bottom"/>
            <w:shd w:val="clear" w:color="auto" w:fill="F7F7F7"/>
          </w:tcPr>
          <w:p>
            <w:pPr>
              <w:jc w:val="center"/>
              <w:spacing w:after="0"/>
              <w:rPr>
                <w:sz w:val="20"/>
                <w:szCs w:val="20"/>
                <w:color w:val="auto"/>
              </w:rPr>
            </w:pPr>
            <w:r>
              <w:rPr>
                <w:rFonts w:ascii="Arial" w:cs="Arial" w:eastAsia="Arial" w:hAnsi="Arial"/>
                <w:sz w:val="13"/>
                <w:szCs w:val="13"/>
                <w:b w:val="1"/>
                <w:bCs w:val="1"/>
                <w:color w:val="4B4B4B"/>
                <w:w w:val="96"/>
              </w:rPr>
              <w:t>Not Vested (#)</w:t>
            </w:r>
          </w:p>
        </w:tc>
        <w:tc>
          <w:tcPr>
            <w:tcW w:w="1160" w:type="dxa"/>
            <w:vAlign w:val="bottom"/>
            <w:shd w:val="clear" w:color="auto" w:fill="F7F7F7"/>
          </w:tcPr>
          <w:p>
            <w:pPr>
              <w:jc w:val="center"/>
              <w:spacing w:after="0" w:line="198" w:lineRule="exact"/>
              <w:rPr>
                <w:sz w:val="20"/>
                <w:szCs w:val="20"/>
                <w:color w:val="auto"/>
              </w:rPr>
            </w:pPr>
            <w:r>
              <w:rPr>
                <w:rFonts w:ascii="Arial" w:cs="Arial" w:eastAsia="Arial" w:hAnsi="Arial"/>
                <w:sz w:val="22"/>
                <w:szCs w:val="22"/>
                <w:b w:val="1"/>
                <w:bCs w:val="1"/>
                <w:color w:val="4B4B4B"/>
                <w:w w:val="93"/>
                <w:vertAlign w:val="subscript"/>
              </w:rPr>
              <w:t>($)</w:t>
            </w:r>
            <w:r>
              <w:rPr>
                <w:rFonts w:ascii="Arial" w:cs="Arial" w:eastAsia="Arial" w:hAnsi="Arial"/>
                <w:sz w:val="8"/>
                <w:szCs w:val="8"/>
                <w:b w:val="1"/>
                <w:bCs w:val="1"/>
                <w:color w:val="4B4B4B"/>
                <w:w w:val="93"/>
              </w:rPr>
              <w:t>(1)</w:t>
            </w:r>
          </w:p>
        </w:tc>
      </w:tr>
      <w:tr>
        <w:trPr>
          <w:trHeight w:val="243"/>
        </w:trPr>
        <w:tc>
          <w:tcPr>
            <w:tcW w:w="1400" w:type="dxa"/>
            <w:vAlign w:val="bottom"/>
          </w:tcPr>
          <w:p>
            <w:pPr>
              <w:ind w:left="200"/>
              <w:spacing w:after="0"/>
              <w:rPr>
                <w:sz w:val="20"/>
                <w:szCs w:val="20"/>
                <w:color w:val="auto"/>
              </w:rPr>
            </w:pPr>
            <w:r>
              <w:rPr>
                <w:rFonts w:ascii="Arial" w:cs="Arial" w:eastAsia="Arial" w:hAnsi="Arial"/>
                <w:sz w:val="13"/>
                <w:szCs w:val="13"/>
                <w:color w:val="4B4B4B"/>
              </w:rPr>
              <w:t>Luis von Ahn</w:t>
            </w:r>
          </w:p>
        </w:tc>
        <w:tc>
          <w:tcPr>
            <w:tcW w:w="1340" w:type="dxa"/>
            <w:vAlign w:val="bottom"/>
          </w:tcPr>
          <w:p>
            <w:pPr>
              <w:jc w:val="center"/>
              <w:spacing w:after="0"/>
              <w:rPr>
                <w:sz w:val="20"/>
                <w:szCs w:val="20"/>
                <w:color w:val="auto"/>
              </w:rPr>
            </w:pPr>
            <w:r>
              <w:rPr>
                <w:rFonts w:ascii="Arial" w:cs="Arial" w:eastAsia="Arial" w:hAnsi="Arial"/>
                <w:sz w:val="13"/>
                <w:szCs w:val="13"/>
                <w:color w:val="4B4B4B"/>
                <w:w w:val="95"/>
              </w:rPr>
              <w:t xml:space="preserve">1/1/2019 </w:t>
            </w:r>
            <w:r>
              <w:rPr>
                <w:rFonts w:ascii="Arial" w:cs="Arial" w:eastAsia="Arial" w:hAnsi="Arial"/>
                <w:sz w:val="16"/>
                <w:szCs w:val="16"/>
                <w:color w:val="4B4B4B"/>
                <w:w w:val="95"/>
                <w:vertAlign w:val="superscript"/>
              </w:rPr>
              <w:t>(2)</w:t>
            </w:r>
          </w:p>
        </w:tc>
        <w:tc>
          <w:tcPr>
            <w:tcW w:w="1100" w:type="dxa"/>
            <w:vAlign w:val="bottom"/>
          </w:tcPr>
          <w:p>
            <w:pPr>
              <w:jc w:val="center"/>
              <w:spacing w:after="0"/>
              <w:rPr>
                <w:sz w:val="20"/>
                <w:szCs w:val="20"/>
                <w:color w:val="auto"/>
              </w:rPr>
            </w:pPr>
            <w:r>
              <w:rPr>
                <w:rFonts w:ascii="Arial" w:cs="Arial" w:eastAsia="Arial" w:hAnsi="Arial"/>
                <w:sz w:val="13"/>
                <w:szCs w:val="13"/>
                <w:color w:val="4B4B4B"/>
                <w:w w:val="97"/>
              </w:rPr>
              <w:t>175,000</w:t>
            </w:r>
          </w:p>
        </w:tc>
        <w:tc>
          <w:tcPr>
            <w:tcW w:w="116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4B4B4B"/>
                <w:w w:val="94"/>
              </w:rPr>
              <w:t>7.48</w:t>
            </w:r>
          </w:p>
        </w:tc>
        <w:tc>
          <w:tcPr>
            <w:tcW w:w="820" w:type="dxa"/>
            <w:vAlign w:val="bottom"/>
          </w:tcPr>
          <w:p>
            <w:pPr>
              <w:jc w:val="center"/>
              <w:spacing w:after="0"/>
              <w:rPr>
                <w:sz w:val="20"/>
                <w:szCs w:val="20"/>
                <w:color w:val="auto"/>
              </w:rPr>
            </w:pPr>
            <w:r>
              <w:rPr>
                <w:rFonts w:ascii="Arial" w:cs="Arial" w:eastAsia="Arial" w:hAnsi="Arial"/>
                <w:sz w:val="13"/>
                <w:szCs w:val="13"/>
                <w:color w:val="4B4B4B"/>
                <w:w w:val="96"/>
              </w:rPr>
              <w:t>2/14/2029</w:t>
            </w:r>
          </w:p>
        </w:tc>
        <w:tc>
          <w:tcPr>
            <w:tcW w:w="120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1160" w:type="dxa"/>
            <w:vAlign w:val="bottom"/>
          </w:tcPr>
          <w:p>
            <w:pPr>
              <w:jc w:val="center"/>
              <w:spacing w:after="0"/>
              <w:rPr>
                <w:sz w:val="20"/>
                <w:szCs w:val="20"/>
                <w:color w:val="auto"/>
              </w:rPr>
            </w:pPr>
            <w:r>
              <w:rPr>
                <w:rFonts w:ascii="Arial" w:cs="Arial" w:eastAsia="Arial" w:hAnsi="Arial"/>
                <w:sz w:val="13"/>
                <w:szCs w:val="13"/>
                <w:color w:val="4B4B4B"/>
              </w:rPr>
              <w:t>—</w:t>
            </w:r>
          </w:p>
        </w:tc>
        <w:tc>
          <w:tcPr>
            <w:tcW w:w="114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1160" w:type="dxa"/>
            <w:vAlign w:val="bottom"/>
          </w:tcPr>
          <w:p>
            <w:pPr>
              <w:jc w:val="center"/>
              <w:spacing w:after="0"/>
              <w:rPr>
                <w:sz w:val="20"/>
                <w:szCs w:val="20"/>
                <w:color w:val="auto"/>
              </w:rPr>
            </w:pPr>
            <w:r>
              <w:rPr>
                <w:rFonts w:ascii="Arial" w:cs="Arial" w:eastAsia="Arial" w:hAnsi="Arial"/>
                <w:sz w:val="13"/>
                <w:szCs w:val="13"/>
                <w:color w:val="4B4B4B"/>
                <w:w w:val="91"/>
              </w:rPr>
              <w:t>—</w:t>
            </w:r>
          </w:p>
        </w:tc>
      </w:tr>
      <w:tr>
        <w:trPr>
          <w:trHeight w:val="243"/>
        </w:trPr>
        <w:tc>
          <w:tcPr>
            <w:tcW w:w="14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4B4B4B"/>
                <w:w w:val="95"/>
              </w:rPr>
              <w:t xml:space="preserve">1/1/2020 </w:t>
            </w:r>
            <w:r>
              <w:rPr>
                <w:rFonts w:ascii="Arial" w:cs="Arial" w:eastAsia="Arial" w:hAnsi="Arial"/>
                <w:sz w:val="16"/>
                <w:szCs w:val="16"/>
                <w:color w:val="4B4B4B"/>
                <w:w w:val="95"/>
                <w:vertAlign w:val="superscript"/>
              </w:rPr>
              <w:t>(2)</w:t>
            </w:r>
          </w:p>
        </w:tc>
        <w:tc>
          <w:tcPr>
            <w:tcW w:w="1100" w:type="dxa"/>
            <w:vAlign w:val="bottom"/>
          </w:tcPr>
          <w:p>
            <w:pPr>
              <w:jc w:val="center"/>
              <w:spacing w:after="0"/>
              <w:rPr>
                <w:sz w:val="20"/>
                <w:szCs w:val="20"/>
                <w:color w:val="auto"/>
              </w:rPr>
            </w:pPr>
            <w:r>
              <w:rPr>
                <w:rFonts w:ascii="Arial" w:cs="Arial" w:eastAsia="Arial" w:hAnsi="Arial"/>
                <w:sz w:val="13"/>
                <w:szCs w:val="13"/>
                <w:color w:val="4B4B4B"/>
                <w:w w:val="97"/>
              </w:rPr>
              <w:t>175,000</w:t>
            </w:r>
          </w:p>
        </w:tc>
        <w:tc>
          <w:tcPr>
            <w:tcW w:w="1160" w:type="dxa"/>
            <w:vAlign w:val="bottom"/>
          </w:tcPr>
          <w:p>
            <w:pPr>
              <w:jc w:val="center"/>
              <w:ind w:left="17"/>
              <w:spacing w:after="0"/>
              <w:rPr>
                <w:sz w:val="20"/>
                <w:szCs w:val="20"/>
                <w:color w:val="auto"/>
              </w:rPr>
            </w:pPr>
            <w:r>
              <w:rPr>
                <w:rFonts w:ascii="Arial" w:cs="Arial" w:eastAsia="Arial" w:hAnsi="Arial"/>
                <w:sz w:val="13"/>
                <w:szCs w:val="13"/>
                <w:color w:val="4B4B4B"/>
                <w:w w:val="91"/>
              </w:rPr>
              <w:t>—</w:t>
            </w:r>
          </w:p>
        </w:tc>
        <w:tc>
          <w:tcPr>
            <w:tcW w:w="720" w:type="dxa"/>
            <w:vAlign w:val="bottom"/>
          </w:tcPr>
          <w:p>
            <w:pPr>
              <w:jc w:val="center"/>
              <w:spacing w:after="0"/>
              <w:rPr>
                <w:sz w:val="20"/>
                <w:szCs w:val="20"/>
                <w:color w:val="auto"/>
              </w:rPr>
            </w:pPr>
            <w:r>
              <w:rPr>
                <w:rFonts w:ascii="Arial" w:cs="Arial" w:eastAsia="Arial" w:hAnsi="Arial"/>
                <w:sz w:val="13"/>
                <w:szCs w:val="13"/>
                <w:color w:val="4B4B4B"/>
                <w:w w:val="98"/>
              </w:rPr>
              <w:t>14.42</w:t>
            </w:r>
          </w:p>
        </w:tc>
        <w:tc>
          <w:tcPr>
            <w:tcW w:w="820" w:type="dxa"/>
            <w:vAlign w:val="bottom"/>
          </w:tcPr>
          <w:p>
            <w:pPr>
              <w:jc w:val="center"/>
              <w:spacing w:after="0"/>
              <w:rPr>
                <w:sz w:val="20"/>
                <w:szCs w:val="20"/>
                <w:color w:val="auto"/>
              </w:rPr>
            </w:pPr>
            <w:r>
              <w:rPr>
                <w:rFonts w:ascii="Arial" w:cs="Arial" w:eastAsia="Arial" w:hAnsi="Arial"/>
                <w:sz w:val="13"/>
                <w:szCs w:val="13"/>
                <w:color w:val="4B4B4B"/>
                <w:w w:val="98"/>
              </w:rPr>
              <w:t>12/12/2029</w:t>
            </w:r>
          </w:p>
        </w:tc>
        <w:tc>
          <w:tcPr>
            <w:tcW w:w="120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1160" w:type="dxa"/>
            <w:vAlign w:val="bottom"/>
          </w:tcPr>
          <w:p>
            <w:pPr>
              <w:jc w:val="center"/>
              <w:spacing w:after="0"/>
              <w:rPr>
                <w:sz w:val="20"/>
                <w:szCs w:val="20"/>
                <w:color w:val="auto"/>
              </w:rPr>
            </w:pPr>
            <w:r>
              <w:rPr>
                <w:rFonts w:ascii="Arial" w:cs="Arial" w:eastAsia="Arial" w:hAnsi="Arial"/>
                <w:sz w:val="13"/>
                <w:szCs w:val="13"/>
                <w:color w:val="4B4B4B"/>
              </w:rPr>
              <w:t>—</w:t>
            </w:r>
          </w:p>
        </w:tc>
        <w:tc>
          <w:tcPr>
            <w:tcW w:w="114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1160" w:type="dxa"/>
            <w:vAlign w:val="bottom"/>
          </w:tcPr>
          <w:p>
            <w:pPr>
              <w:jc w:val="center"/>
              <w:spacing w:after="0"/>
              <w:rPr>
                <w:sz w:val="20"/>
                <w:szCs w:val="20"/>
                <w:color w:val="auto"/>
              </w:rPr>
            </w:pPr>
            <w:r>
              <w:rPr>
                <w:rFonts w:ascii="Arial" w:cs="Arial" w:eastAsia="Arial" w:hAnsi="Arial"/>
                <w:sz w:val="13"/>
                <w:szCs w:val="13"/>
                <w:color w:val="4B4B4B"/>
                <w:w w:val="91"/>
              </w:rPr>
              <w:t>—</w:t>
            </w:r>
          </w:p>
        </w:tc>
      </w:tr>
      <w:tr>
        <w:trPr>
          <w:trHeight w:val="243"/>
        </w:trPr>
        <w:tc>
          <w:tcPr>
            <w:tcW w:w="14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4B4B4B"/>
                <w:w w:val="95"/>
              </w:rPr>
              <w:t xml:space="preserve">1/1/2021 </w:t>
            </w:r>
            <w:r>
              <w:rPr>
                <w:rFonts w:ascii="Arial" w:cs="Arial" w:eastAsia="Arial" w:hAnsi="Arial"/>
                <w:sz w:val="16"/>
                <w:szCs w:val="16"/>
                <w:color w:val="4B4B4B"/>
                <w:w w:val="95"/>
                <w:vertAlign w:val="superscript"/>
              </w:rPr>
              <w:t>(2)</w:t>
            </w:r>
          </w:p>
        </w:tc>
        <w:tc>
          <w:tcPr>
            <w:tcW w:w="1100" w:type="dxa"/>
            <w:vAlign w:val="bottom"/>
          </w:tcPr>
          <w:p>
            <w:pPr>
              <w:jc w:val="center"/>
              <w:spacing w:after="0"/>
              <w:rPr>
                <w:sz w:val="20"/>
                <w:szCs w:val="20"/>
                <w:color w:val="auto"/>
              </w:rPr>
            </w:pPr>
            <w:r>
              <w:rPr>
                <w:rFonts w:ascii="Arial" w:cs="Arial" w:eastAsia="Arial" w:hAnsi="Arial"/>
                <w:sz w:val="13"/>
                <w:szCs w:val="13"/>
                <w:color w:val="4B4B4B"/>
                <w:w w:val="97"/>
              </w:rPr>
              <w:t>145,104</w:t>
            </w:r>
          </w:p>
        </w:tc>
        <w:tc>
          <w:tcPr>
            <w:tcW w:w="1160" w:type="dxa"/>
            <w:vAlign w:val="bottom"/>
          </w:tcPr>
          <w:p>
            <w:pPr>
              <w:jc w:val="center"/>
              <w:ind w:left="37"/>
              <w:spacing w:after="0"/>
              <w:rPr>
                <w:sz w:val="20"/>
                <w:szCs w:val="20"/>
                <w:color w:val="auto"/>
              </w:rPr>
            </w:pPr>
            <w:r>
              <w:rPr>
                <w:rFonts w:ascii="Arial" w:cs="Arial" w:eastAsia="Arial" w:hAnsi="Arial"/>
                <w:sz w:val="13"/>
                <w:szCs w:val="13"/>
                <w:color w:val="4B4B4B"/>
                <w:w w:val="95"/>
              </w:rPr>
              <w:t>29,896</w:t>
            </w:r>
          </w:p>
        </w:tc>
        <w:tc>
          <w:tcPr>
            <w:tcW w:w="720" w:type="dxa"/>
            <w:vAlign w:val="bottom"/>
          </w:tcPr>
          <w:p>
            <w:pPr>
              <w:jc w:val="center"/>
              <w:spacing w:after="0"/>
              <w:rPr>
                <w:sz w:val="20"/>
                <w:szCs w:val="20"/>
                <w:color w:val="auto"/>
              </w:rPr>
            </w:pPr>
            <w:r>
              <w:rPr>
                <w:rFonts w:ascii="Arial" w:cs="Arial" w:eastAsia="Arial" w:hAnsi="Arial"/>
                <w:sz w:val="13"/>
                <w:szCs w:val="13"/>
                <w:color w:val="4B4B4B"/>
                <w:w w:val="98"/>
              </w:rPr>
              <w:t>38.08</w:t>
            </w:r>
          </w:p>
        </w:tc>
        <w:tc>
          <w:tcPr>
            <w:tcW w:w="820" w:type="dxa"/>
            <w:vAlign w:val="bottom"/>
          </w:tcPr>
          <w:p>
            <w:pPr>
              <w:jc w:val="center"/>
              <w:spacing w:after="0"/>
              <w:rPr>
                <w:sz w:val="20"/>
                <w:szCs w:val="20"/>
                <w:color w:val="auto"/>
              </w:rPr>
            </w:pPr>
            <w:r>
              <w:rPr>
                <w:rFonts w:ascii="Arial" w:cs="Arial" w:eastAsia="Arial" w:hAnsi="Arial"/>
                <w:sz w:val="13"/>
                <w:szCs w:val="13"/>
                <w:color w:val="4B4B4B"/>
                <w:w w:val="96"/>
              </w:rPr>
              <w:t>12/2/2030</w:t>
            </w:r>
          </w:p>
        </w:tc>
        <w:tc>
          <w:tcPr>
            <w:tcW w:w="120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1160" w:type="dxa"/>
            <w:vAlign w:val="bottom"/>
          </w:tcPr>
          <w:p>
            <w:pPr>
              <w:jc w:val="center"/>
              <w:spacing w:after="0"/>
              <w:rPr>
                <w:sz w:val="20"/>
                <w:szCs w:val="20"/>
                <w:color w:val="auto"/>
              </w:rPr>
            </w:pPr>
            <w:r>
              <w:rPr>
                <w:rFonts w:ascii="Arial" w:cs="Arial" w:eastAsia="Arial" w:hAnsi="Arial"/>
                <w:sz w:val="13"/>
                <w:szCs w:val="13"/>
                <w:color w:val="4B4B4B"/>
              </w:rPr>
              <w:t>—</w:t>
            </w:r>
          </w:p>
        </w:tc>
        <w:tc>
          <w:tcPr>
            <w:tcW w:w="114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1160" w:type="dxa"/>
            <w:vAlign w:val="bottom"/>
          </w:tcPr>
          <w:p>
            <w:pPr>
              <w:jc w:val="center"/>
              <w:spacing w:after="0"/>
              <w:rPr>
                <w:sz w:val="20"/>
                <w:szCs w:val="20"/>
                <w:color w:val="auto"/>
              </w:rPr>
            </w:pPr>
            <w:r>
              <w:rPr>
                <w:rFonts w:ascii="Arial" w:cs="Arial" w:eastAsia="Arial" w:hAnsi="Arial"/>
                <w:sz w:val="13"/>
                <w:szCs w:val="13"/>
                <w:color w:val="4B4B4B"/>
                <w:w w:val="91"/>
              </w:rPr>
              <w:t>—</w:t>
            </w:r>
          </w:p>
        </w:tc>
      </w:tr>
      <w:tr>
        <w:trPr>
          <w:trHeight w:val="243"/>
        </w:trPr>
        <w:tc>
          <w:tcPr>
            <w:tcW w:w="14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4B4B4B"/>
                <w:w w:val="93"/>
              </w:rPr>
              <w:t>7/30/2021</w:t>
            </w:r>
            <w:r>
              <w:rPr>
                <w:rFonts w:ascii="Arial" w:cs="Arial" w:eastAsia="Arial" w:hAnsi="Arial"/>
                <w:sz w:val="16"/>
                <w:szCs w:val="16"/>
                <w:color w:val="4B4B4B"/>
                <w:w w:val="93"/>
                <w:vertAlign w:val="superscript"/>
              </w:rPr>
              <w:t>(3)</w:t>
            </w:r>
          </w:p>
        </w:tc>
        <w:tc>
          <w:tcPr>
            <w:tcW w:w="1100" w:type="dxa"/>
            <w:vAlign w:val="bottom"/>
          </w:tcPr>
          <w:p>
            <w:pPr>
              <w:jc w:val="center"/>
              <w:spacing w:after="0"/>
              <w:rPr>
                <w:sz w:val="20"/>
                <w:szCs w:val="20"/>
                <w:color w:val="auto"/>
              </w:rPr>
            </w:pPr>
            <w:r>
              <w:rPr>
                <w:rFonts w:ascii="Arial" w:cs="Arial" w:eastAsia="Arial" w:hAnsi="Arial"/>
                <w:sz w:val="13"/>
                <w:szCs w:val="13"/>
                <w:color w:val="4B4B4B"/>
              </w:rPr>
              <w:t>—</w:t>
            </w:r>
          </w:p>
        </w:tc>
        <w:tc>
          <w:tcPr>
            <w:tcW w:w="1160" w:type="dxa"/>
            <w:vAlign w:val="bottom"/>
          </w:tcPr>
          <w:p>
            <w:pPr>
              <w:jc w:val="center"/>
              <w:ind w:left="17"/>
              <w:spacing w:after="0"/>
              <w:rPr>
                <w:sz w:val="20"/>
                <w:szCs w:val="20"/>
                <w:color w:val="auto"/>
              </w:rPr>
            </w:pPr>
            <w:r>
              <w:rPr>
                <w:rFonts w:ascii="Arial" w:cs="Arial" w:eastAsia="Arial" w:hAnsi="Arial"/>
                <w:sz w:val="13"/>
                <w:szCs w:val="13"/>
                <w:color w:val="4B4B4B"/>
                <w:w w:val="91"/>
              </w:rPr>
              <w:t>—</w:t>
            </w:r>
          </w:p>
        </w:tc>
        <w:tc>
          <w:tcPr>
            <w:tcW w:w="72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1200" w:type="dxa"/>
            <w:vAlign w:val="bottom"/>
          </w:tcPr>
          <w:p>
            <w:pPr>
              <w:jc w:val="center"/>
              <w:spacing w:after="0"/>
              <w:rPr>
                <w:sz w:val="20"/>
                <w:szCs w:val="20"/>
                <w:color w:val="auto"/>
              </w:rPr>
            </w:pPr>
            <w:r>
              <w:rPr>
                <w:rFonts w:ascii="Arial" w:cs="Arial" w:eastAsia="Arial" w:hAnsi="Arial"/>
                <w:sz w:val="13"/>
                <w:szCs w:val="13"/>
                <w:color w:val="4B4B4B"/>
                <w:w w:val="97"/>
              </w:rPr>
              <w:t>120,000</w:t>
            </w:r>
          </w:p>
        </w:tc>
        <w:tc>
          <w:tcPr>
            <w:tcW w:w="1160" w:type="dxa"/>
            <w:vAlign w:val="bottom"/>
          </w:tcPr>
          <w:p>
            <w:pPr>
              <w:jc w:val="center"/>
              <w:spacing w:after="0"/>
              <w:rPr>
                <w:sz w:val="20"/>
                <w:szCs w:val="20"/>
                <w:color w:val="auto"/>
              </w:rPr>
            </w:pPr>
            <w:r>
              <w:rPr>
                <w:rFonts w:ascii="Arial" w:cs="Arial" w:eastAsia="Arial" w:hAnsi="Arial"/>
                <w:sz w:val="13"/>
                <w:szCs w:val="13"/>
                <w:color w:val="4B4B4B"/>
                <w:w w:val="95"/>
              </w:rPr>
              <w:t>12,733,200</w:t>
            </w:r>
          </w:p>
        </w:tc>
        <w:tc>
          <w:tcPr>
            <w:tcW w:w="1140" w:type="dxa"/>
            <w:vAlign w:val="bottom"/>
          </w:tcPr>
          <w:p>
            <w:pPr>
              <w:jc w:val="center"/>
              <w:spacing w:after="0"/>
              <w:rPr>
                <w:sz w:val="20"/>
                <w:szCs w:val="20"/>
                <w:color w:val="auto"/>
              </w:rPr>
            </w:pPr>
            <w:r>
              <w:rPr>
                <w:rFonts w:ascii="Arial" w:cs="Arial" w:eastAsia="Arial" w:hAnsi="Arial"/>
                <w:sz w:val="13"/>
                <w:szCs w:val="13"/>
                <w:color w:val="4B4B4B"/>
                <w:w w:val="96"/>
              </w:rPr>
              <w:t>1,080,000</w:t>
            </w:r>
          </w:p>
        </w:tc>
        <w:tc>
          <w:tcPr>
            <w:tcW w:w="1160" w:type="dxa"/>
            <w:vAlign w:val="bottom"/>
          </w:tcPr>
          <w:p>
            <w:pPr>
              <w:jc w:val="center"/>
              <w:spacing w:after="0"/>
              <w:rPr>
                <w:sz w:val="20"/>
                <w:szCs w:val="20"/>
                <w:color w:val="auto"/>
              </w:rPr>
            </w:pPr>
            <w:r>
              <w:rPr>
                <w:rFonts w:ascii="Arial" w:cs="Arial" w:eastAsia="Arial" w:hAnsi="Arial"/>
                <w:sz w:val="13"/>
                <w:szCs w:val="13"/>
                <w:color w:val="4B4B4B"/>
                <w:w w:val="96"/>
              </w:rPr>
              <w:t>114,598,800</w:t>
            </w:r>
          </w:p>
        </w:tc>
      </w:tr>
      <w:tr>
        <w:trPr>
          <w:trHeight w:val="243"/>
        </w:trPr>
        <w:tc>
          <w:tcPr>
            <w:tcW w:w="1400" w:type="dxa"/>
            <w:vAlign w:val="bottom"/>
          </w:tcPr>
          <w:p>
            <w:pPr>
              <w:ind w:left="200"/>
              <w:spacing w:after="0"/>
              <w:rPr>
                <w:sz w:val="20"/>
                <w:szCs w:val="20"/>
                <w:color w:val="auto"/>
              </w:rPr>
            </w:pPr>
            <w:r>
              <w:rPr>
                <w:rFonts w:ascii="Arial" w:cs="Arial" w:eastAsia="Arial" w:hAnsi="Arial"/>
                <w:sz w:val="13"/>
                <w:szCs w:val="13"/>
                <w:color w:val="4B4B4B"/>
              </w:rPr>
              <w:t>Severin Hacker</w:t>
            </w:r>
          </w:p>
        </w:tc>
        <w:tc>
          <w:tcPr>
            <w:tcW w:w="1340" w:type="dxa"/>
            <w:vAlign w:val="bottom"/>
          </w:tcPr>
          <w:p>
            <w:pPr>
              <w:jc w:val="center"/>
              <w:spacing w:after="0"/>
              <w:rPr>
                <w:sz w:val="20"/>
                <w:szCs w:val="20"/>
                <w:color w:val="auto"/>
              </w:rPr>
            </w:pPr>
            <w:r>
              <w:rPr>
                <w:rFonts w:ascii="Arial" w:cs="Arial" w:eastAsia="Arial" w:hAnsi="Arial"/>
                <w:sz w:val="13"/>
                <w:szCs w:val="13"/>
                <w:color w:val="4B4B4B"/>
                <w:w w:val="95"/>
              </w:rPr>
              <w:t xml:space="preserve">1/1/2019 </w:t>
            </w:r>
            <w:r>
              <w:rPr>
                <w:rFonts w:ascii="Arial" w:cs="Arial" w:eastAsia="Arial" w:hAnsi="Arial"/>
                <w:sz w:val="16"/>
                <w:szCs w:val="16"/>
                <w:color w:val="4B4B4B"/>
                <w:w w:val="95"/>
                <w:vertAlign w:val="superscript"/>
              </w:rPr>
              <w:t>(2)</w:t>
            </w:r>
          </w:p>
        </w:tc>
        <w:tc>
          <w:tcPr>
            <w:tcW w:w="1100" w:type="dxa"/>
            <w:vAlign w:val="bottom"/>
          </w:tcPr>
          <w:p>
            <w:pPr>
              <w:jc w:val="center"/>
              <w:spacing w:after="0"/>
              <w:rPr>
                <w:sz w:val="20"/>
                <w:szCs w:val="20"/>
                <w:color w:val="auto"/>
              </w:rPr>
            </w:pPr>
            <w:r>
              <w:rPr>
                <w:rFonts w:ascii="Arial" w:cs="Arial" w:eastAsia="Arial" w:hAnsi="Arial"/>
                <w:sz w:val="13"/>
                <w:szCs w:val="13"/>
                <w:color w:val="4B4B4B"/>
                <w:w w:val="97"/>
              </w:rPr>
              <w:t>161,000</w:t>
            </w:r>
          </w:p>
        </w:tc>
        <w:tc>
          <w:tcPr>
            <w:tcW w:w="1160" w:type="dxa"/>
            <w:vAlign w:val="bottom"/>
          </w:tcPr>
          <w:p>
            <w:pPr>
              <w:jc w:val="center"/>
              <w:ind w:left="17"/>
              <w:spacing w:after="0"/>
              <w:rPr>
                <w:sz w:val="20"/>
                <w:szCs w:val="20"/>
                <w:color w:val="auto"/>
              </w:rPr>
            </w:pPr>
            <w:r>
              <w:rPr>
                <w:rFonts w:ascii="Arial" w:cs="Arial" w:eastAsia="Arial" w:hAnsi="Arial"/>
                <w:sz w:val="13"/>
                <w:szCs w:val="13"/>
                <w:color w:val="4B4B4B"/>
                <w:w w:val="91"/>
              </w:rPr>
              <w:t>—</w:t>
            </w:r>
          </w:p>
        </w:tc>
        <w:tc>
          <w:tcPr>
            <w:tcW w:w="720" w:type="dxa"/>
            <w:vAlign w:val="bottom"/>
          </w:tcPr>
          <w:p>
            <w:pPr>
              <w:jc w:val="center"/>
              <w:spacing w:after="0"/>
              <w:rPr>
                <w:sz w:val="20"/>
                <w:szCs w:val="20"/>
                <w:color w:val="auto"/>
              </w:rPr>
            </w:pPr>
            <w:r>
              <w:rPr>
                <w:rFonts w:ascii="Arial" w:cs="Arial" w:eastAsia="Arial" w:hAnsi="Arial"/>
                <w:sz w:val="13"/>
                <w:szCs w:val="13"/>
                <w:color w:val="4B4B4B"/>
                <w:w w:val="94"/>
              </w:rPr>
              <w:t>7.48</w:t>
            </w:r>
          </w:p>
        </w:tc>
        <w:tc>
          <w:tcPr>
            <w:tcW w:w="820" w:type="dxa"/>
            <w:vAlign w:val="bottom"/>
          </w:tcPr>
          <w:p>
            <w:pPr>
              <w:jc w:val="center"/>
              <w:spacing w:after="0"/>
              <w:rPr>
                <w:sz w:val="20"/>
                <w:szCs w:val="20"/>
                <w:color w:val="auto"/>
              </w:rPr>
            </w:pPr>
            <w:r>
              <w:rPr>
                <w:rFonts w:ascii="Arial" w:cs="Arial" w:eastAsia="Arial" w:hAnsi="Arial"/>
                <w:sz w:val="13"/>
                <w:szCs w:val="13"/>
                <w:color w:val="4B4B4B"/>
                <w:w w:val="96"/>
              </w:rPr>
              <w:t>2/14/2029</w:t>
            </w:r>
          </w:p>
        </w:tc>
        <w:tc>
          <w:tcPr>
            <w:tcW w:w="120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1160" w:type="dxa"/>
            <w:vAlign w:val="bottom"/>
          </w:tcPr>
          <w:p>
            <w:pPr>
              <w:jc w:val="center"/>
              <w:spacing w:after="0"/>
              <w:rPr>
                <w:sz w:val="20"/>
                <w:szCs w:val="20"/>
                <w:color w:val="auto"/>
              </w:rPr>
            </w:pPr>
            <w:r>
              <w:rPr>
                <w:rFonts w:ascii="Arial" w:cs="Arial" w:eastAsia="Arial" w:hAnsi="Arial"/>
                <w:sz w:val="13"/>
                <w:szCs w:val="13"/>
                <w:color w:val="4B4B4B"/>
              </w:rPr>
              <w:t>—</w:t>
            </w:r>
          </w:p>
        </w:tc>
        <w:tc>
          <w:tcPr>
            <w:tcW w:w="114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1160" w:type="dxa"/>
            <w:vAlign w:val="bottom"/>
          </w:tcPr>
          <w:p>
            <w:pPr>
              <w:jc w:val="center"/>
              <w:spacing w:after="0"/>
              <w:rPr>
                <w:sz w:val="20"/>
                <w:szCs w:val="20"/>
                <w:color w:val="auto"/>
              </w:rPr>
            </w:pPr>
            <w:r>
              <w:rPr>
                <w:rFonts w:ascii="Arial" w:cs="Arial" w:eastAsia="Arial" w:hAnsi="Arial"/>
                <w:sz w:val="13"/>
                <w:szCs w:val="13"/>
                <w:color w:val="4B4B4B"/>
                <w:w w:val="91"/>
              </w:rPr>
              <w:t>—</w:t>
            </w:r>
          </w:p>
        </w:tc>
      </w:tr>
      <w:tr>
        <w:trPr>
          <w:trHeight w:val="243"/>
        </w:trPr>
        <w:tc>
          <w:tcPr>
            <w:tcW w:w="14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4B4B4B"/>
                <w:w w:val="95"/>
              </w:rPr>
              <w:t xml:space="preserve">1/1/2020 </w:t>
            </w:r>
            <w:r>
              <w:rPr>
                <w:rFonts w:ascii="Arial" w:cs="Arial" w:eastAsia="Arial" w:hAnsi="Arial"/>
                <w:sz w:val="16"/>
                <w:szCs w:val="16"/>
                <w:color w:val="4B4B4B"/>
                <w:w w:val="95"/>
                <w:vertAlign w:val="superscript"/>
              </w:rPr>
              <w:t>(2)</w:t>
            </w:r>
          </w:p>
        </w:tc>
        <w:tc>
          <w:tcPr>
            <w:tcW w:w="1100" w:type="dxa"/>
            <w:vAlign w:val="bottom"/>
          </w:tcPr>
          <w:p>
            <w:pPr>
              <w:jc w:val="center"/>
              <w:spacing w:after="0"/>
              <w:rPr>
                <w:sz w:val="20"/>
                <w:szCs w:val="20"/>
                <w:color w:val="auto"/>
              </w:rPr>
            </w:pPr>
            <w:r>
              <w:rPr>
                <w:rFonts w:ascii="Arial" w:cs="Arial" w:eastAsia="Arial" w:hAnsi="Arial"/>
                <w:sz w:val="13"/>
                <w:szCs w:val="13"/>
                <w:color w:val="4B4B4B"/>
                <w:w w:val="97"/>
              </w:rPr>
              <w:t>173,500</w:t>
            </w:r>
          </w:p>
        </w:tc>
        <w:tc>
          <w:tcPr>
            <w:tcW w:w="1160" w:type="dxa"/>
            <w:vAlign w:val="bottom"/>
          </w:tcPr>
          <w:p>
            <w:pPr>
              <w:jc w:val="center"/>
              <w:ind w:left="17"/>
              <w:spacing w:after="0"/>
              <w:rPr>
                <w:sz w:val="20"/>
                <w:szCs w:val="20"/>
                <w:color w:val="auto"/>
              </w:rPr>
            </w:pPr>
            <w:r>
              <w:rPr>
                <w:rFonts w:ascii="Arial" w:cs="Arial" w:eastAsia="Arial" w:hAnsi="Arial"/>
                <w:sz w:val="13"/>
                <w:szCs w:val="13"/>
                <w:color w:val="4B4B4B"/>
              </w:rPr>
              <w:t>0</w:t>
            </w:r>
          </w:p>
        </w:tc>
        <w:tc>
          <w:tcPr>
            <w:tcW w:w="720" w:type="dxa"/>
            <w:vAlign w:val="bottom"/>
          </w:tcPr>
          <w:p>
            <w:pPr>
              <w:jc w:val="center"/>
              <w:spacing w:after="0"/>
              <w:rPr>
                <w:sz w:val="20"/>
                <w:szCs w:val="20"/>
                <w:color w:val="auto"/>
              </w:rPr>
            </w:pPr>
            <w:r>
              <w:rPr>
                <w:rFonts w:ascii="Arial" w:cs="Arial" w:eastAsia="Arial" w:hAnsi="Arial"/>
                <w:sz w:val="13"/>
                <w:szCs w:val="13"/>
                <w:color w:val="4B4B4B"/>
                <w:w w:val="98"/>
              </w:rPr>
              <w:t>14.42</w:t>
            </w:r>
          </w:p>
        </w:tc>
        <w:tc>
          <w:tcPr>
            <w:tcW w:w="820" w:type="dxa"/>
            <w:vAlign w:val="bottom"/>
          </w:tcPr>
          <w:p>
            <w:pPr>
              <w:jc w:val="center"/>
              <w:spacing w:after="0"/>
              <w:rPr>
                <w:sz w:val="20"/>
                <w:szCs w:val="20"/>
                <w:color w:val="auto"/>
              </w:rPr>
            </w:pPr>
            <w:r>
              <w:rPr>
                <w:rFonts w:ascii="Arial" w:cs="Arial" w:eastAsia="Arial" w:hAnsi="Arial"/>
                <w:sz w:val="13"/>
                <w:szCs w:val="13"/>
                <w:color w:val="4B4B4B"/>
                <w:w w:val="98"/>
              </w:rPr>
              <w:t>12/12/2029</w:t>
            </w:r>
          </w:p>
        </w:tc>
        <w:tc>
          <w:tcPr>
            <w:tcW w:w="120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1160" w:type="dxa"/>
            <w:vAlign w:val="bottom"/>
          </w:tcPr>
          <w:p>
            <w:pPr>
              <w:jc w:val="center"/>
              <w:spacing w:after="0"/>
              <w:rPr>
                <w:sz w:val="20"/>
                <w:szCs w:val="20"/>
                <w:color w:val="auto"/>
              </w:rPr>
            </w:pPr>
            <w:r>
              <w:rPr>
                <w:rFonts w:ascii="Arial" w:cs="Arial" w:eastAsia="Arial" w:hAnsi="Arial"/>
                <w:sz w:val="13"/>
                <w:szCs w:val="13"/>
                <w:color w:val="4B4B4B"/>
              </w:rPr>
              <w:t>—</w:t>
            </w:r>
          </w:p>
        </w:tc>
        <w:tc>
          <w:tcPr>
            <w:tcW w:w="114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1160" w:type="dxa"/>
            <w:vAlign w:val="bottom"/>
          </w:tcPr>
          <w:p>
            <w:pPr>
              <w:jc w:val="center"/>
              <w:spacing w:after="0"/>
              <w:rPr>
                <w:sz w:val="20"/>
                <w:szCs w:val="20"/>
                <w:color w:val="auto"/>
              </w:rPr>
            </w:pPr>
            <w:r>
              <w:rPr>
                <w:rFonts w:ascii="Arial" w:cs="Arial" w:eastAsia="Arial" w:hAnsi="Arial"/>
                <w:sz w:val="13"/>
                <w:szCs w:val="13"/>
                <w:color w:val="4B4B4B"/>
                <w:w w:val="91"/>
              </w:rPr>
              <w:t>—</w:t>
            </w:r>
          </w:p>
        </w:tc>
      </w:tr>
      <w:tr>
        <w:trPr>
          <w:trHeight w:val="243"/>
        </w:trPr>
        <w:tc>
          <w:tcPr>
            <w:tcW w:w="14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4B4B4B"/>
                <w:w w:val="95"/>
              </w:rPr>
              <w:t xml:space="preserve">1/1/2021 </w:t>
            </w:r>
            <w:r>
              <w:rPr>
                <w:rFonts w:ascii="Arial" w:cs="Arial" w:eastAsia="Arial" w:hAnsi="Arial"/>
                <w:sz w:val="16"/>
                <w:szCs w:val="16"/>
                <w:color w:val="4B4B4B"/>
                <w:w w:val="95"/>
                <w:vertAlign w:val="superscript"/>
              </w:rPr>
              <w:t>(2)</w:t>
            </w:r>
          </w:p>
        </w:tc>
        <w:tc>
          <w:tcPr>
            <w:tcW w:w="1100" w:type="dxa"/>
            <w:vAlign w:val="bottom"/>
          </w:tcPr>
          <w:p>
            <w:pPr>
              <w:jc w:val="center"/>
              <w:spacing w:after="0"/>
              <w:rPr>
                <w:sz w:val="20"/>
                <w:szCs w:val="20"/>
                <w:color w:val="auto"/>
              </w:rPr>
            </w:pPr>
            <w:r>
              <w:rPr>
                <w:rFonts w:ascii="Arial" w:cs="Arial" w:eastAsia="Arial" w:hAnsi="Arial"/>
                <w:sz w:val="13"/>
                <w:szCs w:val="13"/>
                <w:color w:val="4B4B4B"/>
                <w:w w:val="97"/>
              </w:rPr>
              <w:t>145,104</w:t>
            </w:r>
          </w:p>
        </w:tc>
        <w:tc>
          <w:tcPr>
            <w:tcW w:w="1160" w:type="dxa"/>
            <w:vAlign w:val="bottom"/>
          </w:tcPr>
          <w:p>
            <w:pPr>
              <w:jc w:val="center"/>
              <w:ind w:left="37"/>
              <w:spacing w:after="0"/>
              <w:rPr>
                <w:sz w:val="20"/>
                <w:szCs w:val="20"/>
                <w:color w:val="auto"/>
              </w:rPr>
            </w:pPr>
            <w:r>
              <w:rPr>
                <w:rFonts w:ascii="Arial" w:cs="Arial" w:eastAsia="Arial" w:hAnsi="Arial"/>
                <w:sz w:val="13"/>
                <w:szCs w:val="13"/>
                <w:color w:val="4B4B4B"/>
                <w:w w:val="95"/>
              </w:rPr>
              <w:t>29,896</w:t>
            </w:r>
          </w:p>
        </w:tc>
        <w:tc>
          <w:tcPr>
            <w:tcW w:w="720" w:type="dxa"/>
            <w:vAlign w:val="bottom"/>
          </w:tcPr>
          <w:p>
            <w:pPr>
              <w:jc w:val="center"/>
              <w:spacing w:after="0"/>
              <w:rPr>
                <w:sz w:val="20"/>
                <w:szCs w:val="20"/>
                <w:color w:val="auto"/>
              </w:rPr>
            </w:pPr>
            <w:r>
              <w:rPr>
                <w:rFonts w:ascii="Arial" w:cs="Arial" w:eastAsia="Arial" w:hAnsi="Arial"/>
                <w:sz w:val="13"/>
                <w:szCs w:val="13"/>
                <w:color w:val="4B4B4B"/>
                <w:w w:val="98"/>
              </w:rPr>
              <w:t>38.08</w:t>
            </w:r>
          </w:p>
        </w:tc>
        <w:tc>
          <w:tcPr>
            <w:tcW w:w="820" w:type="dxa"/>
            <w:vAlign w:val="bottom"/>
          </w:tcPr>
          <w:p>
            <w:pPr>
              <w:jc w:val="center"/>
              <w:spacing w:after="0"/>
              <w:rPr>
                <w:sz w:val="20"/>
                <w:szCs w:val="20"/>
                <w:color w:val="auto"/>
              </w:rPr>
            </w:pPr>
            <w:r>
              <w:rPr>
                <w:rFonts w:ascii="Arial" w:cs="Arial" w:eastAsia="Arial" w:hAnsi="Arial"/>
                <w:sz w:val="13"/>
                <w:szCs w:val="13"/>
                <w:color w:val="4B4B4B"/>
                <w:w w:val="96"/>
              </w:rPr>
              <w:t>12/2/2030</w:t>
            </w:r>
          </w:p>
        </w:tc>
        <w:tc>
          <w:tcPr>
            <w:tcW w:w="120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1160" w:type="dxa"/>
            <w:vAlign w:val="bottom"/>
          </w:tcPr>
          <w:p>
            <w:pPr>
              <w:jc w:val="center"/>
              <w:spacing w:after="0"/>
              <w:rPr>
                <w:sz w:val="20"/>
                <w:szCs w:val="20"/>
                <w:color w:val="auto"/>
              </w:rPr>
            </w:pPr>
            <w:r>
              <w:rPr>
                <w:rFonts w:ascii="Arial" w:cs="Arial" w:eastAsia="Arial" w:hAnsi="Arial"/>
                <w:sz w:val="13"/>
                <w:szCs w:val="13"/>
                <w:color w:val="4B4B4B"/>
              </w:rPr>
              <w:t>—</w:t>
            </w:r>
          </w:p>
        </w:tc>
        <w:tc>
          <w:tcPr>
            <w:tcW w:w="114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1160" w:type="dxa"/>
            <w:vAlign w:val="bottom"/>
          </w:tcPr>
          <w:p>
            <w:pPr>
              <w:jc w:val="center"/>
              <w:spacing w:after="0"/>
              <w:rPr>
                <w:sz w:val="20"/>
                <w:szCs w:val="20"/>
                <w:color w:val="auto"/>
              </w:rPr>
            </w:pPr>
            <w:r>
              <w:rPr>
                <w:rFonts w:ascii="Arial" w:cs="Arial" w:eastAsia="Arial" w:hAnsi="Arial"/>
                <w:sz w:val="13"/>
                <w:szCs w:val="13"/>
                <w:color w:val="4B4B4B"/>
                <w:w w:val="91"/>
              </w:rPr>
              <w:t>—</w:t>
            </w:r>
          </w:p>
        </w:tc>
      </w:tr>
      <w:tr>
        <w:trPr>
          <w:trHeight w:val="243"/>
        </w:trPr>
        <w:tc>
          <w:tcPr>
            <w:tcW w:w="14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4B4B4B"/>
                <w:w w:val="93"/>
              </w:rPr>
              <w:t>7/30/2021</w:t>
            </w:r>
            <w:r>
              <w:rPr>
                <w:rFonts w:ascii="Arial" w:cs="Arial" w:eastAsia="Arial" w:hAnsi="Arial"/>
                <w:sz w:val="16"/>
                <w:szCs w:val="16"/>
                <w:color w:val="4B4B4B"/>
                <w:w w:val="93"/>
                <w:vertAlign w:val="superscript"/>
              </w:rPr>
              <w:t>(3)</w:t>
            </w:r>
          </w:p>
        </w:tc>
        <w:tc>
          <w:tcPr>
            <w:tcW w:w="1100" w:type="dxa"/>
            <w:vAlign w:val="bottom"/>
          </w:tcPr>
          <w:p>
            <w:pPr>
              <w:jc w:val="center"/>
              <w:spacing w:after="0"/>
              <w:rPr>
                <w:sz w:val="20"/>
                <w:szCs w:val="20"/>
                <w:color w:val="auto"/>
              </w:rPr>
            </w:pPr>
            <w:r>
              <w:rPr>
                <w:rFonts w:ascii="Arial" w:cs="Arial" w:eastAsia="Arial" w:hAnsi="Arial"/>
                <w:sz w:val="13"/>
                <w:szCs w:val="13"/>
                <w:color w:val="4B4B4B"/>
              </w:rPr>
              <w:t>—</w:t>
            </w:r>
          </w:p>
        </w:tc>
        <w:tc>
          <w:tcPr>
            <w:tcW w:w="1160" w:type="dxa"/>
            <w:vAlign w:val="bottom"/>
          </w:tcPr>
          <w:p>
            <w:pPr>
              <w:jc w:val="center"/>
              <w:ind w:left="17"/>
              <w:spacing w:after="0"/>
              <w:rPr>
                <w:sz w:val="20"/>
                <w:szCs w:val="20"/>
                <w:color w:val="auto"/>
              </w:rPr>
            </w:pPr>
            <w:r>
              <w:rPr>
                <w:rFonts w:ascii="Arial" w:cs="Arial" w:eastAsia="Arial" w:hAnsi="Arial"/>
                <w:sz w:val="13"/>
                <w:szCs w:val="13"/>
                <w:color w:val="4B4B4B"/>
                <w:w w:val="91"/>
              </w:rPr>
              <w:t>—</w:t>
            </w:r>
          </w:p>
        </w:tc>
        <w:tc>
          <w:tcPr>
            <w:tcW w:w="72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1200" w:type="dxa"/>
            <w:vAlign w:val="bottom"/>
          </w:tcPr>
          <w:p>
            <w:pPr>
              <w:jc w:val="center"/>
              <w:spacing w:after="0"/>
              <w:rPr>
                <w:sz w:val="20"/>
                <w:szCs w:val="20"/>
                <w:color w:val="auto"/>
              </w:rPr>
            </w:pPr>
            <w:r>
              <w:rPr>
                <w:rFonts w:ascii="Arial" w:cs="Arial" w:eastAsia="Arial" w:hAnsi="Arial"/>
                <w:sz w:val="13"/>
                <w:szCs w:val="13"/>
                <w:color w:val="4B4B4B"/>
                <w:w w:val="95"/>
              </w:rPr>
              <w:t>60,000</w:t>
            </w:r>
          </w:p>
        </w:tc>
        <w:tc>
          <w:tcPr>
            <w:tcW w:w="1160" w:type="dxa"/>
            <w:vAlign w:val="bottom"/>
          </w:tcPr>
          <w:p>
            <w:pPr>
              <w:jc w:val="center"/>
              <w:spacing w:after="0"/>
              <w:rPr>
                <w:sz w:val="20"/>
                <w:szCs w:val="20"/>
                <w:color w:val="auto"/>
              </w:rPr>
            </w:pPr>
            <w:r>
              <w:rPr>
                <w:rFonts w:ascii="Arial" w:cs="Arial" w:eastAsia="Arial" w:hAnsi="Arial"/>
                <w:sz w:val="13"/>
                <w:szCs w:val="13"/>
                <w:color w:val="4B4B4B"/>
                <w:w w:val="96"/>
              </w:rPr>
              <w:t>6,366,600</w:t>
            </w:r>
          </w:p>
        </w:tc>
        <w:tc>
          <w:tcPr>
            <w:tcW w:w="1140" w:type="dxa"/>
            <w:vAlign w:val="bottom"/>
          </w:tcPr>
          <w:p>
            <w:pPr>
              <w:jc w:val="center"/>
              <w:spacing w:after="0"/>
              <w:rPr>
                <w:sz w:val="20"/>
                <w:szCs w:val="20"/>
                <w:color w:val="auto"/>
              </w:rPr>
            </w:pPr>
            <w:r>
              <w:rPr>
                <w:rFonts w:ascii="Arial" w:cs="Arial" w:eastAsia="Arial" w:hAnsi="Arial"/>
                <w:sz w:val="13"/>
                <w:szCs w:val="13"/>
                <w:color w:val="4B4B4B"/>
                <w:w w:val="97"/>
              </w:rPr>
              <w:t>540,000</w:t>
            </w:r>
          </w:p>
        </w:tc>
        <w:tc>
          <w:tcPr>
            <w:tcW w:w="1160" w:type="dxa"/>
            <w:vAlign w:val="bottom"/>
          </w:tcPr>
          <w:p>
            <w:pPr>
              <w:jc w:val="center"/>
              <w:spacing w:after="0"/>
              <w:rPr>
                <w:sz w:val="20"/>
                <w:szCs w:val="20"/>
                <w:color w:val="auto"/>
              </w:rPr>
            </w:pPr>
            <w:r>
              <w:rPr>
                <w:rFonts w:ascii="Arial" w:cs="Arial" w:eastAsia="Arial" w:hAnsi="Arial"/>
                <w:sz w:val="13"/>
                <w:szCs w:val="13"/>
                <w:color w:val="4B4B4B"/>
                <w:w w:val="95"/>
              </w:rPr>
              <w:t>57,299,400</w:t>
            </w:r>
          </w:p>
        </w:tc>
      </w:tr>
      <w:tr>
        <w:trPr>
          <w:trHeight w:val="243"/>
        </w:trPr>
        <w:tc>
          <w:tcPr>
            <w:tcW w:w="1400" w:type="dxa"/>
            <w:vAlign w:val="bottom"/>
          </w:tcPr>
          <w:p>
            <w:pPr>
              <w:ind w:left="200"/>
              <w:spacing w:after="0"/>
              <w:rPr>
                <w:sz w:val="20"/>
                <w:szCs w:val="20"/>
                <w:color w:val="auto"/>
              </w:rPr>
            </w:pPr>
            <w:r>
              <w:rPr>
                <w:rFonts w:ascii="Arial" w:cs="Arial" w:eastAsia="Arial" w:hAnsi="Arial"/>
                <w:sz w:val="13"/>
                <w:szCs w:val="13"/>
                <w:color w:val="4B4B4B"/>
              </w:rPr>
              <w:t>Matthew Skaruppa</w:t>
            </w:r>
          </w:p>
        </w:tc>
        <w:tc>
          <w:tcPr>
            <w:tcW w:w="1340" w:type="dxa"/>
            <w:vAlign w:val="bottom"/>
          </w:tcPr>
          <w:p>
            <w:pPr>
              <w:jc w:val="center"/>
              <w:spacing w:after="0"/>
              <w:rPr>
                <w:sz w:val="20"/>
                <w:szCs w:val="20"/>
                <w:color w:val="auto"/>
              </w:rPr>
            </w:pPr>
            <w:r>
              <w:rPr>
                <w:rFonts w:ascii="Arial" w:cs="Arial" w:eastAsia="Arial" w:hAnsi="Arial"/>
                <w:sz w:val="13"/>
                <w:szCs w:val="13"/>
                <w:color w:val="4B4B4B"/>
                <w:w w:val="91"/>
              </w:rPr>
              <w:t xml:space="preserve">2/24/2020 </w:t>
            </w:r>
            <w:r>
              <w:rPr>
                <w:rFonts w:ascii="Arial" w:cs="Arial" w:eastAsia="Arial" w:hAnsi="Arial"/>
                <w:sz w:val="16"/>
                <w:szCs w:val="16"/>
                <w:color w:val="4B4B4B"/>
                <w:w w:val="91"/>
                <w:vertAlign w:val="superscript"/>
              </w:rPr>
              <w:t>(4)</w:t>
            </w:r>
          </w:p>
        </w:tc>
        <w:tc>
          <w:tcPr>
            <w:tcW w:w="1100" w:type="dxa"/>
            <w:vAlign w:val="bottom"/>
          </w:tcPr>
          <w:p>
            <w:pPr>
              <w:jc w:val="center"/>
              <w:spacing w:after="0"/>
              <w:rPr>
                <w:sz w:val="20"/>
                <w:szCs w:val="20"/>
                <w:color w:val="auto"/>
              </w:rPr>
            </w:pPr>
            <w:r>
              <w:rPr>
                <w:rFonts w:ascii="Arial" w:cs="Arial" w:eastAsia="Arial" w:hAnsi="Arial"/>
                <w:sz w:val="13"/>
                <w:szCs w:val="13"/>
                <w:color w:val="4B4B4B"/>
                <w:w w:val="97"/>
              </w:rPr>
              <w:t>128,324</w:t>
            </w:r>
          </w:p>
        </w:tc>
        <w:tc>
          <w:tcPr>
            <w:tcW w:w="1160" w:type="dxa"/>
            <w:vAlign w:val="bottom"/>
          </w:tcPr>
          <w:p>
            <w:pPr>
              <w:jc w:val="center"/>
              <w:ind w:left="37"/>
              <w:spacing w:after="0"/>
              <w:rPr>
                <w:sz w:val="20"/>
                <w:szCs w:val="20"/>
                <w:color w:val="auto"/>
              </w:rPr>
            </w:pPr>
            <w:r>
              <w:rPr>
                <w:rFonts w:ascii="Arial" w:cs="Arial" w:eastAsia="Arial" w:hAnsi="Arial"/>
                <w:sz w:val="13"/>
                <w:szCs w:val="13"/>
                <w:color w:val="4B4B4B"/>
                <w:w w:val="97"/>
              </w:rPr>
              <w:t>165,839</w:t>
            </w:r>
          </w:p>
        </w:tc>
        <w:tc>
          <w:tcPr>
            <w:tcW w:w="720" w:type="dxa"/>
            <w:vAlign w:val="bottom"/>
          </w:tcPr>
          <w:p>
            <w:pPr>
              <w:jc w:val="center"/>
              <w:spacing w:after="0"/>
              <w:rPr>
                <w:sz w:val="20"/>
                <w:szCs w:val="20"/>
                <w:color w:val="auto"/>
              </w:rPr>
            </w:pPr>
            <w:r>
              <w:rPr>
                <w:rFonts w:ascii="Arial" w:cs="Arial" w:eastAsia="Arial" w:hAnsi="Arial"/>
                <w:sz w:val="13"/>
                <w:szCs w:val="13"/>
                <w:color w:val="4B4B4B"/>
                <w:w w:val="98"/>
              </w:rPr>
              <w:t>14.42</w:t>
            </w:r>
          </w:p>
        </w:tc>
        <w:tc>
          <w:tcPr>
            <w:tcW w:w="820" w:type="dxa"/>
            <w:vAlign w:val="bottom"/>
          </w:tcPr>
          <w:p>
            <w:pPr>
              <w:jc w:val="center"/>
              <w:spacing w:after="0"/>
              <w:rPr>
                <w:sz w:val="20"/>
                <w:szCs w:val="20"/>
                <w:color w:val="auto"/>
              </w:rPr>
            </w:pPr>
            <w:r>
              <w:rPr>
                <w:rFonts w:ascii="Arial" w:cs="Arial" w:eastAsia="Arial" w:hAnsi="Arial"/>
                <w:sz w:val="13"/>
                <w:szCs w:val="13"/>
                <w:color w:val="4B4B4B"/>
                <w:w w:val="96"/>
              </w:rPr>
              <w:t>3/10/2030</w:t>
            </w:r>
          </w:p>
        </w:tc>
        <w:tc>
          <w:tcPr>
            <w:tcW w:w="120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1160" w:type="dxa"/>
            <w:vAlign w:val="bottom"/>
          </w:tcPr>
          <w:p>
            <w:pPr>
              <w:jc w:val="center"/>
              <w:spacing w:after="0"/>
              <w:rPr>
                <w:sz w:val="20"/>
                <w:szCs w:val="20"/>
                <w:color w:val="auto"/>
              </w:rPr>
            </w:pPr>
            <w:r>
              <w:rPr>
                <w:rFonts w:ascii="Arial" w:cs="Arial" w:eastAsia="Arial" w:hAnsi="Arial"/>
                <w:sz w:val="13"/>
                <w:szCs w:val="13"/>
                <w:color w:val="4B4B4B"/>
              </w:rPr>
              <w:t>—</w:t>
            </w:r>
          </w:p>
        </w:tc>
        <w:tc>
          <w:tcPr>
            <w:tcW w:w="114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1160" w:type="dxa"/>
            <w:vAlign w:val="bottom"/>
          </w:tcPr>
          <w:p>
            <w:pPr>
              <w:jc w:val="center"/>
              <w:spacing w:after="0"/>
              <w:rPr>
                <w:sz w:val="20"/>
                <w:szCs w:val="20"/>
                <w:color w:val="auto"/>
              </w:rPr>
            </w:pPr>
            <w:r>
              <w:rPr>
                <w:rFonts w:ascii="Arial" w:cs="Arial" w:eastAsia="Arial" w:hAnsi="Arial"/>
                <w:sz w:val="13"/>
                <w:szCs w:val="13"/>
                <w:color w:val="4B4B4B"/>
                <w:w w:val="91"/>
              </w:rPr>
              <w:t>—</w:t>
            </w:r>
          </w:p>
        </w:tc>
      </w:tr>
      <w:tr>
        <w:trPr>
          <w:trHeight w:val="243"/>
        </w:trPr>
        <w:tc>
          <w:tcPr>
            <w:tcW w:w="14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4B4B4B"/>
                <w:w w:val="93"/>
              </w:rPr>
              <w:t>8/15/2021</w:t>
            </w:r>
            <w:r>
              <w:rPr>
                <w:rFonts w:ascii="Arial" w:cs="Arial" w:eastAsia="Arial" w:hAnsi="Arial"/>
                <w:sz w:val="16"/>
                <w:szCs w:val="16"/>
                <w:color w:val="4B4B4B"/>
                <w:w w:val="93"/>
                <w:vertAlign w:val="superscript"/>
              </w:rPr>
              <w:t>(5)</w:t>
            </w:r>
          </w:p>
        </w:tc>
        <w:tc>
          <w:tcPr>
            <w:tcW w:w="1100" w:type="dxa"/>
            <w:vAlign w:val="bottom"/>
          </w:tcPr>
          <w:p>
            <w:pPr>
              <w:jc w:val="center"/>
              <w:spacing w:after="0"/>
              <w:rPr>
                <w:sz w:val="20"/>
                <w:szCs w:val="20"/>
                <w:color w:val="auto"/>
              </w:rPr>
            </w:pPr>
            <w:r>
              <w:rPr>
                <w:rFonts w:ascii="Arial" w:cs="Arial" w:eastAsia="Arial" w:hAnsi="Arial"/>
                <w:sz w:val="13"/>
                <w:szCs w:val="13"/>
                <w:color w:val="4B4B4B"/>
              </w:rPr>
              <w:t>—</w:t>
            </w:r>
          </w:p>
        </w:tc>
        <w:tc>
          <w:tcPr>
            <w:tcW w:w="1160" w:type="dxa"/>
            <w:vAlign w:val="bottom"/>
          </w:tcPr>
          <w:p>
            <w:pPr>
              <w:jc w:val="center"/>
              <w:ind w:left="17"/>
              <w:spacing w:after="0"/>
              <w:rPr>
                <w:sz w:val="20"/>
                <w:szCs w:val="20"/>
                <w:color w:val="auto"/>
              </w:rPr>
            </w:pPr>
            <w:r>
              <w:rPr>
                <w:rFonts w:ascii="Arial" w:cs="Arial" w:eastAsia="Arial" w:hAnsi="Arial"/>
                <w:sz w:val="13"/>
                <w:szCs w:val="13"/>
                <w:color w:val="4B4B4B"/>
                <w:w w:val="91"/>
              </w:rPr>
              <w:t>—</w:t>
            </w:r>
          </w:p>
        </w:tc>
        <w:tc>
          <w:tcPr>
            <w:tcW w:w="72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1200" w:type="dxa"/>
            <w:vAlign w:val="bottom"/>
          </w:tcPr>
          <w:p>
            <w:pPr>
              <w:jc w:val="center"/>
              <w:spacing w:after="0"/>
              <w:rPr>
                <w:sz w:val="20"/>
                <w:szCs w:val="20"/>
                <w:color w:val="auto"/>
              </w:rPr>
            </w:pPr>
            <w:r>
              <w:rPr>
                <w:rFonts w:ascii="Arial" w:cs="Arial" w:eastAsia="Arial" w:hAnsi="Arial"/>
                <w:sz w:val="13"/>
                <w:szCs w:val="13"/>
                <w:color w:val="4B4B4B"/>
                <w:w w:val="95"/>
              </w:rPr>
              <w:t>21,875</w:t>
            </w:r>
          </w:p>
        </w:tc>
        <w:tc>
          <w:tcPr>
            <w:tcW w:w="1160" w:type="dxa"/>
            <w:vAlign w:val="bottom"/>
          </w:tcPr>
          <w:p>
            <w:pPr>
              <w:jc w:val="center"/>
              <w:spacing w:after="0"/>
              <w:rPr>
                <w:sz w:val="20"/>
                <w:szCs w:val="20"/>
                <w:color w:val="auto"/>
              </w:rPr>
            </w:pPr>
            <w:r>
              <w:rPr>
                <w:rFonts w:ascii="Arial" w:cs="Arial" w:eastAsia="Arial" w:hAnsi="Arial"/>
                <w:sz w:val="13"/>
                <w:szCs w:val="13"/>
                <w:color w:val="4B4B4B"/>
                <w:w w:val="96"/>
              </w:rPr>
              <w:t>2,321,156</w:t>
            </w:r>
          </w:p>
        </w:tc>
        <w:tc>
          <w:tcPr>
            <w:tcW w:w="1140" w:type="dxa"/>
            <w:vAlign w:val="bottom"/>
          </w:tcPr>
          <w:p>
            <w:pPr>
              <w:jc w:val="center"/>
              <w:spacing w:after="0"/>
              <w:rPr>
                <w:sz w:val="20"/>
                <w:szCs w:val="20"/>
                <w:color w:val="auto"/>
              </w:rPr>
            </w:pPr>
            <w:r>
              <w:rPr>
                <w:rFonts w:ascii="Arial" w:cs="Arial" w:eastAsia="Arial" w:hAnsi="Arial"/>
                <w:sz w:val="13"/>
                <w:szCs w:val="13"/>
                <w:color w:val="4B4B4B"/>
                <w:w w:val="91"/>
              </w:rPr>
              <w:t>—</w:t>
            </w:r>
          </w:p>
        </w:tc>
        <w:tc>
          <w:tcPr>
            <w:tcW w:w="1160" w:type="dxa"/>
            <w:vAlign w:val="bottom"/>
          </w:tcPr>
          <w:p>
            <w:pPr>
              <w:jc w:val="center"/>
              <w:spacing w:after="0"/>
              <w:rPr>
                <w:sz w:val="20"/>
                <w:szCs w:val="20"/>
                <w:color w:val="auto"/>
              </w:rPr>
            </w:pPr>
            <w:r>
              <w:rPr>
                <w:rFonts w:ascii="Arial" w:cs="Arial" w:eastAsia="Arial" w:hAnsi="Arial"/>
                <w:sz w:val="13"/>
                <w:szCs w:val="13"/>
                <w:color w:val="4B4B4B"/>
                <w:w w:val="9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714057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0575"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-183515</wp:posOffset>
            </wp:positionV>
            <wp:extent cx="714057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0575"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-337820</wp:posOffset>
            </wp:positionV>
            <wp:extent cx="714057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0575"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-492125</wp:posOffset>
            </wp:positionV>
            <wp:extent cx="714057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0575"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-646430</wp:posOffset>
            </wp:positionV>
            <wp:extent cx="714057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0575"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-800735</wp:posOffset>
            </wp:positionV>
            <wp:extent cx="714057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0575"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-955040</wp:posOffset>
            </wp:positionV>
            <wp:extent cx="714057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0575"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-1109345</wp:posOffset>
            </wp:positionV>
            <wp:extent cx="714057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0575"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-1263650</wp:posOffset>
            </wp:positionV>
            <wp:extent cx="714057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0575"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-1417955</wp:posOffset>
            </wp:positionV>
            <wp:extent cx="714057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0575" cy="4254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FAFAF"/>
        </w:rPr>
        <w:t>__________________</w:t>
      </w:r>
    </w:p>
    <w:p>
      <w:pPr>
        <w:spacing w:after="0" w:line="19" w:lineRule="exact"/>
        <w:rPr>
          <w:sz w:val="20"/>
          <w:szCs w:val="20"/>
          <w:color w:val="auto"/>
        </w:rPr>
      </w:pPr>
    </w:p>
    <w:p>
      <w:pPr>
        <w:ind w:left="340" w:hanging="332"/>
        <w:spacing w:after="0" w:line="258" w:lineRule="auto"/>
        <w:tabs>
          <w:tab w:leader="none" w:pos="340" w:val="left"/>
        </w:tabs>
        <w:numPr>
          <w:ilvl w:val="0"/>
          <w:numId w:val="20"/>
        </w:numPr>
        <w:rPr>
          <w:rFonts w:ascii="Arial" w:cs="Arial" w:eastAsia="Arial" w:hAnsi="Arial"/>
          <w:sz w:val="14"/>
          <w:szCs w:val="14"/>
          <w:b w:val="1"/>
          <w:bCs w:val="1"/>
          <w:color w:val="AFAFAF"/>
        </w:rPr>
      </w:pPr>
      <w:r>
        <w:rPr>
          <w:rFonts w:ascii="Arial" w:cs="Arial" w:eastAsia="Arial" w:hAnsi="Arial"/>
          <w:sz w:val="14"/>
          <w:szCs w:val="14"/>
          <w:b w:val="1"/>
          <w:bCs w:val="1"/>
          <w:color w:val="AFAFAF"/>
        </w:rPr>
        <w:t>Amounts are calculated by multiplying the number of shares shown in the table by $106.11 , the closing price of our Class A common stock as of December 31, 2021.</w:t>
      </w:r>
    </w:p>
    <w:p>
      <w:pPr>
        <w:spacing w:after="0" w:line="121" w:lineRule="exact"/>
        <w:rPr>
          <w:rFonts w:ascii="Arial" w:cs="Arial" w:eastAsia="Arial" w:hAnsi="Arial"/>
          <w:sz w:val="14"/>
          <w:szCs w:val="14"/>
          <w:b w:val="1"/>
          <w:bCs w:val="1"/>
          <w:color w:val="AFAFAF"/>
        </w:rPr>
      </w:pPr>
    </w:p>
    <w:p>
      <w:pPr>
        <w:ind w:left="340" w:right="220" w:hanging="332"/>
        <w:spacing w:after="0" w:line="252" w:lineRule="auto"/>
        <w:tabs>
          <w:tab w:leader="none" w:pos="340" w:val="left"/>
        </w:tabs>
        <w:numPr>
          <w:ilvl w:val="0"/>
          <w:numId w:val="20"/>
        </w:numPr>
        <w:rPr>
          <w:rFonts w:ascii="Arial" w:cs="Arial" w:eastAsia="Arial" w:hAnsi="Arial"/>
          <w:sz w:val="14"/>
          <w:szCs w:val="14"/>
          <w:b w:val="1"/>
          <w:bCs w:val="1"/>
          <w:color w:val="AFAFAF"/>
        </w:rPr>
      </w:pPr>
      <w:r>
        <w:rPr>
          <w:rFonts w:ascii="Arial" w:cs="Arial" w:eastAsia="Arial" w:hAnsi="Arial"/>
          <w:sz w:val="14"/>
          <w:szCs w:val="14"/>
          <w:b w:val="1"/>
          <w:bCs w:val="1"/>
          <w:color w:val="AFAFAF"/>
        </w:rPr>
        <w:t>The option vests and becomes exercisable in 48 monthly installments following the vesting commencement date, subject to the named executive officer’s continuing to provide services to us through the applicable vesting date. Upon the IPO in July 2021, the vesting of each option accelerated in respect of the lessor of (A) 60% of the total number of shares subject to the option, or (B) the number of then unvested shares subject to the options. Additionally, if within twelve months immediately following a change in control, Drs. von Ahn’s or Hacker’s service is terminated by us without cause or by them for good reason, then 100% of the shares subject to each option held by them will vest and be exercisable, subject to the delivery of a release of claims in favor of us.</w:t>
      </w:r>
    </w:p>
    <w:p>
      <w:pPr>
        <w:spacing w:after="0" w:line="207" w:lineRule="exact"/>
        <w:rPr>
          <w:rFonts w:ascii="Arial" w:cs="Arial" w:eastAsia="Arial" w:hAnsi="Arial"/>
          <w:sz w:val="14"/>
          <w:szCs w:val="14"/>
          <w:b w:val="1"/>
          <w:bCs w:val="1"/>
          <w:color w:val="AFAFAF"/>
        </w:rPr>
      </w:pPr>
    </w:p>
    <w:p>
      <w:pPr>
        <w:ind w:left="340" w:hanging="332"/>
        <w:spacing w:after="0" w:line="247" w:lineRule="auto"/>
        <w:tabs>
          <w:tab w:leader="none" w:pos="340" w:val="left"/>
        </w:tabs>
        <w:numPr>
          <w:ilvl w:val="0"/>
          <w:numId w:val="20"/>
        </w:numPr>
        <w:rPr>
          <w:rFonts w:ascii="Arial" w:cs="Arial" w:eastAsia="Arial" w:hAnsi="Arial"/>
          <w:sz w:val="14"/>
          <w:szCs w:val="14"/>
          <w:b w:val="1"/>
          <w:bCs w:val="1"/>
          <w:color w:val="AFAFAF"/>
        </w:rPr>
      </w:pPr>
      <w:r>
        <w:rPr>
          <w:rFonts w:ascii="Arial" w:cs="Arial" w:eastAsia="Arial" w:hAnsi="Arial"/>
          <w:sz w:val="14"/>
          <w:szCs w:val="14"/>
          <w:b w:val="1"/>
          <w:bCs w:val="1"/>
          <w:color w:val="AFAFAF"/>
        </w:rPr>
        <w:t>Represents the multi-year PSU awards described above under “Special Multi-Year Performance-Based Founder Awards.” The PSUs vest upon the satisfaction of both a service-based condition and a performance-based condition and generally are settled one year after vesting. The service-based condition is satisfied as to 25% of the PSUs on each anniversary of the completion of our initial public offering, subject to Dr. von Ahn and Dr. Hacker continuing to serve as our Chief Executive Officer and Chief Technology Officer, respectively, through the applicable date. The performance-based condition is satisfied in ten tranches based on the achievement of ten stock price hurdles measured based on a trailing 60 day average closing trading price for our Class A common stock during a ten-year performance period. As of December 31, 2021, performance for the first two tranches of the stock price hurdles had been achieved, but no portion of the PSUs had vested because the service-based condition had not yet been satisfied in respect of any PSUs. For additional details on the vesting of the awards, see “Special Multi-Year Performance-Based Founder Awards” above.</w:t>
      </w:r>
    </w:p>
    <w:p>
      <w:pPr>
        <w:spacing w:after="0" w:line="213" w:lineRule="exact"/>
        <w:rPr>
          <w:rFonts w:ascii="Arial" w:cs="Arial" w:eastAsia="Arial" w:hAnsi="Arial"/>
          <w:sz w:val="14"/>
          <w:szCs w:val="14"/>
          <w:b w:val="1"/>
          <w:bCs w:val="1"/>
          <w:color w:val="AFAFAF"/>
        </w:rPr>
      </w:pPr>
    </w:p>
    <w:p>
      <w:pPr>
        <w:ind w:left="340" w:right="60" w:hanging="332"/>
        <w:spacing w:after="0" w:line="252" w:lineRule="auto"/>
        <w:tabs>
          <w:tab w:leader="none" w:pos="340" w:val="left"/>
        </w:tabs>
        <w:numPr>
          <w:ilvl w:val="0"/>
          <w:numId w:val="20"/>
        </w:numPr>
        <w:rPr>
          <w:rFonts w:ascii="Arial" w:cs="Arial" w:eastAsia="Arial" w:hAnsi="Arial"/>
          <w:sz w:val="14"/>
          <w:szCs w:val="14"/>
          <w:b w:val="1"/>
          <w:bCs w:val="1"/>
          <w:color w:val="AFAFAF"/>
        </w:rPr>
      </w:pPr>
      <w:r>
        <w:rPr>
          <w:rFonts w:ascii="Arial" w:cs="Arial" w:eastAsia="Arial" w:hAnsi="Arial"/>
          <w:sz w:val="14"/>
          <w:szCs w:val="14"/>
          <w:b w:val="1"/>
          <w:bCs w:val="1"/>
          <w:color w:val="AFAFAF"/>
        </w:rPr>
        <w:t>The option grant vested as to 25% of the shares underlying the option on the first anniversary of the vesting commencement date and will continue to vest as to 1/48th of the shares underlying the option each month thereafter, subject to the executive continuing to provide services to us through the applicable vesting date. If the executive’s employment with us is terminated by us without cause or by Mr. Skaruppa for good reason within the period commencing three months prior to a change in control and ending twelve months after the change in control, then the vesting and exercisability of the option will accelerate in respect of 100% of the shares subject to the option.</w:t>
      </w:r>
    </w:p>
    <w:p>
      <w:pPr>
        <w:spacing w:after="0" w:line="207" w:lineRule="exact"/>
        <w:rPr>
          <w:rFonts w:ascii="Arial" w:cs="Arial" w:eastAsia="Arial" w:hAnsi="Arial"/>
          <w:sz w:val="14"/>
          <w:szCs w:val="14"/>
          <w:b w:val="1"/>
          <w:bCs w:val="1"/>
          <w:color w:val="AFAFAF"/>
        </w:rPr>
      </w:pPr>
    </w:p>
    <w:p>
      <w:pPr>
        <w:ind w:left="340" w:right="340" w:hanging="332"/>
        <w:spacing w:after="0" w:line="263" w:lineRule="auto"/>
        <w:tabs>
          <w:tab w:leader="none" w:pos="340" w:val="left"/>
        </w:tabs>
        <w:numPr>
          <w:ilvl w:val="0"/>
          <w:numId w:val="20"/>
        </w:numPr>
        <w:rPr>
          <w:rFonts w:ascii="Arial" w:cs="Arial" w:eastAsia="Arial" w:hAnsi="Arial"/>
          <w:sz w:val="14"/>
          <w:szCs w:val="14"/>
          <w:b w:val="1"/>
          <w:bCs w:val="1"/>
          <w:color w:val="AFAFAF"/>
        </w:rPr>
      </w:pPr>
      <w:r>
        <w:rPr>
          <w:rFonts w:ascii="Arial" w:cs="Arial" w:eastAsia="Arial" w:hAnsi="Arial"/>
          <w:sz w:val="14"/>
          <w:szCs w:val="14"/>
          <w:b w:val="1"/>
          <w:bCs w:val="1"/>
          <w:color w:val="AFAFAF"/>
        </w:rPr>
        <w:t>The RSUs vest based on the satisfaction of a service-based requirement and a liquidity event requirement within the term of the RSUs. Subject to the executive’s continued service to us, the service-based requirement is satisfied as to 6.25% of the RSUs beginning on the vesting commencement date and each quarter thereafter. The liquidity event requirement was satisfied in connection with our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1069340</wp:posOffset>
            </wp:positionV>
            <wp:extent cx="71062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33</w:t>
            </w:r>
          </w:p>
        </w:tc>
      </w:tr>
    </w:tbl>
    <w:p>
      <w:pPr>
        <w:sectPr>
          <w:pgSz w:w="11900" w:h="16838" w:orient="portrait"/>
          <w:cols w:equalWidth="0" w:num="1">
            <w:col w:w="11220"/>
          </w:cols>
          <w:pgMar w:left="320" w:top="1368"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777777"/>
        </w:rPr>
        <w:t>Executive Compensation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777777"/>
        </w:rPr>
        <w:t>Offer Letters</w:t>
      </w:r>
    </w:p>
    <w:p>
      <w:pPr>
        <w:spacing w:after="0" w:line="15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4B4B4B"/>
        </w:rPr>
        <w:t>We have entered into offer letters with each of our named executed officers. Each offer letter sets forth the title, base salary, and initial equity award for the executive and summarizes the other terms and conditions applicable to the executive’s employment with us. Additionally, each of our named executive officers has entered into a proprietary information and invention assignment agreement with us.</w:t>
      </w:r>
    </w:p>
    <w:p>
      <w:pPr>
        <w:spacing w:after="0" w:line="149" w:lineRule="exact"/>
        <w:rPr>
          <w:sz w:val="20"/>
          <w:szCs w:val="20"/>
          <w:color w:val="auto"/>
        </w:rPr>
      </w:pPr>
    </w:p>
    <w:p>
      <w:pPr>
        <w:jc w:val="both"/>
        <w:ind w:right="540"/>
        <w:spacing w:after="0" w:line="271" w:lineRule="auto"/>
        <w:rPr>
          <w:sz w:val="20"/>
          <w:szCs w:val="20"/>
          <w:color w:val="auto"/>
        </w:rPr>
      </w:pPr>
      <w:r>
        <w:rPr>
          <w:rFonts w:ascii="Arial" w:cs="Arial" w:eastAsia="Arial" w:hAnsi="Arial"/>
          <w:sz w:val="18"/>
          <w:szCs w:val="18"/>
          <w:color w:val="4B4B4B"/>
        </w:rPr>
        <w:t>Mr. Skaruppa’s offer letter also had provided for various benefits upon termination for cause or good reason both independently and in connection with a change in control. This arrangement was superseded in its entirety with the arrangements set forth in the severance agreement described in the next section.</w:t>
      </w:r>
    </w:p>
    <w:p>
      <w:pPr>
        <w:spacing w:after="0" w:line="126"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Severance Agreements</w:t>
      </w:r>
    </w:p>
    <w:p>
      <w:pPr>
        <w:spacing w:after="0" w:line="217"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4B4B4B"/>
        </w:rPr>
        <w:t>We have entered into change in control and severance agreements with each of our named executive officers that provide for severance benefits in connection with certain qualifying terminations. The change in control and severance agreements supersede any severance benefits set forth in an executive’s offer letter with us.</w:t>
      </w:r>
    </w:p>
    <w:p>
      <w:pPr>
        <w:spacing w:after="0" w:line="14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4B4B4B"/>
        </w:rPr>
        <w:t>In the event Drs. von Ahn or Hacker resigns for good reason or we terminate Drs. von Ahn’s or Hacker’s employment without cause (in each case to be defined in the applicable agreement), in addition to any accrued obligations, he is entitled a lump sum payment equal to 12 months of his then-current base salary as well as continued healthcare coverage under our medical plan paid or reimbursed by us for up to 12 months. In the event we terminate Mr. Skaruppa’s employment without cause, in addition to any accrued obligations, he is entitled to a lump sum payment equal to six months of this then-current base salary as well as continued healthcare coverage under our medical plan paid or reimbursed by us for up to six months. Payment of severance is contingent on the executive timely providing us with a general release of claims.</w:t>
      </w:r>
    </w:p>
    <w:p>
      <w:pPr>
        <w:spacing w:after="0" w:line="15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4B4B4B"/>
        </w:rPr>
        <w:t>In the event Drs. von Ahn or Hacker resigns for good reason or we terminate Drs. von Ahn’s or Hacker’s employment without cause, in each case, within the three month period prior to, or twelve month period following, a change in control (as defined in the applicable agreement) (the “Change in Control Protection Period”), in addition to any accrued obligations and in lieu of the severance benefits described above, he is entitled to the following benefits: (i) payment of an amount equal to 18 months of his then-current annual base salary, payable in a lump sum, (ii) payment of a pro-rated annual bonus assuming target performance and paid in a single lump sum, (iii) continued health coverage under our medical plan paid or reimbursed by us for up to 18 months, and (iv) accelerated vesting of all outstanding equity awards subject to time-based vesting provisions. In the event Mr. Skaruppa resigns for good reason or we terminate Mr. Skaruppa’s employment without cause, in each case, within the change in control Protection Period, in addition to any accrued obligations and in lieu of the severance benefits described above, he is entitled to the following benefits: (i) payment of an amount equal to 12 months of his then-current annual base salary, payable in a lump sum, (ii) payment of a pro-rated annual bonus assuming target performance and paid in a single lump sum,</w:t>
      </w:r>
    </w:p>
    <w:p>
      <w:pPr>
        <w:spacing w:after="0" w:line="1" w:lineRule="exact"/>
        <w:rPr>
          <w:sz w:val="20"/>
          <w:szCs w:val="20"/>
          <w:color w:val="auto"/>
        </w:rPr>
      </w:pPr>
    </w:p>
    <w:p>
      <w:pPr>
        <w:ind w:right="20" w:firstLine="8"/>
        <w:spacing w:after="0" w:line="271" w:lineRule="auto"/>
        <w:tabs>
          <w:tab w:leader="none" w:pos="290" w:val="left"/>
        </w:tabs>
        <w:numPr>
          <w:ilvl w:val="0"/>
          <w:numId w:val="21"/>
        </w:numPr>
        <w:rPr>
          <w:rFonts w:ascii="Arial" w:cs="Arial" w:eastAsia="Arial" w:hAnsi="Arial"/>
          <w:sz w:val="18"/>
          <w:szCs w:val="18"/>
          <w:color w:val="4B4B4B"/>
        </w:rPr>
      </w:pPr>
      <w:r>
        <w:rPr>
          <w:rFonts w:ascii="Arial" w:cs="Arial" w:eastAsia="Arial" w:hAnsi="Arial"/>
          <w:sz w:val="18"/>
          <w:szCs w:val="18"/>
          <w:color w:val="4B4B4B"/>
        </w:rPr>
        <w:t>continued health coverage under our medical plan paid or reimbursed by us for up to 12 months, and (iv) accelerated vesting of all outstanding equity awards subject to time-based vesting provisions. Payment of severance is contingent on the executive timely providing us with a general release of claims.</w:t>
      </w:r>
    </w:p>
    <w:p>
      <w:pPr>
        <w:spacing w:after="0" w:line="126"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Director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777777"/>
        </w:rPr>
        <w:t>Non-Employee Director Compensation Policy for Fiscal Year 2021</w:t>
      </w:r>
    </w:p>
    <w:p>
      <w:pPr>
        <w:spacing w:after="0" w:line="15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4B4B4B"/>
        </w:rPr>
        <w:t>The following table sets forth information for 2021 regarding the compensation awarded to, earned by or paid to the non-employee directors who served on our Board of Directors during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700405</wp:posOffset>
            </wp:positionV>
            <wp:extent cx="71062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34</w:t>
            </w:r>
          </w:p>
        </w:tc>
      </w:tr>
    </w:tbl>
    <w:p>
      <w:pPr>
        <w:sectPr>
          <w:pgSz w:w="11900" w:h="16838" w:orient="portrait"/>
          <w:cols w:equalWidth="0" w:num="1">
            <w:col w:w="11200"/>
          </w:cols>
          <w:pgMar w:left="320" w:top="1318" w:right="379" w:bottom="1440" w:gutter="0" w:footer="0" w:header="0"/>
        </w:sectPr>
      </w:pPr>
    </w:p>
    <w:bookmarkStart w:id="39" w:name="page40"/>
    <w:bookmarkEnd w:id="39"/>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700" w:type="dxa"/>
            <w:vAlign w:val="bottom"/>
            <w:shd w:val="clear" w:color="auto" w:fill="F7F7F7"/>
          </w:tcPr>
          <w:p>
            <w:pPr>
              <w:spacing w:after="0"/>
              <w:rPr>
                <w:sz w:val="18"/>
                <w:szCs w:val="18"/>
                <w:color w:val="auto"/>
              </w:rPr>
            </w:pPr>
          </w:p>
        </w:tc>
        <w:tc>
          <w:tcPr>
            <w:tcW w:w="2600" w:type="dxa"/>
            <w:vAlign w:val="bottom"/>
            <w:shd w:val="clear" w:color="auto" w:fill="F7F7F7"/>
          </w:tcPr>
          <w:p>
            <w:pPr>
              <w:ind w:left="1300"/>
              <w:spacing w:after="0"/>
              <w:rPr>
                <w:sz w:val="20"/>
                <w:szCs w:val="20"/>
                <w:color w:val="auto"/>
              </w:rPr>
            </w:pPr>
            <w:r>
              <w:rPr>
                <w:rFonts w:ascii="Arial" w:cs="Arial" w:eastAsia="Arial" w:hAnsi="Arial"/>
                <w:sz w:val="16"/>
                <w:szCs w:val="16"/>
                <w:b w:val="1"/>
                <w:bCs w:val="1"/>
                <w:color w:val="4B4B4B"/>
              </w:rPr>
              <w:t>Fees Earned or</w:t>
            </w:r>
          </w:p>
        </w:tc>
        <w:tc>
          <w:tcPr>
            <w:tcW w:w="1480" w:type="dxa"/>
            <w:vAlign w:val="bottom"/>
            <w:shd w:val="clear" w:color="auto" w:fill="F7F7F7"/>
          </w:tcPr>
          <w:p>
            <w:pPr>
              <w:ind w:left="100"/>
              <w:spacing w:after="0"/>
              <w:rPr>
                <w:sz w:val="20"/>
                <w:szCs w:val="20"/>
                <w:color w:val="auto"/>
              </w:rPr>
            </w:pPr>
            <w:r>
              <w:rPr>
                <w:rFonts w:ascii="Arial" w:cs="Arial" w:eastAsia="Arial" w:hAnsi="Arial"/>
                <w:sz w:val="16"/>
                <w:szCs w:val="16"/>
                <w:b w:val="1"/>
                <w:bCs w:val="1"/>
                <w:color w:val="4B4B4B"/>
              </w:rPr>
              <w:t>Stock Awards ($)</w:t>
            </w:r>
          </w:p>
        </w:tc>
        <w:tc>
          <w:tcPr>
            <w:tcW w:w="1500" w:type="dxa"/>
            <w:vAlign w:val="bottom"/>
            <w:shd w:val="clear" w:color="auto" w:fill="F7F7F7"/>
          </w:tcPr>
          <w:p>
            <w:pPr>
              <w:ind w:left="60"/>
              <w:spacing w:after="0"/>
              <w:rPr>
                <w:sz w:val="20"/>
                <w:szCs w:val="20"/>
                <w:color w:val="auto"/>
              </w:rPr>
            </w:pPr>
            <w:r>
              <w:rPr>
                <w:rFonts w:ascii="Arial" w:cs="Arial" w:eastAsia="Arial" w:hAnsi="Arial"/>
                <w:sz w:val="16"/>
                <w:szCs w:val="16"/>
                <w:b w:val="1"/>
                <w:bCs w:val="1"/>
                <w:color w:val="4B4B4B"/>
              </w:rPr>
              <w:t>Option Awards ($)</w:t>
            </w:r>
          </w:p>
        </w:tc>
        <w:tc>
          <w:tcPr>
            <w:tcW w:w="1620" w:type="dxa"/>
            <w:vAlign w:val="bottom"/>
            <w:shd w:val="clear" w:color="auto" w:fill="F7F7F7"/>
          </w:tcPr>
          <w:p>
            <w:pPr>
              <w:jc w:val="center"/>
              <w:ind w:right="99"/>
              <w:spacing w:after="0"/>
              <w:rPr>
                <w:sz w:val="20"/>
                <w:szCs w:val="20"/>
                <w:color w:val="auto"/>
              </w:rPr>
            </w:pPr>
            <w:r>
              <w:rPr>
                <w:rFonts w:ascii="Arial" w:cs="Arial" w:eastAsia="Arial" w:hAnsi="Arial"/>
                <w:sz w:val="16"/>
                <w:szCs w:val="16"/>
                <w:b w:val="1"/>
                <w:bCs w:val="1"/>
                <w:color w:val="4B4B4B"/>
              </w:rPr>
              <w:t>All Other</w:t>
            </w:r>
          </w:p>
        </w:tc>
        <w:tc>
          <w:tcPr>
            <w:tcW w:w="1320" w:type="dxa"/>
            <w:vAlign w:val="bottom"/>
            <w:shd w:val="clear" w:color="auto" w:fill="F7F7F7"/>
          </w:tcPr>
          <w:p>
            <w:pPr>
              <w:spacing w:after="0"/>
              <w:rPr>
                <w:sz w:val="18"/>
                <w:szCs w:val="18"/>
                <w:color w:val="auto"/>
              </w:rPr>
            </w:pPr>
          </w:p>
        </w:tc>
      </w:tr>
      <w:tr>
        <w:trPr>
          <w:trHeight w:val="228"/>
        </w:trPr>
        <w:tc>
          <w:tcPr>
            <w:tcW w:w="2700" w:type="dxa"/>
            <w:vAlign w:val="bottom"/>
            <w:tcBorders>
              <w:bottom w:val="single" w:sz="8" w:color="F7F7F7"/>
            </w:tcBorders>
            <w:shd w:val="clear" w:color="auto" w:fill="F7F7F7"/>
          </w:tcPr>
          <w:p>
            <w:pPr>
              <w:ind w:left="180"/>
              <w:spacing w:after="0"/>
              <w:rPr>
                <w:sz w:val="20"/>
                <w:szCs w:val="20"/>
                <w:color w:val="auto"/>
              </w:rPr>
            </w:pPr>
            <w:r>
              <w:rPr>
                <w:rFonts w:ascii="Arial" w:cs="Arial" w:eastAsia="Arial" w:hAnsi="Arial"/>
                <w:sz w:val="16"/>
                <w:szCs w:val="16"/>
                <w:b w:val="1"/>
                <w:bCs w:val="1"/>
                <w:color w:val="4B4B4B"/>
              </w:rPr>
              <w:t>Name</w:t>
            </w:r>
          </w:p>
        </w:tc>
        <w:tc>
          <w:tcPr>
            <w:tcW w:w="2600" w:type="dxa"/>
            <w:vAlign w:val="bottom"/>
            <w:tcBorders>
              <w:bottom w:val="single" w:sz="8" w:color="F7F7F7"/>
            </w:tcBorders>
            <w:shd w:val="clear" w:color="auto" w:fill="F7F7F7"/>
          </w:tcPr>
          <w:p>
            <w:pPr>
              <w:ind w:left="1280"/>
              <w:spacing w:after="0"/>
              <w:rPr>
                <w:sz w:val="20"/>
                <w:szCs w:val="20"/>
                <w:color w:val="auto"/>
              </w:rPr>
            </w:pPr>
            <w:r>
              <w:rPr>
                <w:rFonts w:ascii="Arial" w:cs="Arial" w:eastAsia="Arial" w:hAnsi="Arial"/>
                <w:sz w:val="16"/>
                <w:szCs w:val="16"/>
                <w:b w:val="1"/>
                <w:bCs w:val="1"/>
                <w:color w:val="4B4B4B"/>
              </w:rPr>
              <w:t>Paid in Cash ($)</w:t>
            </w:r>
          </w:p>
        </w:tc>
        <w:tc>
          <w:tcPr>
            <w:tcW w:w="148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6"/>
                <w:szCs w:val="16"/>
                <w:b w:val="1"/>
                <w:bCs w:val="1"/>
                <w:color w:val="4B4B4B"/>
              </w:rPr>
              <w:t>(1)</w:t>
            </w:r>
          </w:p>
        </w:tc>
        <w:tc>
          <w:tcPr>
            <w:tcW w:w="150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6"/>
                <w:szCs w:val="16"/>
                <w:b w:val="1"/>
                <w:bCs w:val="1"/>
                <w:color w:val="4B4B4B"/>
              </w:rPr>
              <w:t>(1)</w:t>
            </w:r>
          </w:p>
        </w:tc>
        <w:tc>
          <w:tcPr>
            <w:tcW w:w="1620" w:type="dxa"/>
            <w:vAlign w:val="bottom"/>
            <w:tcBorders>
              <w:bottom w:val="single" w:sz="8" w:color="F7F7F7"/>
            </w:tcBorders>
            <w:shd w:val="clear" w:color="auto" w:fill="F7F7F7"/>
          </w:tcPr>
          <w:p>
            <w:pPr>
              <w:jc w:val="center"/>
              <w:ind w:right="79"/>
              <w:spacing w:after="0"/>
              <w:rPr>
                <w:sz w:val="20"/>
                <w:szCs w:val="20"/>
                <w:color w:val="auto"/>
              </w:rPr>
            </w:pPr>
            <w:r>
              <w:rPr>
                <w:rFonts w:ascii="Arial" w:cs="Arial" w:eastAsia="Arial" w:hAnsi="Arial"/>
                <w:sz w:val="16"/>
                <w:szCs w:val="16"/>
                <w:b w:val="1"/>
                <w:bCs w:val="1"/>
                <w:color w:val="4B4B4B"/>
              </w:rPr>
              <w:t>Compensation ($)</w:t>
            </w:r>
          </w:p>
        </w:tc>
        <w:tc>
          <w:tcPr>
            <w:tcW w:w="1320" w:type="dxa"/>
            <w:vAlign w:val="bottom"/>
            <w:tcBorders>
              <w:bottom w:val="single" w:sz="8" w:color="F7F7F7"/>
            </w:tcBorders>
            <w:shd w:val="clear" w:color="auto" w:fill="F7F7F7"/>
          </w:tcPr>
          <w:p>
            <w:pPr>
              <w:ind w:left="260"/>
              <w:spacing w:after="0"/>
              <w:rPr>
                <w:sz w:val="20"/>
                <w:szCs w:val="20"/>
                <w:color w:val="auto"/>
              </w:rPr>
            </w:pPr>
            <w:r>
              <w:rPr>
                <w:rFonts w:ascii="Arial" w:cs="Arial" w:eastAsia="Arial" w:hAnsi="Arial"/>
                <w:sz w:val="16"/>
                <w:szCs w:val="16"/>
                <w:b w:val="1"/>
                <w:bCs w:val="1"/>
                <w:color w:val="4B4B4B"/>
              </w:rPr>
              <w:t>Total ($)</w:t>
            </w:r>
          </w:p>
        </w:tc>
      </w:tr>
      <w:tr>
        <w:trPr>
          <w:trHeight w:val="224"/>
        </w:trPr>
        <w:tc>
          <w:tcPr>
            <w:tcW w:w="2700" w:type="dxa"/>
            <w:vAlign w:val="bottom"/>
          </w:tcPr>
          <w:p>
            <w:pPr>
              <w:ind w:left="180"/>
              <w:spacing w:after="0"/>
              <w:rPr>
                <w:sz w:val="20"/>
                <w:szCs w:val="20"/>
                <w:color w:val="auto"/>
              </w:rPr>
            </w:pPr>
            <w:r>
              <w:rPr>
                <w:rFonts w:ascii="Arial" w:cs="Arial" w:eastAsia="Arial" w:hAnsi="Arial"/>
                <w:sz w:val="16"/>
                <w:szCs w:val="16"/>
                <w:color w:val="4B4B4B"/>
              </w:rPr>
              <w:t>Amy Bohutinsky</w:t>
            </w:r>
          </w:p>
        </w:tc>
        <w:tc>
          <w:tcPr>
            <w:tcW w:w="2600" w:type="dxa"/>
            <w:vAlign w:val="bottom"/>
          </w:tcPr>
          <w:p>
            <w:pPr>
              <w:jc w:val="center"/>
              <w:ind w:left="1099"/>
              <w:spacing w:after="0"/>
              <w:rPr>
                <w:sz w:val="20"/>
                <w:szCs w:val="20"/>
                <w:color w:val="auto"/>
              </w:rPr>
            </w:pPr>
            <w:r>
              <w:rPr>
                <w:rFonts w:ascii="Arial" w:cs="Arial" w:eastAsia="Arial" w:hAnsi="Arial"/>
                <w:sz w:val="16"/>
                <w:szCs w:val="16"/>
                <w:color w:val="4B4B4B"/>
              </w:rPr>
              <w:t>18,926</w:t>
            </w:r>
          </w:p>
        </w:tc>
        <w:tc>
          <w:tcPr>
            <w:tcW w:w="1480" w:type="dxa"/>
            <w:vAlign w:val="bottom"/>
          </w:tcPr>
          <w:p>
            <w:pPr>
              <w:jc w:val="center"/>
              <w:spacing w:after="0"/>
              <w:rPr>
                <w:sz w:val="20"/>
                <w:szCs w:val="20"/>
                <w:color w:val="auto"/>
              </w:rPr>
            </w:pPr>
            <w:r>
              <w:rPr>
                <w:rFonts w:ascii="Arial" w:cs="Arial" w:eastAsia="Arial" w:hAnsi="Arial"/>
                <w:sz w:val="16"/>
                <w:szCs w:val="16"/>
                <w:color w:val="4B4B4B"/>
              </w:rPr>
              <w:t>159,974</w:t>
            </w:r>
          </w:p>
        </w:tc>
        <w:tc>
          <w:tcPr>
            <w:tcW w:w="150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620" w:type="dxa"/>
            <w:vAlign w:val="bottom"/>
          </w:tcPr>
          <w:p>
            <w:pPr>
              <w:jc w:val="center"/>
              <w:ind w:right="99"/>
              <w:spacing w:after="0"/>
              <w:rPr>
                <w:sz w:val="20"/>
                <w:szCs w:val="20"/>
                <w:color w:val="auto"/>
              </w:rPr>
            </w:pPr>
            <w:r>
              <w:rPr>
                <w:rFonts w:ascii="Arial" w:cs="Arial" w:eastAsia="Arial" w:hAnsi="Arial"/>
                <w:sz w:val="16"/>
                <w:szCs w:val="16"/>
                <w:color w:val="4B4B4B"/>
                <w:w w:val="99"/>
              </w:rPr>
              <w:t>—</w:t>
            </w:r>
          </w:p>
        </w:tc>
        <w:tc>
          <w:tcPr>
            <w:tcW w:w="1320" w:type="dxa"/>
            <w:vAlign w:val="bottom"/>
          </w:tcPr>
          <w:p>
            <w:pPr>
              <w:jc w:val="center"/>
              <w:ind w:right="79"/>
              <w:spacing w:after="0"/>
              <w:rPr>
                <w:sz w:val="20"/>
                <w:szCs w:val="20"/>
                <w:color w:val="auto"/>
              </w:rPr>
            </w:pPr>
            <w:r>
              <w:rPr>
                <w:rFonts w:ascii="Arial" w:cs="Arial" w:eastAsia="Arial" w:hAnsi="Arial"/>
                <w:sz w:val="16"/>
                <w:szCs w:val="16"/>
                <w:color w:val="4B4B4B"/>
              </w:rPr>
              <w:t>178,900</w:t>
            </w:r>
          </w:p>
        </w:tc>
      </w:tr>
      <w:tr>
        <w:trPr>
          <w:trHeight w:val="283"/>
        </w:trPr>
        <w:tc>
          <w:tcPr>
            <w:tcW w:w="2700" w:type="dxa"/>
            <w:vAlign w:val="bottom"/>
          </w:tcPr>
          <w:p>
            <w:pPr>
              <w:ind w:left="180"/>
              <w:spacing w:after="0"/>
              <w:rPr>
                <w:sz w:val="20"/>
                <w:szCs w:val="20"/>
                <w:color w:val="auto"/>
              </w:rPr>
            </w:pPr>
            <w:r>
              <w:rPr>
                <w:rFonts w:ascii="Arial" w:cs="Arial" w:eastAsia="Arial" w:hAnsi="Arial"/>
                <w:sz w:val="16"/>
                <w:szCs w:val="16"/>
                <w:color w:val="4B4B4B"/>
              </w:rPr>
              <w:t>Sara Clemens</w:t>
            </w:r>
          </w:p>
        </w:tc>
        <w:tc>
          <w:tcPr>
            <w:tcW w:w="2600" w:type="dxa"/>
            <w:vAlign w:val="bottom"/>
          </w:tcPr>
          <w:p>
            <w:pPr>
              <w:jc w:val="center"/>
              <w:ind w:left="1099"/>
              <w:spacing w:after="0"/>
              <w:rPr>
                <w:sz w:val="20"/>
                <w:szCs w:val="20"/>
                <w:color w:val="auto"/>
              </w:rPr>
            </w:pPr>
            <w:r>
              <w:rPr>
                <w:rFonts w:ascii="Arial" w:cs="Arial" w:eastAsia="Arial" w:hAnsi="Arial"/>
                <w:sz w:val="16"/>
                <w:szCs w:val="16"/>
                <w:color w:val="4B4B4B"/>
              </w:rPr>
              <w:t>18,926</w:t>
            </w:r>
          </w:p>
        </w:tc>
        <w:tc>
          <w:tcPr>
            <w:tcW w:w="1480" w:type="dxa"/>
            <w:vAlign w:val="bottom"/>
          </w:tcPr>
          <w:p>
            <w:pPr>
              <w:jc w:val="center"/>
              <w:spacing w:after="0"/>
              <w:rPr>
                <w:sz w:val="20"/>
                <w:szCs w:val="20"/>
                <w:color w:val="auto"/>
              </w:rPr>
            </w:pPr>
            <w:r>
              <w:rPr>
                <w:rFonts w:ascii="Arial" w:cs="Arial" w:eastAsia="Arial" w:hAnsi="Arial"/>
                <w:sz w:val="16"/>
                <w:szCs w:val="16"/>
                <w:color w:val="4B4B4B"/>
              </w:rPr>
              <w:t>159,974</w:t>
            </w:r>
          </w:p>
        </w:tc>
        <w:tc>
          <w:tcPr>
            <w:tcW w:w="150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620" w:type="dxa"/>
            <w:vAlign w:val="bottom"/>
          </w:tcPr>
          <w:p>
            <w:pPr>
              <w:jc w:val="center"/>
              <w:ind w:right="99"/>
              <w:spacing w:after="0"/>
              <w:rPr>
                <w:sz w:val="20"/>
                <w:szCs w:val="20"/>
                <w:color w:val="auto"/>
              </w:rPr>
            </w:pPr>
            <w:r>
              <w:rPr>
                <w:rFonts w:ascii="Arial" w:cs="Arial" w:eastAsia="Arial" w:hAnsi="Arial"/>
                <w:sz w:val="16"/>
                <w:szCs w:val="16"/>
                <w:color w:val="4B4B4B"/>
                <w:w w:val="99"/>
              </w:rPr>
              <w:t>—</w:t>
            </w:r>
          </w:p>
        </w:tc>
        <w:tc>
          <w:tcPr>
            <w:tcW w:w="1320" w:type="dxa"/>
            <w:vAlign w:val="bottom"/>
          </w:tcPr>
          <w:p>
            <w:pPr>
              <w:jc w:val="center"/>
              <w:ind w:right="79"/>
              <w:spacing w:after="0"/>
              <w:rPr>
                <w:sz w:val="20"/>
                <w:szCs w:val="20"/>
                <w:color w:val="auto"/>
              </w:rPr>
            </w:pPr>
            <w:r>
              <w:rPr>
                <w:rFonts w:ascii="Arial" w:cs="Arial" w:eastAsia="Arial" w:hAnsi="Arial"/>
                <w:sz w:val="16"/>
                <w:szCs w:val="16"/>
                <w:color w:val="4B4B4B"/>
              </w:rPr>
              <w:t>178,900</w:t>
            </w:r>
          </w:p>
        </w:tc>
      </w:tr>
      <w:tr>
        <w:trPr>
          <w:trHeight w:val="283"/>
        </w:trPr>
        <w:tc>
          <w:tcPr>
            <w:tcW w:w="2700" w:type="dxa"/>
            <w:vAlign w:val="bottom"/>
          </w:tcPr>
          <w:p>
            <w:pPr>
              <w:ind w:left="180"/>
              <w:spacing w:after="0"/>
              <w:rPr>
                <w:sz w:val="20"/>
                <w:szCs w:val="20"/>
                <w:color w:val="auto"/>
              </w:rPr>
            </w:pPr>
            <w:r>
              <w:rPr>
                <w:rFonts w:ascii="Arial" w:cs="Arial" w:eastAsia="Arial" w:hAnsi="Arial"/>
                <w:sz w:val="16"/>
                <w:szCs w:val="16"/>
                <w:color w:val="4B4B4B"/>
              </w:rPr>
              <w:t>Bing Gordon</w:t>
            </w:r>
          </w:p>
        </w:tc>
        <w:tc>
          <w:tcPr>
            <w:tcW w:w="2600" w:type="dxa"/>
            <w:vAlign w:val="bottom"/>
          </w:tcPr>
          <w:p>
            <w:pPr>
              <w:jc w:val="center"/>
              <w:ind w:left="1099"/>
              <w:spacing w:after="0"/>
              <w:rPr>
                <w:sz w:val="20"/>
                <w:szCs w:val="20"/>
                <w:color w:val="auto"/>
              </w:rPr>
            </w:pPr>
            <w:r>
              <w:rPr>
                <w:rFonts w:ascii="Arial" w:cs="Arial" w:eastAsia="Arial" w:hAnsi="Arial"/>
                <w:sz w:val="16"/>
                <w:szCs w:val="16"/>
                <w:color w:val="4B4B4B"/>
              </w:rPr>
              <w:t>18,065</w:t>
            </w:r>
          </w:p>
        </w:tc>
        <w:tc>
          <w:tcPr>
            <w:tcW w:w="1480" w:type="dxa"/>
            <w:vAlign w:val="bottom"/>
          </w:tcPr>
          <w:p>
            <w:pPr>
              <w:jc w:val="center"/>
              <w:spacing w:after="0"/>
              <w:rPr>
                <w:sz w:val="20"/>
                <w:szCs w:val="20"/>
                <w:color w:val="auto"/>
              </w:rPr>
            </w:pPr>
            <w:r>
              <w:rPr>
                <w:rFonts w:ascii="Arial" w:cs="Arial" w:eastAsia="Arial" w:hAnsi="Arial"/>
                <w:sz w:val="16"/>
                <w:szCs w:val="16"/>
                <w:color w:val="4B4B4B"/>
              </w:rPr>
              <w:t>159,974</w:t>
            </w:r>
          </w:p>
        </w:tc>
        <w:tc>
          <w:tcPr>
            <w:tcW w:w="150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620" w:type="dxa"/>
            <w:vAlign w:val="bottom"/>
          </w:tcPr>
          <w:p>
            <w:pPr>
              <w:jc w:val="center"/>
              <w:ind w:right="99"/>
              <w:spacing w:after="0"/>
              <w:rPr>
                <w:sz w:val="20"/>
                <w:szCs w:val="20"/>
                <w:color w:val="auto"/>
              </w:rPr>
            </w:pPr>
            <w:r>
              <w:rPr>
                <w:rFonts w:ascii="Arial" w:cs="Arial" w:eastAsia="Arial" w:hAnsi="Arial"/>
                <w:sz w:val="16"/>
                <w:szCs w:val="16"/>
                <w:color w:val="4B4B4B"/>
                <w:w w:val="99"/>
              </w:rPr>
              <w:t>—</w:t>
            </w:r>
          </w:p>
        </w:tc>
        <w:tc>
          <w:tcPr>
            <w:tcW w:w="1320" w:type="dxa"/>
            <w:vAlign w:val="bottom"/>
          </w:tcPr>
          <w:p>
            <w:pPr>
              <w:jc w:val="center"/>
              <w:ind w:right="79"/>
              <w:spacing w:after="0"/>
              <w:rPr>
                <w:sz w:val="20"/>
                <w:szCs w:val="20"/>
                <w:color w:val="auto"/>
              </w:rPr>
            </w:pPr>
            <w:r>
              <w:rPr>
                <w:rFonts w:ascii="Arial" w:cs="Arial" w:eastAsia="Arial" w:hAnsi="Arial"/>
                <w:sz w:val="16"/>
                <w:szCs w:val="16"/>
                <w:color w:val="4B4B4B"/>
              </w:rPr>
              <w:t>178,039</w:t>
            </w:r>
          </w:p>
        </w:tc>
      </w:tr>
      <w:tr>
        <w:trPr>
          <w:trHeight w:val="283"/>
        </w:trPr>
        <w:tc>
          <w:tcPr>
            <w:tcW w:w="2700" w:type="dxa"/>
            <w:vAlign w:val="bottom"/>
          </w:tcPr>
          <w:p>
            <w:pPr>
              <w:ind w:left="180"/>
              <w:spacing w:after="0"/>
              <w:rPr>
                <w:sz w:val="20"/>
                <w:szCs w:val="20"/>
                <w:color w:val="auto"/>
              </w:rPr>
            </w:pPr>
            <w:r>
              <w:rPr>
                <w:rFonts w:ascii="Arial" w:cs="Arial" w:eastAsia="Arial" w:hAnsi="Arial"/>
                <w:sz w:val="16"/>
                <w:szCs w:val="16"/>
                <w:color w:val="4B4B4B"/>
              </w:rPr>
              <w:t>John Lilly(2)</w:t>
            </w:r>
          </w:p>
        </w:tc>
        <w:tc>
          <w:tcPr>
            <w:tcW w:w="2600" w:type="dxa"/>
            <w:vAlign w:val="bottom"/>
          </w:tcPr>
          <w:p>
            <w:pPr>
              <w:jc w:val="center"/>
              <w:ind w:left="1119"/>
              <w:spacing w:after="0"/>
              <w:rPr>
                <w:sz w:val="20"/>
                <w:szCs w:val="20"/>
                <w:color w:val="auto"/>
              </w:rPr>
            </w:pPr>
            <w:r>
              <w:rPr>
                <w:rFonts w:ascii="Arial" w:cs="Arial" w:eastAsia="Arial" w:hAnsi="Arial"/>
                <w:sz w:val="16"/>
                <w:szCs w:val="16"/>
                <w:color w:val="4B4B4B"/>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4B4B4B"/>
              </w:rPr>
              <w:t>300,015</w:t>
            </w:r>
          </w:p>
        </w:tc>
        <w:tc>
          <w:tcPr>
            <w:tcW w:w="150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620" w:type="dxa"/>
            <w:vAlign w:val="bottom"/>
          </w:tcPr>
          <w:p>
            <w:pPr>
              <w:jc w:val="center"/>
              <w:ind w:right="99"/>
              <w:spacing w:after="0"/>
              <w:rPr>
                <w:sz w:val="20"/>
                <w:szCs w:val="20"/>
                <w:color w:val="auto"/>
              </w:rPr>
            </w:pPr>
            <w:r>
              <w:rPr>
                <w:rFonts w:ascii="Arial" w:cs="Arial" w:eastAsia="Arial" w:hAnsi="Arial"/>
                <w:sz w:val="16"/>
                <w:szCs w:val="16"/>
                <w:color w:val="4B4B4B"/>
                <w:w w:val="99"/>
              </w:rPr>
              <w:t>—</w:t>
            </w:r>
          </w:p>
        </w:tc>
        <w:tc>
          <w:tcPr>
            <w:tcW w:w="1320" w:type="dxa"/>
            <w:vAlign w:val="bottom"/>
          </w:tcPr>
          <w:p>
            <w:pPr>
              <w:jc w:val="center"/>
              <w:ind w:right="79"/>
              <w:spacing w:after="0"/>
              <w:rPr>
                <w:sz w:val="20"/>
                <w:szCs w:val="20"/>
                <w:color w:val="auto"/>
              </w:rPr>
            </w:pPr>
            <w:r>
              <w:rPr>
                <w:rFonts w:ascii="Arial" w:cs="Arial" w:eastAsia="Arial" w:hAnsi="Arial"/>
                <w:sz w:val="16"/>
                <w:szCs w:val="16"/>
                <w:color w:val="4B4B4B"/>
              </w:rPr>
              <w:t>300,015</w:t>
            </w:r>
          </w:p>
        </w:tc>
      </w:tr>
      <w:tr>
        <w:trPr>
          <w:trHeight w:val="283"/>
        </w:trPr>
        <w:tc>
          <w:tcPr>
            <w:tcW w:w="2700" w:type="dxa"/>
            <w:vAlign w:val="bottom"/>
          </w:tcPr>
          <w:p>
            <w:pPr>
              <w:ind w:left="180"/>
              <w:spacing w:after="0"/>
              <w:rPr>
                <w:sz w:val="20"/>
                <w:szCs w:val="20"/>
                <w:color w:val="auto"/>
              </w:rPr>
            </w:pPr>
            <w:r>
              <w:rPr>
                <w:rFonts w:ascii="Arial" w:cs="Arial" w:eastAsia="Arial" w:hAnsi="Arial"/>
                <w:sz w:val="16"/>
                <w:szCs w:val="16"/>
                <w:color w:val="4B4B4B"/>
              </w:rPr>
              <w:t>Gillian Munson</w:t>
            </w:r>
          </w:p>
        </w:tc>
        <w:tc>
          <w:tcPr>
            <w:tcW w:w="2600" w:type="dxa"/>
            <w:vAlign w:val="bottom"/>
          </w:tcPr>
          <w:p>
            <w:pPr>
              <w:jc w:val="center"/>
              <w:ind w:left="1099"/>
              <w:spacing w:after="0"/>
              <w:rPr>
                <w:sz w:val="20"/>
                <w:szCs w:val="20"/>
                <w:color w:val="auto"/>
              </w:rPr>
            </w:pPr>
            <w:r>
              <w:rPr>
                <w:rFonts w:ascii="Arial" w:cs="Arial" w:eastAsia="Arial" w:hAnsi="Arial"/>
                <w:sz w:val="16"/>
                <w:szCs w:val="16"/>
                <w:color w:val="4B4B4B"/>
              </w:rPr>
              <w:t>21,506</w:t>
            </w:r>
          </w:p>
        </w:tc>
        <w:tc>
          <w:tcPr>
            <w:tcW w:w="1480" w:type="dxa"/>
            <w:vAlign w:val="bottom"/>
          </w:tcPr>
          <w:p>
            <w:pPr>
              <w:jc w:val="center"/>
              <w:spacing w:after="0"/>
              <w:rPr>
                <w:sz w:val="20"/>
                <w:szCs w:val="20"/>
                <w:color w:val="auto"/>
              </w:rPr>
            </w:pPr>
            <w:r>
              <w:rPr>
                <w:rFonts w:ascii="Arial" w:cs="Arial" w:eastAsia="Arial" w:hAnsi="Arial"/>
                <w:sz w:val="16"/>
                <w:szCs w:val="16"/>
                <w:color w:val="4B4B4B"/>
              </w:rPr>
              <w:t>159,974</w:t>
            </w:r>
          </w:p>
        </w:tc>
        <w:tc>
          <w:tcPr>
            <w:tcW w:w="150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620" w:type="dxa"/>
            <w:vAlign w:val="bottom"/>
          </w:tcPr>
          <w:p>
            <w:pPr>
              <w:jc w:val="center"/>
              <w:ind w:right="99"/>
              <w:spacing w:after="0"/>
              <w:rPr>
                <w:sz w:val="20"/>
                <w:szCs w:val="20"/>
                <w:color w:val="auto"/>
              </w:rPr>
            </w:pPr>
            <w:r>
              <w:rPr>
                <w:rFonts w:ascii="Arial" w:cs="Arial" w:eastAsia="Arial" w:hAnsi="Arial"/>
                <w:sz w:val="16"/>
                <w:szCs w:val="16"/>
                <w:color w:val="4B4B4B"/>
                <w:w w:val="99"/>
              </w:rPr>
              <w:t>—</w:t>
            </w:r>
          </w:p>
        </w:tc>
        <w:tc>
          <w:tcPr>
            <w:tcW w:w="1320" w:type="dxa"/>
            <w:vAlign w:val="bottom"/>
          </w:tcPr>
          <w:p>
            <w:pPr>
              <w:jc w:val="center"/>
              <w:ind w:right="79"/>
              <w:spacing w:after="0"/>
              <w:rPr>
                <w:sz w:val="20"/>
                <w:szCs w:val="20"/>
                <w:color w:val="auto"/>
              </w:rPr>
            </w:pPr>
            <w:r>
              <w:rPr>
                <w:rFonts w:ascii="Arial" w:cs="Arial" w:eastAsia="Arial" w:hAnsi="Arial"/>
                <w:sz w:val="16"/>
                <w:szCs w:val="16"/>
                <w:color w:val="4B4B4B"/>
              </w:rPr>
              <w:t>181,480</w:t>
            </w:r>
          </w:p>
        </w:tc>
      </w:tr>
      <w:tr>
        <w:trPr>
          <w:trHeight w:val="284"/>
        </w:trPr>
        <w:tc>
          <w:tcPr>
            <w:tcW w:w="2700" w:type="dxa"/>
            <w:vAlign w:val="bottom"/>
          </w:tcPr>
          <w:p>
            <w:pPr>
              <w:ind w:left="180"/>
              <w:spacing w:after="0"/>
              <w:rPr>
                <w:sz w:val="20"/>
                <w:szCs w:val="20"/>
                <w:color w:val="auto"/>
              </w:rPr>
            </w:pPr>
            <w:r>
              <w:rPr>
                <w:rFonts w:ascii="Arial" w:cs="Arial" w:eastAsia="Arial" w:hAnsi="Arial"/>
                <w:sz w:val="16"/>
                <w:szCs w:val="16"/>
                <w:color w:val="4B4B4B"/>
              </w:rPr>
              <w:t>Jim Shelton</w:t>
            </w:r>
          </w:p>
        </w:tc>
        <w:tc>
          <w:tcPr>
            <w:tcW w:w="2600" w:type="dxa"/>
            <w:vAlign w:val="bottom"/>
          </w:tcPr>
          <w:p>
            <w:pPr>
              <w:jc w:val="center"/>
              <w:ind w:left="1099"/>
              <w:spacing w:after="0"/>
              <w:rPr>
                <w:sz w:val="20"/>
                <w:szCs w:val="20"/>
                <w:color w:val="auto"/>
              </w:rPr>
            </w:pPr>
            <w:r>
              <w:rPr>
                <w:rFonts w:ascii="Arial" w:cs="Arial" w:eastAsia="Arial" w:hAnsi="Arial"/>
                <w:sz w:val="16"/>
                <w:szCs w:val="16"/>
                <w:color w:val="4B4B4B"/>
              </w:rPr>
              <w:t>18,926</w:t>
            </w:r>
          </w:p>
        </w:tc>
        <w:tc>
          <w:tcPr>
            <w:tcW w:w="1480" w:type="dxa"/>
            <w:vAlign w:val="bottom"/>
          </w:tcPr>
          <w:p>
            <w:pPr>
              <w:jc w:val="center"/>
              <w:spacing w:after="0"/>
              <w:rPr>
                <w:sz w:val="20"/>
                <w:szCs w:val="20"/>
                <w:color w:val="auto"/>
              </w:rPr>
            </w:pPr>
            <w:r>
              <w:rPr>
                <w:rFonts w:ascii="Arial" w:cs="Arial" w:eastAsia="Arial" w:hAnsi="Arial"/>
                <w:sz w:val="16"/>
                <w:szCs w:val="16"/>
                <w:color w:val="4B4B4B"/>
              </w:rPr>
              <w:t>159,974</w:t>
            </w:r>
          </w:p>
        </w:tc>
        <w:tc>
          <w:tcPr>
            <w:tcW w:w="150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620" w:type="dxa"/>
            <w:vAlign w:val="bottom"/>
          </w:tcPr>
          <w:p>
            <w:pPr>
              <w:jc w:val="center"/>
              <w:ind w:right="99"/>
              <w:spacing w:after="0"/>
              <w:rPr>
                <w:sz w:val="20"/>
                <w:szCs w:val="20"/>
                <w:color w:val="auto"/>
              </w:rPr>
            </w:pPr>
            <w:r>
              <w:rPr>
                <w:rFonts w:ascii="Arial" w:cs="Arial" w:eastAsia="Arial" w:hAnsi="Arial"/>
                <w:sz w:val="16"/>
                <w:szCs w:val="16"/>
                <w:color w:val="4B4B4B"/>
                <w:w w:val="99"/>
              </w:rPr>
              <w:t>—</w:t>
            </w:r>
          </w:p>
        </w:tc>
        <w:tc>
          <w:tcPr>
            <w:tcW w:w="1320" w:type="dxa"/>
            <w:vAlign w:val="bottom"/>
          </w:tcPr>
          <w:p>
            <w:pPr>
              <w:jc w:val="center"/>
              <w:ind w:right="79"/>
              <w:spacing w:after="0"/>
              <w:rPr>
                <w:sz w:val="20"/>
                <w:szCs w:val="20"/>
                <w:color w:val="auto"/>
              </w:rPr>
            </w:pPr>
            <w:r>
              <w:rPr>
                <w:rFonts w:ascii="Arial" w:cs="Arial" w:eastAsia="Arial" w:hAnsi="Arial"/>
                <w:sz w:val="16"/>
                <w:szCs w:val="16"/>
                <w:color w:val="4B4B4B"/>
              </w:rPr>
              <w:t>178,900</w:t>
            </w:r>
          </w:p>
        </w:tc>
      </w:tr>
      <w:tr>
        <w:trPr>
          <w:trHeight w:val="283"/>
        </w:trPr>
        <w:tc>
          <w:tcPr>
            <w:tcW w:w="2700" w:type="dxa"/>
            <w:vAlign w:val="bottom"/>
          </w:tcPr>
          <w:p>
            <w:pPr>
              <w:ind w:left="180"/>
              <w:spacing w:after="0"/>
              <w:rPr>
                <w:sz w:val="20"/>
                <w:szCs w:val="20"/>
                <w:color w:val="auto"/>
              </w:rPr>
            </w:pPr>
            <w:r>
              <w:rPr>
                <w:rFonts w:ascii="Arial" w:cs="Arial" w:eastAsia="Arial" w:hAnsi="Arial"/>
                <w:sz w:val="16"/>
                <w:szCs w:val="16"/>
                <w:color w:val="4B4B4B"/>
              </w:rPr>
              <w:t>Laela Sturdy</w:t>
            </w:r>
          </w:p>
        </w:tc>
        <w:tc>
          <w:tcPr>
            <w:tcW w:w="2600" w:type="dxa"/>
            <w:vAlign w:val="bottom"/>
          </w:tcPr>
          <w:p>
            <w:pPr>
              <w:jc w:val="center"/>
              <w:ind w:left="1099"/>
              <w:spacing w:after="0"/>
              <w:rPr>
                <w:sz w:val="20"/>
                <w:szCs w:val="20"/>
                <w:color w:val="auto"/>
              </w:rPr>
            </w:pPr>
            <w:r>
              <w:rPr>
                <w:rFonts w:ascii="Arial" w:cs="Arial" w:eastAsia="Arial" w:hAnsi="Arial"/>
                <w:sz w:val="16"/>
                <w:szCs w:val="16"/>
                <w:color w:val="4B4B4B"/>
              </w:rPr>
              <w:t>17,205</w:t>
            </w:r>
          </w:p>
        </w:tc>
        <w:tc>
          <w:tcPr>
            <w:tcW w:w="1480" w:type="dxa"/>
            <w:vAlign w:val="bottom"/>
          </w:tcPr>
          <w:p>
            <w:pPr>
              <w:jc w:val="center"/>
              <w:spacing w:after="0"/>
              <w:rPr>
                <w:sz w:val="20"/>
                <w:szCs w:val="20"/>
                <w:color w:val="auto"/>
              </w:rPr>
            </w:pPr>
            <w:r>
              <w:rPr>
                <w:rFonts w:ascii="Arial" w:cs="Arial" w:eastAsia="Arial" w:hAnsi="Arial"/>
                <w:sz w:val="16"/>
                <w:szCs w:val="16"/>
                <w:color w:val="4B4B4B"/>
              </w:rPr>
              <w:t>159,974</w:t>
            </w:r>
          </w:p>
        </w:tc>
        <w:tc>
          <w:tcPr>
            <w:tcW w:w="1500" w:type="dxa"/>
            <w:vAlign w:val="bottom"/>
          </w:tcPr>
          <w:p>
            <w:pPr>
              <w:jc w:val="center"/>
              <w:spacing w:after="0"/>
              <w:rPr>
                <w:sz w:val="20"/>
                <w:szCs w:val="20"/>
                <w:color w:val="auto"/>
              </w:rPr>
            </w:pPr>
            <w:r>
              <w:rPr>
                <w:rFonts w:ascii="Arial" w:cs="Arial" w:eastAsia="Arial" w:hAnsi="Arial"/>
                <w:sz w:val="16"/>
                <w:szCs w:val="16"/>
                <w:color w:val="4B4B4B"/>
              </w:rPr>
              <w:t>970,800</w:t>
            </w:r>
          </w:p>
        </w:tc>
        <w:tc>
          <w:tcPr>
            <w:tcW w:w="1620" w:type="dxa"/>
            <w:vAlign w:val="bottom"/>
          </w:tcPr>
          <w:p>
            <w:pPr>
              <w:jc w:val="center"/>
              <w:ind w:right="99"/>
              <w:spacing w:after="0"/>
              <w:rPr>
                <w:sz w:val="20"/>
                <w:szCs w:val="20"/>
                <w:color w:val="auto"/>
              </w:rPr>
            </w:pPr>
            <w:r>
              <w:rPr>
                <w:rFonts w:ascii="Arial" w:cs="Arial" w:eastAsia="Arial" w:hAnsi="Arial"/>
                <w:sz w:val="16"/>
                <w:szCs w:val="16"/>
                <w:color w:val="4B4B4B"/>
                <w:w w:val="99"/>
              </w:rPr>
              <w:t>—</w:t>
            </w:r>
          </w:p>
        </w:tc>
        <w:tc>
          <w:tcPr>
            <w:tcW w:w="1320" w:type="dxa"/>
            <w:vAlign w:val="bottom"/>
          </w:tcPr>
          <w:p>
            <w:pPr>
              <w:jc w:val="center"/>
              <w:ind w:right="79"/>
              <w:spacing w:after="0"/>
              <w:rPr>
                <w:sz w:val="20"/>
                <w:szCs w:val="20"/>
                <w:color w:val="auto"/>
              </w:rPr>
            </w:pPr>
            <w:r>
              <w:rPr>
                <w:rFonts w:ascii="Arial" w:cs="Arial" w:eastAsia="Arial" w:hAnsi="Arial"/>
                <w:sz w:val="16"/>
                <w:szCs w:val="16"/>
                <w:color w:val="4B4B4B"/>
              </w:rPr>
              <w:t>1,147,979</w:t>
            </w:r>
          </w:p>
        </w:tc>
      </w:tr>
      <w:tr>
        <w:trPr>
          <w:trHeight w:val="283"/>
        </w:trPr>
        <w:tc>
          <w:tcPr>
            <w:tcW w:w="2700" w:type="dxa"/>
            <w:vAlign w:val="bottom"/>
          </w:tcPr>
          <w:p>
            <w:pPr>
              <w:ind w:left="180"/>
              <w:spacing w:after="0"/>
              <w:rPr>
                <w:sz w:val="20"/>
                <w:szCs w:val="20"/>
                <w:color w:val="auto"/>
              </w:rPr>
            </w:pPr>
            <w:r>
              <w:rPr>
                <w:rFonts w:ascii="Arial" w:cs="Arial" w:eastAsia="Arial" w:hAnsi="Arial"/>
                <w:sz w:val="16"/>
                <w:szCs w:val="16"/>
                <w:color w:val="4B4B4B"/>
              </w:rPr>
              <w:t>Brad Burnham(3)</w:t>
            </w:r>
          </w:p>
        </w:tc>
        <w:tc>
          <w:tcPr>
            <w:tcW w:w="2600" w:type="dxa"/>
            <w:vAlign w:val="bottom"/>
          </w:tcPr>
          <w:p>
            <w:pPr>
              <w:jc w:val="center"/>
              <w:ind w:left="1119"/>
              <w:spacing w:after="0"/>
              <w:rPr>
                <w:sz w:val="20"/>
                <w:szCs w:val="20"/>
                <w:color w:val="auto"/>
              </w:rPr>
            </w:pPr>
            <w:r>
              <w:rPr>
                <w:rFonts w:ascii="Arial" w:cs="Arial" w:eastAsia="Arial" w:hAnsi="Arial"/>
                <w:sz w:val="16"/>
                <w:szCs w:val="16"/>
                <w:color w:val="4B4B4B"/>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50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620" w:type="dxa"/>
            <w:vAlign w:val="bottom"/>
          </w:tcPr>
          <w:p>
            <w:pPr>
              <w:jc w:val="center"/>
              <w:ind w:right="99"/>
              <w:spacing w:after="0"/>
              <w:rPr>
                <w:sz w:val="20"/>
                <w:szCs w:val="20"/>
                <w:color w:val="auto"/>
              </w:rPr>
            </w:pPr>
            <w:r>
              <w:rPr>
                <w:rFonts w:ascii="Arial" w:cs="Arial" w:eastAsia="Arial" w:hAnsi="Arial"/>
                <w:sz w:val="16"/>
                <w:szCs w:val="16"/>
                <w:color w:val="4B4B4B"/>
                <w:w w:val="99"/>
              </w:rPr>
              <w:t>—</w:t>
            </w:r>
          </w:p>
        </w:tc>
        <w:tc>
          <w:tcPr>
            <w:tcW w:w="1320" w:type="dxa"/>
            <w:vAlign w:val="bottom"/>
          </w:tcPr>
          <w:p>
            <w:pPr>
              <w:jc w:val="center"/>
              <w:ind w:right="79"/>
              <w:spacing w:after="0"/>
              <w:rPr>
                <w:sz w:val="20"/>
                <w:szCs w:val="20"/>
                <w:color w:val="auto"/>
              </w:rPr>
            </w:pPr>
            <w:r>
              <w:rPr>
                <w:rFonts w:ascii="Arial" w:cs="Arial" w:eastAsia="Arial" w:hAnsi="Arial"/>
                <w:sz w:val="16"/>
                <w:szCs w:val="16"/>
                <w:color w:val="4B4B4B"/>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8255</wp:posOffset>
            </wp:positionV>
            <wp:extent cx="703770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-171450</wp:posOffset>
            </wp:positionV>
            <wp:extent cx="714883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8830"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-351155</wp:posOffset>
            </wp:positionV>
            <wp:extent cx="714883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830"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-531495</wp:posOffset>
            </wp:positionV>
            <wp:extent cx="714883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830"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-711200</wp:posOffset>
            </wp:positionV>
            <wp:extent cx="714883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830"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-891540</wp:posOffset>
            </wp:positionV>
            <wp:extent cx="714883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8830"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-1071245</wp:posOffset>
            </wp:positionV>
            <wp:extent cx="714883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8830"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-1251585</wp:posOffset>
            </wp:positionV>
            <wp:extent cx="714883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8830" cy="4254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FAFAF"/>
        </w:rPr>
        <w:t>___________________</w:t>
      </w:r>
    </w:p>
    <w:p>
      <w:pPr>
        <w:spacing w:after="0" w:line="19" w:lineRule="exact"/>
        <w:rPr>
          <w:sz w:val="20"/>
          <w:szCs w:val="20"/>
          <w:color w:val="auto"/>
        </w:rPr>
      </w:pPr>
    </w:p>
    <w:p>
      <w:pPr>
        <w:ind w:left="340" w:right="80" w:hanging="332"/>
        <w:spacing w:after="0" w:line="249" w:lineRule="auto"/>
        <w:tabs>
          <w:tab w:leader="none" w:pos="340" w:val="left"/>
        </w:tabs>
        <w:numPr>
          <w:ilvl w:val="0"/>
          <w:numId w:val="22"/>
        </w:numPr>
        <w:rPr>
          <w:rFonts w:ascii="Arial" w:cs="Arial" w:eastAsia="Arial" w:hAnsi="Arial"/>
          <w:sz w:val="14"/>
          <w:szCs w:val="14"/>
          <w:b w:val="1"/>
          <w:bCs w:val="1"/>
          <w:color w:val="AFAFAF"/>
        </w:rPr>
      </w:pPr>
      <w:r>
        <w:rPr>
          <w:rFonts w:ascii="Arial" w:cs="Arial" w:eastAsia="Arial" w:hAnsi="Arial"/>
          <w:sz w:val="14"/>
          <w:szCs w:val="14"/>
          <w:b w:val="1"/>
          <w:bCs w:val="1"/>
          <w:color w:val="AFAFAF"/>
        </w:rPr>
        <w:t>Amounts shown represent the grant date fair value of RSU and option awards granted during fiscal year 2021 as calculated in accordance with ASC Topic 718. See Note 9 to our audited financial statements included in our Annual Report on Form 10-K for the fiscal year ended December 31, 2021 filed with the SEC on March 4, 2022, for a description of the assumptions used in valuing these awards.</w:t>
      </w:r>
    </w:p>
    <w:p>
      <w:pPr>
        <w:spacing w:after="0" w:line="128" w:lineRule="exact"/>
        <w:rPr>
          <w:rFonts w:ascii="Arial" w:cs="Arial" w:eastAsia="Arial" w:hAnsi="Arial"/>
          <w:sz w:val="14"/>
          <w:szCs w:val="14"/>
          <w:b w:val="1"/>
          <w:bCs w:val="1"/>
          <w:color w:val="AFAFAF"/>
        </w:rPr>
      </w:pPr>
    </w:p>
    <w:p>
      <w:pPr>
        <w:ind w:left="340" w:hanging="332"/>
        <w:spacing w:after="0"/>
        <w:tabs>
          <w:tab w:leader="none" w:pos="340" w:val="left"/>
        </w:tabs>
        <w:numPr>
          <w:ilvl w:val="0"/>
          <w:numId w:val="22"/>
        </w:numPr>
        <w:rPr>
          <w:rFonts w:ascii="Arial" w:cs="Arial" w:eastAsia="Arial" w:hAnsi="Arial"/>
          <w:sz w:val="14"/>
          <w:szCs w:val="14"/>
          <w:b w:val="1"/>
          <w:bCs w:val="1"/>
          <w:color w:val="AFAFAF"/>
        </w:rPr>
      </w:pPr>
      <w:r>
        <w:rPr>
          <w:rFonts w:ascii="Arial" w:cs="Arial" w:eastAsia="Arial" w:hAnsi="Arial"/>
          <w:sz w:val="14"/>
          <w:szCs w:val="14"/>
          <w:b w:val="1"/>
          <w:bCs w:val="1"/>
          <w:color w:val="AFAFAF"/>
        </w:rPr>
        <w:t>Mr. Lilly joined our Board of Directors in December 2021.</w:t>
      </w:r>
    </w:p>
    <w:p>
      <w:pPr>
        <w:spacing w:after="0" w:line="163" w:lineRule="exact"/>
        <w:rPr>
          <w:rFonts w:ascii="Arial" w:cs="Arial" w:eastAsia="Arial" w:hAnsi="Arial"/>
          <w:sz w:val="14"/>
          <w:szCs w:val="14"/>
          <w:b w:val="1"/>
          <w:bCs w:val="1"/>
          <w:color w:val="AFAFAF"/>
        </w:rPr>
      </w:pPr>
    </w:p>
    <w:p>
      <w:pPr>
        <w:ind w:left="340" w:hanging="332"/>
        <w:spacing w:after="0"/>
        <w:tabs>
          <w:tab w:leader="none" w:pos="340" w:val="left"/>
        </w:tabs>
        <w:numPr>
          <w:ilvl w:val="0"/>
          <w:numId w:val="22"/>
        </w:numPr>
        <w:rPr>
          <w:rFonts w:ascii="Arial" w:cs="Arial" w:eastAsia="Arial" w:hAnsi="Arial"/>
          <w:sz w:val="14"/>
          <w:szCs w:val="14"/>
          <w:b w:val="1"/>
          <w:bCs w:val="1"/>
          <w:color w:val="AFAFAF"/>
        </w:rPr>
      </w:pPr>
      <w:r>
        <w:rPr>
          <w:rFonts w:ascii="Arial" w:cs="Arial" w:eastAsia="Arial" w:hAnsi="Arial"/>
          <w:sz w:val="14"/>
          <w:szCs w:val="14"/>
          <w:b w:val="1"/>
          <w:bCs w:val="1"/>
          <w:color w:val="AFAFAF"/>
        </w:rPr>
        <w:t>Mr. Burnham resigned from our Board of Directors in April 2021</w:t>
      </w:r>
    </w:p>
    <w:p>
      <w:pPr>
        <w:spacing w:after="0" w:line="1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4B4B4B"/>
        </w:rPr>
        <w:t>The table below shows the aggregate number of option awards (exercisable and unexercisable) and unvested stock awards held as of December 31, 2021 by each non-employee director who was serving as of December 31, 2021.</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40" w:type="dxa"/>
            <w:vAlign w:val="bottom"/>
            <w:shd w:val="clear" w:color="auto" w:fill="F7F7F7"/>
          </w:tcPr>
          <w:p>
            <w:pPr>
              <w:spacing w:after="0"/>
              <w:rPr>
                <w:sz w:val="18"/>
                <w:szCs w:val="18"/>
                <w:color w:val="auto"/>
              </w:rPr>
            </w:pPr>
          </w:p>
        </w:tc>
        <w:tc>
          <w:tcPr>
            <w:tcW w:w="4660" w:type="dxa"/>
            <w:vAlign w:val="bottom"/>
            <w:shd w:val="clear" w:color="auto" w:fill="F7F7F7"/>
          </w:tcPr>
          <w:p>
            <w:pPr>
              <w:spacing w:after="0"/>
              <w:rPr>
                <w:sz w:val="18"/>
                <w:szCs w:val="18"/>
                <w:color w:val="auto"/>
              </w:rPr>
            </w:pPr>
          </w:p>
        </w:tc>
        <w:tc>
          <w:tcPr>
            <w:tcW w:w="6420" w:type="dxa"/>
            <w:vAlign w:val="bottom"/>
            <w:gridSpan w:val="2"/>
            <w:shd w:val="clear" w:color="auto" w:fill="F7F7F7"/>
          </w:tcPr>
          <w:p>
            <w:pPr>
              <w:ind w:left="3500"/>
              <w:spacing w:after="0"/>
              <w:rPr>
                <w:sz w:val="20"/>
                <w:szCs w:val="20"/>
                <w:color w:val="auto"/>
              </w:rPr>
            </w:pPr>
            <w:r>
              <w:rPr>
                <w:rFonts w:ascii="Arial" w:cs="Arial" w:eastAsia="Arial" w:hAnsi="Arial"/>
                <w:sz w:val="16"/>
                <w:szCs w:val="16"/>
                <w:b w:val="1"/>
                <w:bCs w:val="1"/>
                <w:color w:val="4B4B4B"/>
              </w:rPr>
              <w:t>Shares Underlying Number of Shares</w:t>
            </w:r>
          </w:p>
        </w:tc>
        <w:tc>
          <w:tcPr>
            <w:tcW w:w="0" w:type="dxa"/>
            <w:vAlign w:val="bottom"/>
          </w:tcPr>
          <w:p>
            <w:pPr>
              <w:spacing w:after="0"/>
              <w:rPr>
                <w:sz w:val="1"/>
                <w:szCs w:val="1"/>
                <w:color w:val="auto"/>
              </w:rPr>
            </w:pPr>
          </w:p>
        </w:tc>
      </w:tr>
      <w:tr>
        <w:trPr>
          <w:trHeight w:val="203"/>
        </w:trPr>
        <w:tc>
          <w:tcPr>
            <w:tcW w:w="140" w:type="dxa"/>
            <w:vAlign w:val="bottom"/>
            <w:shd w:val="clear" w:color="auto" w:fill="F7F7F7"/>
          </w:tcPr>
          <w:p>
            <w:pPr>
              <w:spacing w:after="0"/>
              <w:rPr>
                <w:sz w:val="17"/>
                <w:szCs w:val="17"/>
                <w:color w:val="auto"/>
              </w:rPr>
            </w:pPr>
          </w:p>
        </w:tc>
        <w:tc>
          <w:tcPr>
            <w:tcW w:w="4660" w:type="dxa"/>
            <w:vAlign w:val="bottom"/>
            <w:shd w:val="clear" w:color="auto" w:fill="F7F7F7"/>
          </w:tcPr>
          <w:p>
            <w:pPr>
              <w:spacing w:after="0"/>
              <w:rPr>
                <w:sz w:val="17"/>
                <w:szCs w:val="17"/>
                <w:color w:val="auto"/>
              </w:rPr>
            </w:pPr>
          </w:p>
        </w:tc>
        <w:tc>
          <w:tcPr>
            <w:tcW w:w="4820" w:type="dxa"/>
            <w:vAlign w:val="bottom"/>
            <w:shd w:val="clear" w:color="auto" w:fill="F7F7F7"/>
          </w:tcPr>
          <w:p>
            <w:pPr>
              <w:jc w:val="center"/>
              <w:ind w:left="3519"/>
              <w:spacing w:after="0"/>
              <w:rPr>
                <w:sz w:val="20"/>
                <w:szCs w:val="20"/>
                <w:color w:val="auto"/>
              </w:rPr>
            </w:pPr>
            <w:r>
              <w:rPr>
                <w:rFonts w:ascii="Arial" w:cs="Arial" w:eastAsia="Arial" w:hAnsi="Arial"/>
                <w:sz w:val="16"/>
                <w:szCs w:val="16"/>
                <w:b w:val="1"/>
                <w:bCs w:val="1"/>
                <w:color w:val="4B4B4B"/>
              </w:rPr>
              <w:t>Options</w:t>
            </w:r>
          </w:p>
        </w:tc>
        <w:tc>
          <w:tcPr>
            <w:tcW w:w="1600" w:type="dxa"/>
            <w:vAlign w:val="bottom"/>
            <w:shd w:val="clear" w:color="auto" w:fill="F7F7F7"/>
          </w:tcPr>
          <w:p>
            <w:pPr>
              <w:jc w:val="center"/>
              <w:ind w:left="39"/>
              <w:spacing w:after="0"/>
              <w:rPr>
                <w:sz w:val="20"/>
                <w:szCs w:val="20"/>
                <w:color w:val="auto"/>
              </w:rPr>
            </w:pPr>
            <w:r>
              <w:rPr>
                <w:rFonts w:ascii="Arial" w:cs="Arial" w:eastAsia="Arial" w:hAnsi="Arial"/>
                <w:sz w:val="16"/>
                <w:szCs w:val="16"/>
                <w:b w:val="1"/>
                <w:bCs w:val="1"/>
                <w:color w:val="4B4B4B"/>
              </w:rPr>
              <w:t>or Units That Have</w:t>
            </w:r>
          </w:p>
        </w:tc>
        <w:tc>
          <w:tcPr>
            <w:tcW w:w="0" w:type="dxa"/>
            <w:vAlign w:val="bottom"/>
          </w:tcPr>
          <w:p>
            <w:pPr>
              <w:spacing w:after="0"/>
              <w:rPr>
                <w:sz w:val="1"/>
                <w:szCs w:val="1"/>
                <w:color w:val="auto"/>
              </w:rPr>
            </w:pPr>
          </w:p>
        </w:tc>
      </w:tr>
      <w:tr>
        <w:trPr>
          <w:trHeight w:val="228"/>
        </w:trPr>
        <w:tc>
          <w:tcPr>
            <w:tcW w:w="140" w:type="dxa"/>
            <w:vAlign w:val="bottom"/>
            <w:tcBorders>
              <w:bottom w:val="single" w:sz="8" w:color="F7F7F7"/>
            </w:tcBorders>
            <w:shd w:val="clear" w:color="auto" w:fill="F7F7F7"/>
          </w:tcPr>
          <w:p>
            <w:pPr>
              <w:spacing w:after="0"/>
              <w:rPr>
                <w:sz w:val="19"/>
                <w:szCs w:val="19"/>
                <w:color w:val="auto"/>
              </w:rPr>
            </w:pPr>
          </w:p>
        </w:tc>
        <w:tc>
          <w:tcPr>
            <w:tcW w:w="4660" w:type="dxa"/>
            <w:vAlign w:val="bottom"/>
            <w:tcBorders>
              <w:bottom w:val="single" w:sz="8" w:color="F7F7F7"/>
            </w:tcBorders>
            <w:shd w:val="clear" w:color="auto" w:fill="F7F7F7"/>
          </w:tcPr>
          <w:p>
            <w:pPr>
              <w:ind w:left="20"/>
              <w:spacing w:after="0"/>
              <w:rPr>
                <w:sz w:val="20"/>
                <w:szCs w:val="20"/>
                <w:color w:val="auto"/>
              </w:rPr>
            </w:pPr>
            <w:r>
              <w:rPr>
                <w:rFonts w:ascii="Arial" w:cs="Arial" w:eastAsia="Arial" w:hAnsi="Arial"/>
                <w:sz w:val="16"/>
                <w:szCs w:val="16"/>
                <w:b w:val="1"/>
                <w:bCs w:val="1"/>
                <w:color w:val="4B4B4B"/>
              </w:rPr>
              <w:t>Name</w:t>
            </w:r>
          </w:p>
        </w:tc>
        <w:tc>
          <w:tcPr>
            <w:tcW w:w="4820" w:type="dxa"/>
            <w:vAlign w:val="bottom"/>
            <w:tcBorders>
              <w:bottom w:val="single" w:sz="8" w:color="F7F7F7"/>
            </w:tcBorders>
            <w:shd w:val="clear" w:color="auto" w:fill="F7F7F7"/>
          </w:tcPr>
          <w:p>
            <w:pPr>
              <w:jc w:val="center"/>
              <w:ind w:left="3499"/>
              <w:spacing w:after="0"/>
              <w:rPr>
                <w:sz w:val="20"/>
                <w:szCs w:val="20"/>
                <w:color w:val="auto"/>
              </w:rPr>
            </w:pPr>
            <w:r>
              <w:rPr>
                <w:rFonts w:ascii="Arial" w:cs="Arial" w:eastAsia="Arial" w:hAnsi="Arial"/>
                <w:sz w:val="16"/>
                <w:szCs w:val="16"/>
                <w:b w:val="1"/>
                <w:bCs w:val="1"/>
                <w:color w:val="4B4B4B"/>
              </w:rPr>
              <w:t>Outstanding</w:t>
            </w:r>
          </w:p>
        </w:tc>
        <w:tc>
          <w:tcPr>
            <w:tcW w:w="1600" w:type="dxa"/>
            <w:vAlign w:val="bottom"/>
            <w:tcBorders>
              <w:bottom w:val="single" w:sz="8" w:color="F7F7F7"/>
            </w:tcBorders>
            <w:shd w:val="clear" w:color="auto" w:fill="F7F7F7"/>
          </w:tcPr>
          <w:p>
            <w:pPr>
              <w:jc w:val="center"/>
              <w:ind w:left="39"/>
              <w:spacing w:after="0"/>
              <w:rPr>
                <w:sz w:val="20"/>
                <w:szCs w:val="20"/>
                <w:color w:val="auto"/>
              </w:rPr>
            </w:pPr>
            <w:r>
              <w:rPr>
                <w:rFonts w:ascii="Arial" w:cs="Arial" w:eastAsia="Arial" w:hAnsi="Arial"/>
                <w:sz w:val="16"/>
                <w:szCs w:val="16"/>
                <w:b w:val="1"/>
                <w:bCs w:val="1"/>
                <w:color w:val="4B4B4B"/>
                <w:w w:val="99"/>
              </w:rPr>
              <w:t>Not Yet Vested</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4B4B4B"/>
              </w:rPr>
              <w:t>Amy Bohutinsky</w:t>
            </w:r>
          </w:p>
        </w:tc>
        <w:tc>
          <w:tcPr>
            <w:tcW w:w="4820" w:type="dxa"/>
            <w:vAlign w:val="bottom"/>
          </w:tcPr>
          <w:p>
            <w:pPr>
              <w:jc w:val="center"/>
              <w:ind w:left="3519"/>
              <w:spacing w:after="0"/>
              <w:rPr>
                <w:sz w:val="20"/>
                <w:szCs w:val="20"/>
                <w:color w:val="auto"/>
              </w:rPr>
            </w:pPr>
            <w:r>
              <w:rPr>
                <w:rFonts w:ascii="Arial" w:cs="Arial" w:eastAsia="Arial" w:hAnsi="Arial"/>
                <w:sz w:val="16"/>
                <w:szCs w:val="16"/>
                <w:color w:val="4B4B4B"/>
              </w:rPr>
              <w:t>40,000</w:t>
            </w:r>
          </w:p>
        </w:tc>
        <w:tc>
          <w:tcPr>
            <w:tcW w:w="1600" w:type="dxa"/>
            <w:vAlign w:val="bottom"/>
          </w:tcPr>
          <w:p>
            <w:pPr>
              <w:jc w:val="center"/>
              <w:ind w:left="39"/>
              <w:spacing w:after="0"/>
              <w:rPr>
                <w:sz w:val="20"/>
                <w:szCs w:val="20"/>
                <w:color w:val="auto"/>
              </w:rPr>
            </w:pPr>
            <w:r>
              <w:rPr>
                <w:rFonts w:ascii="Arial" w:cs="Arial" w:eastAsia="Arial" w:hAnsi="Arial"/>
                <w:sz w:val="16"/>
                <w:szCs w:val="16"/>
                <w:color w:val="4B4B4B"/>
                <w:w w:val="99"/>
              </w:rPr>
              <w:t>1,573</w:t>
            </w:r>
          </w:p>
        </w:tc>
        <w:tc>
          <w:tcPr>
            <w:tcW w:w="0" w:type="dxa"/>
            <w:vAlign w:val="bottom"/>
          </w:tcPr>
          <w:p>
            <w:pPr>
              <w:spacing w:after="0"/>
              <w:rPr>
                <w:sz w:val="1"/>
                <w:szCs w:val="1"/>
                <w:color w:val="auto"/>
              </w:rPr>
            </w:pPr>
          </w:p>
        </w:tc>
      </w:tr>
      <w:tr>
        <w:trPr>
          <w:trHeight w:val="37"/>
        </w:trPr>
        <w:tc>
          <w:tcPr>
            <w:tcW w:w="140" w:type="dxa"/>
            <w:vAlign w:val="bottom"/>
            <w:tcBorders>
              <w:bottom w:val="single" w:sz="8" w:color="E5E5E5"/>
            </w:tcBorders>
          </w:tcPr>
          <w:p>
            <w:pPr>
              <w:spacing w:after="0"/>
              <w:rPr>
                <w:sz w:val="3"/>
                <w:szCs w:val="3"/>
                <w:color w:val="auto"/>
              </w:rPr>
            </w:pPr>
          </w:p>
        </w:tc>
        <w:tc>
          <w:tcPr>
            <w:tcW w:w="4660" w:type="dxa"/>
            <w:vAlign w:val="bottom"/>
            <w:vMerge w:val="restart"/>
          </w:tcPr>
          <w:p>
            <w:pPr>
              <w:ind w:left="20"/>
              <w:spacing w:after="0"/>
              <w:rPr>
                <w:sz w:val="20"/>
                <w:szCs w:val="20"/>
                <w:color w:val="auto"/>
              </w:rPr>
            </w:pPr>
            <w:r>
              <w:rPr>
                <w:rFonts w:ascii="Arial" w:cs="Arial" w:eastAsia="Arial" w:hAnsi="Arial"/>
                <w:sz w:val="16"/>
                <w:szCs w:val="16"/>
                <w:color w:val="4B4B4B"/>
              </w:rPr>
              <w:t>Sara Clemens</w:t>
            </w:r>
          </w:p>
        </w:tc>
        <w:tc>
          <w:tcPr>
            <w:tcW w:w="4820" w:type="dxa"/>
            <w:vAlign w:val="bottom"/>
            <w:vMerge w:val="restart"/>
          </w:tcPr>
          <w:p>
            <w:pPr>
              <w:jc w:val="center"/>
              <w:ind w:left="3519"/>
              <w:spacing w:after="0"/>
              <w:rPr>
                <w:sz w:val="20"/>
                <w:szCs w:val="20"/>
                <w:color w:val="auto"/>
              </w:rPr>
            </w:pPr>
            <w:r>
              <w:rPr>
                <w:rFonts w:ascii="Arial" w:cs="Arial" w:eastAsia="Arial" w:hAnsi="Arial"/>
                <w:sz w:val="16"/>
                <w:szCs w:val="16"/>
                <w:color w:val="4B4B4B"/>
              </w:rPr>
              <w:t>30,000</w:t>
            </w:r>
          </w:p>
        </w:tc>
        <w:tc>
          <w:tcPr>
            <w:tcW w:w="1600" w:type="dxa"/>
            <w:vAlign w:val="bottom"/>
            <w:vMerge w:val="restart"/>
          </w:tcPr>
          <w:p>
            <w:pPr>
              <w:jc w:val="center"/>
              <w:ind w:left="39"/>
              <w:spacing w:after="0"/>
              <w:rPr>
                <w:sz w:val="20"/>
                <w:szCs w:val="20"/>
                <w:color w:val="auto"/>
              </w:rPr>
            </w:pPr>
            <w:r>
              <w:rPr>
                <w:rFonts w:ascii="Arial" w:cs="Arial" w:eastAsia="Arial" w:hAnsi="Arial"/>
                <w:sz w:val="16"/>
                <w:szCs w:val="16"/>
                <w:color w:val="4B4B4B"/>
                <w:w w:val="99"/>
              </w:rPr>
              <w:t>1,573</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4660" w:type="dxa"/>
            <w:vAlign w:val="bottom"/>
            <w:vMerge w:val="continue"/>
          </w:tcPr>
          <w:p>
            <w:pPr>
              <w:spacing w:after="0"/>
              <w:rPr>
                <w:sz w:val="19"/>
                <w:szCs w:val="19"/>
                <w:color w:val="auto"/>
              </w:rPr>
            </w:pPr>
          </w:p>
        </w:tc>
        <w:tc>
          <w:tcPr>
            <w:tcW w:w="482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40" w:type="dxa"/>
            <w:vAlign w:val="bottom"/>
            <w:tcBorders>
              <w:bottom w:val="single" w:sz="8" w:color="E5E5E5"/>
            </w:tcBorders>
          </w:tcPr>
          <w:p>
            <w:pPr>
              <w:spacing w:after="0"/>
              <w:rPr>
                <w:sz w:val="3"/>
                <w:szCs w:val="3"/>
                <w:color w:val="auto"/>
              </w:rPr>
            </w:pPr>
          </w:p>
        </w:tc>
        <w:tc>
          <w:tcPr>
            <w:tcW w:w="4660" w:type="dxa"/>
            <w:vAlign w:val="bottom"/>
            <w:vMerge w:val="restart"/>
          </w:tcPr>
          <w:p>
            <w:pPr>
              <w:ind w:left="20"/>
              <w:spacing w:after="0"/>
              <w:rPr>
                <w:sz w:val="20"/>
                <w:szCs w:val="20"/>
                <w:color w:val="auto"/>
              </w:rPr>
            </w:pPr>
            <w:r>
              <w:rPr>
                <w:rFonts w:ascii="Arial" w:cs="Arial" w:eastAsia="Arial" w:hAnsi="Arial"/>
                <w:sz w:val="16"/>
                <w:szCs w:val="16"/>
                <w:color w:val="4B4B4B"/>
              </w:rPr>
              <w:t>Bing Gordon</w:t>
            </w:r>
          </w:p>
        </w:tc>
        <w:tc>
          <w:tcPr>
            <w:tcW w:w="4820" w:type="dxa"/>
            <w:vAlign w:val="bottom"/>
            <w:vMerge w:val="restart"/>
          </w:tcPr>
          <w:p>
            <w:pPr>
              <w:jc w:val="center"/>
              <w:ind w:left="3519"/>
              <w:spacing w:after="0"/>
              <w:rPr>
                <w:sz w:val="20"/>
                <w:szCs w:val="20"/>
                <w:color w:val="auto"/>
              </w:rPr>
            </w:pPr>
            <w:r>
              <w:rPr>
                <w:rFonts w:ascii="Arial" w:cs="Arial" w:eastAsia="Arial" w:hAnsi="Arial"/>
                <w:sz w:val="16"/>
                <w:szCs w:val="16"/>
                <w:color w:val="4B4B4B"/>
              </w:rPr>
              <w:t>50,000</w:t>
            </w:r>
          </w:p>
        </w:tc>
        <w:tc>
          <w:tcPr>
            <w:tcW w:w="1600" w:type="dxa"/>
            <w:vAlign w:val="bottom"/>
            <w:vMerge w:val="restart"/>
          </w:tcPr>
          <w:p>
            <w:pPr>
              <w:jc w:val="center"/>
              <w:ind w:left="39"/>
              <w:spacing w:after="0"/>
              <w:rPr>
                <w:sz w:val="20"/>
                <w:szCs w:val="20"/>
                <w:color w:val="auto"/>
              </w:rPr>
            </w:pPr>
            <w:r>
              <w:rPr>
                <w:rFonts w:ascii="Arial" w:cs="Arial" w:eastAsia="Arial" w:hAnsi="Arial"/>
                <w:sz w:val="16"/>
                <w:szCs w:val="16"/>
                <w:color w:val="4B4B4B"/>
                <w:w w:val="99"/>
              </w:rPr>
              <w:t>1,573</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4660" w:type="dxa"/>
            <w:vAlign w:val="bottom"/>
            <w:vMerge w:val="continue"/>
          </w:tcPr>
          <w:p>
            <w:pPr>
              <w:spacing w:after="0"/>
              <w:rPr>
                <w:sz w:val="19"/>
                <w:szCs w:val="19"/>
                <w:color w:val="auto"/>
              </w:rPr>
            </w:pPr>
          </w:p>
        </w:tc>
        <w:tc>
          <w:tcPr>
            <w:tcW w:w="482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40" w:type="dxa"/>
            <w:vAlign w:val="bottom"/>
            <w:tcBorders>
              <w:bottom w:val="single" w:sz="8" w:color="E5E5E5"/>
            </w:tcBorders>
          </w:tcPr>
          <w:p>
            <w:pPr>
              <w:spacing w:after="0"/>
              <w:rPr>
                <w:sz w:val="3"/>
                <w:szCs w:val="3"/>
                <w:color w:val="auto"/>
              </w:rPr>
            </w:pPr>
          </w:p>
        </w:tc>
        <w:tc>
          <w:tcPr>
            <w:tcW w:w="4660" w:type="dxa"/>
            <w:vAlign w:val="bottom"/>
            <w:vMerge w:val="restart"/>
          </w:tcPr>
          <w:p>
            <w:pPr>
              <w:ind w:left="20"/>
              <w:spacing w:after="0"/>
              <w:rPr>
                <w:sz w:val="20"/>
                <w:szCs w:val="20"/>
                <w:color w:val="auto"/>
              </w:rPr>
            </w:pPr>
            <w:r>
              <w:rPr>
                <w:rFonts w:ascii="Arial" w:cs="Arial" w:eastAsia="Arial" w:hAnsi="Arial"/>
                <w:sz w:val="16"/>
                <w:szCs w:val="16"/>
                <w:color w:val="4B4B4B"/>
              </w:rPr>
              <w:t>John Lilly</w:t>
            </w:r>
          </w:p>
        </w:tc>
        <w:tc>
          <w:tcPr>
            <w:tcW w:w="4820" w:type="dxa"/>
            <w:vAlign w:val="bottom"/>
            <w:vMerge w:val="restart"/>
          </w:tcPr>
          <w:p>
            <w:pPr>
              <w:jc w:val="center"/>
              <w:ind w:left="3499"/>
              <w:spacing w:after="0"/>
              <w:rPr>
                <w:sz w:val="20"/>
                <w:szCs w:val="20"/>
                <w:color w:val="auto"/>
              </w:rPr>
            </w:pPr>
            <w:r>
              <w:rPr>
                <w:rFonts w:ascii="Arial" w:cs="Arial" w:eastAsia="Arial" w:hAnsi="Arial"/>
                <w:sz w:val="16"/>
                <w:szCs w:val="16"/>
                <w:color w:val="4B4B4B"/>
                <w:w w:val="99"/>
              </w:rPr>
              <w:t>—</w:t>
            </w:r>
          </w:p>
        </w:tc>
        <w:tc>
          <w:tcPr>
            <w:tcW w:w="1600" w:type="dxa"/>
            <w:vAlign w:val="bottom"/>
            <w:vMerge w:val="restart"/>
          </w:tcPr>
          <w:p>
            <w:pPr>
              <w:jc w:val="center"/>
              <w:ind w:left="39"/>
              <w:spacing w:after="0"/>
              <w:rPr>
                <w:sz w:val="20"/>
                <w:szCs w:val="20"/>
                <w:color w:val="auto"/>
              </w:rPr>
            </w:pPr>
            <w:r>
              <w:rPr>
                <w:rFonts w:ascii="Arial" w:cs="Arial" w:eastAsia="Arial" w:hAnsi="Arial"/>
                <w:sz w:val="16"/>
                <w:szCs w:val="16"/>
                <w:color w:val="4B4B4B"/>
                <w:w w:val="99"/>
              </w:rPr>
              <w:t>2,950</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4660" w:type="dxa"/>
            <w:vAlign w:val="bottom"/>
            <w:vMerge w:val="continue"/>
          </w:tcPr>
          <w:p>
            <w:pPr>
              <w:spacing w:after="0"/>
              <w:rPr>
                <w:sz w:val="19"/>
                <w:szCs w:val="19"/>
                <w:color w:val="auto"/>
              </w:rPr>
            </w:pPr>
          </w:p>
        </w:tc>
        <w:tc>
          <w:tcPr>
            <w:tcW w:w="482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40" w:type="dxa"/>
            <w:vAlign w:val="bottom"/>
            <w:tcBorders>
              <w:bottom w:val="single" w:sz="8" w:color="E5E5E5"/>
            </w:tcBorders>
          </w:tcPr>
          <w:p>
            <w:pPr>
              <w:spacing w:after="0"/>
              <w:rPr>
                <w:sz w:val="3"/>
                <w:szCs w:val="3"/>
                <w:color w:val="auto"/>
              </w:rPr>
            </w:pPr>
          </w:p>
        </w:tc>
        <w:tc>
          <w:tcPr>
            <w:tcW w:w="4660" w:type="dxa"/>
            <w:vAlign w:val="bottom"/>
            <w:vMerge w:val="restart"/>
          </w:tcPr>
          <w:p>
            <w:pPr>
              <w:ind w:left="20"/>
              <w:spacing w:after="0"/>
              <w:rPr>
                <w:sz w:val="20"/>
                <w:szCs w:val="20"/>
                <w:color w:val="auto"/>
              </w:rPr>
            </w:pPr>
            <w:r>
              <w:rPr>
                <w:rFonts w:ascii="Arial" w:cs="Arial" w:eastAsia="Arial" w:hAnsi="Arial"/>
                <w:sz w:val="16"/>
                <w:szCs w:val="16"/>
                <w:color w:val="4B4B4B"/>
              </w:rPr>
              <w:t>Gillian Munson</w:t>
            </w:r>
          </w:p>
        </w:tc>
        <w:tc>
          <w:tcPr>
            <w:tcW w:w="4820" w:type="dxa"/>
            <w:vAlign w:val="bottom"/>
            <w:vMerge w:val="restart"/>
          </w:tcPr>
          <w:p>
            <w:pPr>
              <w:jc w:val="center"/>
              <w:ind w:left="3519"/>
              <w:spacing w:after="0"/>
              <w:rPr>
                <w:sz w:val="20"/>
                <w:szCs w:val="20"/>
                <w:color w:val="auto"/>
              </w:rPr>
            </w:pPr>
            <w:r>
              <w:rPr>
                <w:rFonts w:ascii="Arial" w:cs="Arial" w:eastAsia="Arial" w:hAnsi="Arial"/>
                <w:sz w:val="16"/>
                <w:szCs w:val="16"/>
                <w:color w:val="4B4B4B"/>
              </w:rPr>
              <w:t>25,000</w:t>
            </w:r>
          </w:p>
        </w:tc>
        <w:tc>
          <w:tcPr>
            <w:tcW w:w="1600" w:type="dxa"/>
            <w:vAlign w:val="bottom"/>
            <w:vMerge w:val="restart"/>
          </w:tcPr>
          <w:p>
            <w:pPr>
              <w:jc w:val="center"/>
              <w:ind w:left="39"/>
              <w:spacing w:after="0"/>
              <w:rPr>
                <w:sz w:val="20"/>
                <w:szCs w:val="20"/>
                <w:color w:val="auto"/>
              </w:rPr>
            </w:pPr>
            <w:r>
              <w:rPr>
                <w:rFonts w:ascii="Arial" w:cs="Arial" w:eastAsia="Arial" w:hAnsi="Arial"/>
                <w:sz w:val="16"/>
                <w:szCs w:val="16"/>
                <w:color w:val="4B4B4B"/>
                <w:w w:val="99"/>
              </w:rPr>
              <w:t>1,573</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4660" w:type="dxa"/>
            <w:vAlign w:val="bottom"/>
            <w:vMerge w:val="continue"/>
          </w:tcPr>
          <w:p>
            <w:pPr>
              <w:spacing w:after="0"/>
              <w:rPr>
                <w:sz w:val="19"/>
                <w:szCs w:val="19"/>
                <w:color w:val="auto"/>
              </w:rPr>
            </w:pPr>
          </w:p>
        </w:tc>
        <w:tc>
          <w:tcPr>
            <w:tcW w:w="482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40" w:type="dxa"/>
            <w:vAlign w:val="bottom"/>
            <w:tcBorders>
              <w:bottom w:val="single" w:sz="8" w:color="E5E5E5"/>
            </w:tcBorders>
          </w:tcPr>
          <w:p>
            <w:pPr>
              <w:spacing w:after="0"/>
              <w:rPr>
                <w:sz w:val="3"/>
                <w:szCs w:val="3"/>
                <w:color w:val="auto"/>
              </w:rPr>
            </w:pPr>
          </w:p>
        </w:tc>
        <w:tc>
          <w:tcPr>
            <w:tcW w:w="4660" w:type="dxa"/>
            <w:vAlign w:val="bottom"/>
            <w:vMerge w:val="restart"/>
          </w:tcPr>
          <w:p>
            <w:pPr>
              <w:ind w:left="20"/>
              <w:spacing w:after="0"/>
              <w:rPr>
                <w:sz w:val="20"/>
                <w:szCs w:val="20"/>
                <w:color w:val="auto"/>
              </w:rPr>
            </w:pPr>
            <w:r>
              <w:rPr>
                <w:rFonts w:ascii="Arial" w:cs="Arial" w:eastAsia="Arial" w:hAnsi="Arial"/>
                <w:sz w:val="16"/>
                <w:szCs w:val="16"/>
                <w:color w:val="4B4B4B"/>
              </w:rPr>
              <w:t>Jim Shelton</w:t>
            </w:r>
          </w:p>
        </w:tc>
        <w:tc>
          <w:tcPr>
            <w:tcW w:w="4820" w:type="dxa"/>
            <w:vAlign w:val="bottom"/>
            <w:vMerge w:val="restart"/>
          </w:tcPr>
          <w:p>
            <w:pPr>
              <w:jc w:val="center"/>
              <w:ind w:left="3519"/>
              <w:spacing w:after="0"/>
              <w:rPr>
                <w:sz w:val="20"/>
                <w:szCs w:val="20"/>
                <w:color w:val="auto"/>
              </w:rPr>
            </w:pPr>
            <w:r>
              <w:rPr>
                <w:rFonts w:ascii="Arial" w:cs="Arial" w:eastAsia="Arial" w:hAnsi="Arial"/>
                <w:sz w:val="16"/>
                <w:szCs w:val="16"/>
                <w:color w:val="4B4B4B"/>
              </w:rPr>
              <w:t>40,000</w:t>
            </w:r>
          </w:p>
        </w:tc>
        <w:tc>
          <w:tcPr>
            <w:tcW w:w="1600" w:type="dxa"/>
            <w:vAlign w:val="bottom"/>
            <w:vMerge w:val="restart"/>
          </w:tcPr>
          <w:p>
            <w:pPr>
              <w:jc w:val="center"/>
              <w:ind w:left="39"/>
              <w:spacing w:after="0"/>
              <w:rPr>
                <w:sz w:val="20"/>
                <w:szCs w:val="20"/>
                <w:color w:val="auto"/>
              </w:rPr>
            </w:pPr>
            <w:r>
              <w:rPr>
                <w:rFonts w:ascii="Arial" w:cs="Arial" w:eastAsia="Arial" w:hAnsi="Arial"/>
                <w:sz w:val="16"/>
                <w:szCs w:val="16"/>
                <w:color w:val="4B4B4B"/>
                <w:w w:val="99"/>
              </w:rPr>
              <w:t>1,573</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4660" w:type="dxa"/>
            <w:vAlign w:val="bottom"/>
            <w:vMerge w:val="continue"/>
          </w:tcPr>
          <w:p>
            <w:pPr>
              <w:spacing w:after="0"/>
              <w:rPr>
                <w:sz w:val="19"/>
                <w:szCs w:val="19"/>
                <w:color w:val="auto"/>
              </w:rPr>
            </w:pPr>
          </w:p>
        </w:tc>
        <w:tc>
          <w:tcPr>
            <w:tcW w:w="482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40" w:type="dxa"/>
            <w:vAlign w:val="bottom"/>
            <w:tcBorders>
              <w:bottom w:val="single" w:sz="8" w:color="E5E5E5"/>
            </w:tcBorders>
          </w:tcPr>
          <w:p>
            <w:pPr>
              <w:spacing w:after="0"/>
              <w:rPr>
                <w:sz w:val="3"/>
                <w:szCs w:val="3"/>
                <w:color w:val="auto"/>
              </w:rPr>
            </w:pPr>
          </w:p>
        </w:tc>
        <w:tc>
          <w:tcPr>
            <w:tcW w:w="4660" w:type="dxa"/>
            <w:vAlign w:val="bottom"/>
            <w:vMerge w:val="restart"/>
          </w:tcPr>
          <w:p>
            <w:pPr>
              <w:ind w:left="20"/>
              <w:spacing w:after="0"/>
              <w:rPr>
                <w:sz w:val="20"/>
                <w:szCs w:val="20"/>
                <w:color w:val="auto"/>
              </w:rPr>
            </w:pPr>
            <w:r>
              <w:rPr>
                <w:rFonts w:ascii="Arial" w:cs="Arial" w:eastAsia="Arial" w:hAnsi="Arial"/>
                <w:sz w:val="16"/>
                <w:szCs w:val="16"/>
                <w:color w:val="4B4B4B"/>
              </w:rPr>
              <w:t>Laela Sturdy</w:t>
            </w:r>
          </w:p>
        </w:tc>
        <w:tc>
          <w:tcPr>
            <w:tcW w:w="4820" w:type="dxa"/>
            <w:vAlign w:val="bottom"/>
            <w:vMerge w:val="restart"/>
          </w:tcPr>
          <w:p>
            <w:pPr>
              <w:jc w:val="center"/>
              <w:ind w:left="3519"/>
              <w:spacing w:after="0"/>
              <w:rPr>
                <w:sz w:val="20"/>
                <w:szCs w:val="20"/>
                <w:color w:val="auto"/>
              </w:rPr>
            </w:pPr>
            <w:r>
              <w:rPr>
                <w:rFonts w:ascii="Arial" w:cs="Arial" w:eastAsia="Arial" w:hAnsi="Arial"/>
                <w:sz w:val="16"/>
                <w:szCs w:val="16"/>
                <w:color w:val="4B4B4B"/>
              </w:rPr>
              <w:t>40,000</w:t>
            </w:r>
          </w:p>
        </w:tc>
        <w:tc>
          <w:tcPr>
            <w:tcW w:w="1600" w:type="dxa"/>
            <w:vAlign w:val="bottom"/>
            <w:vMerge w:val="restart"/>
          </w:tcPr>
          <w:p>
            <w:pPr>
              <w:jc w:val="center"/>
              <w:ind w:left="39"/>
              <w:spacing w:after="0"/>
              <w:rPr>
                <w:sz w:val="20"/>
                <w:szCs w:val="20"/>
                <w:color w:val="auto"/>
              </w:rPr>
            </w:pPr>
            <w:r>
              <w:rPr>
                <w:rFonts w:ascii="Arial" w:cs="Arial" w:eastAsia="Arial" w:hAnsi="Arial"/>
                <w:sz w:val="16"/>
                <w:szCs w:val="16"/>
                <w:color w:val="4B4B4B"/>
                <w:w w:val="99"/>
              </w:rPr>
              <w:t>1,573</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4660" w:type="dxa"/>
            <w:vAlign w:val="bottom"/>
            <w:vMerge w:val="continue"/>
          </w:tcPr>
          <w:p>
            <w:pPr>
              <w:spacing w:after="0"/>
              <w:rPr>
                <w:sz w:val="19"/>
                <w:szCs w:val="19"/>
                <w:color w:val="auto"/>
              </w:rPr>
            </w:pPr>
          </w:p>
        </w:tc>
        <w:tc>
          <w:tcPr>
            <w:tcW w:w="482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40" w:type="dxa"/>
            <w:vAlign w:val="bottom"/>
            <w:tcBorders>
              <w:bottom w:val="single" w:sz="8" w:color="E5E5E5"/>
            </w:tcBorders>
          </w:tcPr>
          <w:p>
            <w:pPr>
              <w:spacing w:after="0"/>
              <w:rPr>
                <w:sz w:val="3"/>
                <w:szCs w:val="3"/>
                <w:color w:val="auto"/>
              </w:rPr>
            </w:pPr>
          </w:p>
        </w:tc>
        <w:tc>
          <w:tcPr>
            <w:tcW w:w="46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-26670</wp:posOffset>
            </wp:positionV>
            <wp:extent cx="705485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-207010</wp:posOffset>
            </wp:positionV>
            <wp:extent cx="705485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-386715</wp:posOffset>
            </wp:positionV>
            <wp:extent cx="705485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-567055</wp:posOffset>
            </wp:positionV>
            <wp:extent cx="705485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-747395</wp:posOffset>
            </wp:positionV>
            <wp:extent cx="705485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-927100</wp:posOffset>
            </wp:positionV>
            <wp:extent cx="705485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-1106805</wp:posOffset>
            </wp:positionV>
            <wp:extent cx="705485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5485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782320</wp:posOffset>
            </wp:positionV>
            <wp:extent cx="71062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35</w:t>
            </w:r>
          </w:p>
        </w:tc>
      </w:tr>
    </w:tbl>
    <w:p>
      <w:pPr>
        <w:sectPr>
          <w:pgSz w:w="11900" w:h="16838" w:orient="portrait"/>
          <w:cols w:equalWidth="0" w:num="1">
            <w:col w:w="11240"/>
          </w:cols>
          <w:pgMar w:left="320" w:top="136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777777"/>
        </w:rPr>
        <w:t>Narrative Disclosure to Director Compensation Table</w:t>
      </w:r>
    </w:p>
    <w:p>
      <w:pPr>
        <w:spacing w:after="0" w:line="15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4B4B4B"/>
        </w:rPr>
        <w:t>Prior to our initial public offering, we did not have a formalized non-employee director compensation program; however, with the exception of Mr. Burnham, we granted each of our non-employee directors options to purchase shares of our common stock in connection with their commencement of service with us. These option were granted under our 2011 Plan. Ms. Munson’s option grant vests in equal installments annually over two years, while the other non-employee directors’ options vest in equal installments annually over four years, in each case subject to the director’s continued service. In March 2021, we granted Ms. Sturdy an option to purchase 40,000 shares of our common stock, subject to the same four year vesting terms described above.</w:t>
      </w:r>
    </w:p>
    <w:p>
      <w:pPr>
        <w:spacing w:after="0" w:line="152"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4B4B4B"/>
        </w:rPr>
        <w:t>In December 2021, we granted each of our non-employee directors (other than Mr. Lilly) an award of 1,573 RSUs, each of which will fully vest immediately prior to our next annual stockholders’ meeting, subject to continued service through such date. In connection with Mr. Lilly’s commencement of service on our Board of Directors in December 2021, Mr. Lilly was granted an initial award of 2,950 RSUs under our Director Compensation Program (described below) that vests in equal installments annually over three years, subject to continued service.</w:t>
      </w:r>
    </w:p>
    <w:p>
      <w:pPr>
        <w:spacing w:after="0" w:line="13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4B4B4B"/>
        </w:rPr>
        <w:t>In connection with our initial public offering, we adopted a compensation policy for our non-employee directors (the “Director Compensation Program”). Pursuant to the Director Compensation Program, our non-employee directors are eligible to receive cash compensation as follows:</w:t>
      </w:r>
    </w:p>
    <w:p>
      <w:pPr>
        <w:spacing w:after="0" w:line="149"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18"/>
          <w:szCs w:val="18"/>
          <w:color w:val="4B4B4B"/>
        </w:rPr>
      </w:pPr>
      <w:r>
        <w:rPr>
          <w:rFonts w:ascii="Arial" w:cs="Arial" w:eastAsia="Arial" w:hAnsi="Arial"/>
          <w:sz w:val="18"/>
          <w:szCs w:val="18"/>
          <w:color w:val="4B4B4B"/>
        </w:rPr>
        <w:t>Each non-employee director is eligible to receive an annual cash retainer in the amount of $30,000 per year.</w:t>
      </w:r>
    </w:p>
    <w:p>
      <w:pPr>
        <w:spacing w:after="0" w:line="184" w:lineRule="exact"/>
        <w:rPr>
          <w:rFonts w:ascii="Arial" w:cs="Arial" w:eastAsia="Arial" w:hAnsi="Arial"/>
          <w:sz w:val="18"/>
          <w:szCs w:val="18"/>
          <w:color w:val="4B4B4B"/>
        </w:rPr>
      </w:pPr>
    </w:p>
    <w:p>
      <w:pPr>
        <w:ind w:left="240" w:hanging="232"/>
        <w:spacing w:after="0"/>
        <w:tabs>
          <w:tab w:leader="none" w:pos="240" w:val="left"/>
        </w:tabs>
        <w:numPr>
          <w:ilvl w:val="0"/>
          <w:numId w:val="23"/>
        </w:numPr>
        <w:rPr>
          <w:rFonts w:ascii="Arial" w:cs="Arial" w:eastAsia="Arial" w:hAnsi="Arial"/>
          <w:sz w:val="18"/>
          <w:szCs w:val="18"/>
          <w:color w:val="4B4B4B"/>
        </w:rPr>
      </w:pPr>
      <w:r>
        <w:rPr>
          <w:rFonts w:ascii="Arial" w:cs="Arial" w:eastAsia="Arial" w:hAnsi="Arial"/>
          <w:sz w:val="18"/>
          <w:szCs w:val="18"/>
          <w:color w:val="4B4B4B"/>
        </w:rPr>
        <w:t>Any non-executive chairperson is eligible to receive an additional annual cash retainer in the amount of $25,000 per year.</w:t>
      </w:r>
    </w:p>
    <w:p>
      <w:pPr>
        <w:spacing w:after="0" w:line="184" w:lineRule="exact"/>
        <w:rPr>
          <w:rFonts w:ascii="Arial" w:cs="Arial" w:eastAsia="Arial" w:hAnsi="Arial"/>
          <w:sz w:val="18"/>
          <w:szCs w:val="18"/>
          <w:color w:val="4B4B4B"/>
        </w:rPr>
      </w:pPr>
    </w:p>
    <w:p>
      <w:pPr>
        <w:ind w:left="260" w:right="20" w:hanging="252"/>
        <w:spacing w:after="0" w:line="271" w:lineRule="auto"/>
        <w:tabs>
          <w:tab w:leader="none" w:pos="242" w:val="left"/>
        </w:tabs>
        <w:numPr>
          <w:ilvl w:val="0"/>
          <w:numId w:val="23"/>
        </w:numPr>
        <w:rPr>
          <w:rFonts w:ascii="Arial" w:cs="Arial" w:eastAsia="Arial" w:hAnsi="Arial"/>
          <w:sz w:val="18"/>
          <w:szCs w:val="18"/>
          <w:color w:val="4B4B4B"/>
        </w:rPr>
      </w:pPr>
      <w:r>
        <w:rPr>
          <w:rFonts w:ascii="Arial" w:cs="Arial" w:eastAsia="Arial" w:hAnsi="Arial"/>
          <w:sz w:val="18"/>
          <w:szCs w:val="18"/>
          <w:color w:val="4B4B4B"/>
        </w:rPr>
        <w:t>The chairperson of the Audit Committee is eligible to receive an additional annual cash retainer in the amount of $20,000 per year for such chairperson’s service on the Audit Committee. Each non-chairperson member of the Audit Committee is eligible to receive an additional annual cash retainer in the amount of $10,000 per year for such member’s service on the Audit Committee.</w:t>
      </w:r>
    </w:p>
    <w:p>
      <w:pPr>
        <w:spacing w:after="0" w:line="149" w:lineRule="exact"/>
        <w:rPr>
          <w:rFonts w:ascii="Arial" w:cs="Arial" w:eastAsia="Arial" w:hAnsi="Arial"/>
          <w:sz w:val="18"/>
          <w:szCs w:val="18"/>
          <w:color w:val="4B4B4B"/>
        </w:rPr>
      </w:pPr>
    </w:p>
    <w:p>
      <w:pPr>
        <w:ind w:left="260" w:right="160" w:hanging="252"/>
        <w:spacing w:after="0" w:line="269" w:lineRule="auto"/>
        <w:tabs>
          <w:tab w:leader="none" w:pos="242" w:val="left"/>
        </w:tabs>
        <w:numPr>
          <w:ilvl w:val="0"/>
          <w:numId w:val="23"/>
        </w:numPr>
        <w:rPr>
          <w:rFonts w:ascii="Arial" w:cs="Arial" w:eastAsia="Arial" w:hAnsi="Arial"/>
          <w:sz w:val="18"/>
          <w:szCs w:val="18"/>
          <w:color w:val="4B4B4B"/>
        </w:rPr>
      </w:pPr>
      <w:r>
        <w:rPr>
          <w:rFonts w:ascii="Arial" w:cs="Arial" w:eastAsia="Arial" w:hAnsi="Arial"/>
          <w:sz w:val="18"/>
          <w:szCs w:val="18"/>
          <w:color w:val="4B4B4B"/>
        </w:rPr>
        <w:t>The chairperson of the Compensation Committee is eligible to receive an additional annual cash retainer in the amount of $12,000 per year for such chairperson’s service on the Compensation Committee. Each non-chairperson member of the Compensation Committee is eligible to receive an additional annual cash retainer in the amount of $6,000 per year for such member’s service on the Compensation Committee.</w:t>
      </w:r>
    </w:p>
    <w:p>
      <w:pPr>
        <w:spacing w:after="0" w:line="152" w:lineRule="exact"/>
        <w:rPr>
          <w:rFonts w:ascii="Arial" w:cs="Arial" w:eastAsia="Arial" w:hAnsi="Arial"/>
          <w:sz w:val="18"/>
          <w:szCs w:val="18"/>
          <w:color w:val="4B4B4B"/>
        </w:rPr>
      </w:pPr>
    </w:p>
    <w:p>
      <w:pPr>
        <w:jc w:val="both"/>
        <w:ind w:left="260" w:right="80" w:hanging="252"/>
        <w:spacing w:after="0" w:line="269" w:lineRule="auto"/>
        <w:tabs>
          <w:tab w:leader="none" w:pos="242" w:val="left"/>
        </w:tabs>
        <w:numPr>
          <w:ilvl w:val="0"/>
          <w:numId w:val="23"/>
        </w:numPr>
        <w:rPr>
          <w:rFonts w:ascii="Arial" w:cs="Arial" w:eastAsia="Arial" w:hAnsi="Arial"/>
          <w:sz w:val="18"/>
          <w:szCs w:val="18"/>
          <w:color w:val="4B4B4B"/>
        </w:rPr>
      </w:pPr>
      <w:r>
        <w:rPr>
          <w:rFonts w:ascii="Arial" w:cs="Arial" w:eastAsia="Arial" w:hAnsi="Arial"/>
          <w:sz w:val="18"/>
          <w:szCs w:val="18"/>
          <w:color w:val="4B4B4B"/>
        </w:rPr>
        <w:t>The chairperson of the Nominating and Corporate Governance Committee will receive additional an annual cash retainer in the amount of $8,000 per year for such chairperson’s service on the Nominating and Corporate Governance Committee. Each non-chairperson member of the Nominating and Corporate Governance Committee is eligible to receive an additional annual cash retainer in the amount of $4,000 per year for such member’s service on the Nominating and Corporate Governance Committee.</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8"/>
          <w:szCs w:val="18"/>
          <w:color w:val="4B4B4B"/>
        </w:rPr>
        <w:t>Under the Director Compensation Program, each non-employee director will automatically be granted (i) RSUs covering a number of shares of our common stock calculated by dividing (a) $300,000 by (b) the closing trading price of our common stock as of the date of grant (or if the date of grant is not a trading day, the immediately preceding trading day), rounded down to the nearest whole share, upon the director’s initial appointment or election to our Board of Directors, (the “Initial Grant”), and (ii) for each non-employee director who has served for at least six months as of the date of each annual stockholders’ meeting, RSUs covering a number of shares of our common stock calculated by dividing</w:t>
      </w:r>
    </w:p>
    <w:p>
      <w:pPr>
        <w:ind w:right="260" w:firstLine="8"/>
        <w:spacing w:after="0" w:line="268" w:lineRule="auto"/>
        <w:tabs>
          <w:tab w:leader="none" w:pos="270" w:val="left"/>
        </w:tabs>
        <w:numPr>
          <w:ilvl w:val="0"/>
          <w:numId w:val="24"/>
        </w:numPr>
        <w:rPr>
          <w:rFonts w:ascii="Arial" w:cs="Arial" w:eastAsia="Arial" w:hAnsi="Arial"/>
          <w:sz w:val="18"/>
          <w:szCs w:val="18"/>
          <w:color w:val="4B4B4B"/>
        </w:rPr>
      </w:pPr>
      <w:r>
        <w:rPr>
          <w:rFonts w:ascii="Arial" w:cs="Arial" w:eastAsia="Arial" w:hAnsi="Arial"/>
          <w:sz w:val="18"/>
          <w:szCs w:val="18"/>
          <w:color w:val="4B4B4B"/>
        </w:rPr>
        <w:t>$160,000 by (b) the closing trading price of our common stock as of the date of grant (or if the date of grant is not a trading day, the immediately preceding trading day), rounded down to the nearest whole share, automatically on the date of each annual stockholders’ meeting thereafter (the “Annual Grant”). The Initial Grant will vest over three years, subject to continued service through each applicable vesting date. The Annual Grant will vest on the first anniversary of the date of grant, provided, that if our annual stockholders’ meeting immediately following the date of grant takes place prior to the first anniversary of the date of grant, the Annual Grant will vest immediately prior to our annual stockholders’ meeting following the date of grant, subject to continued service through each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706120</wp:posOffset>
            </wp:positionV>
            <wp:extent cx="71062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36</w:t>
            </w:r>
          </w:p>
        </w:tc>
      </w:tr>
    </w:tbl>
    <w:p>
      <w:pPr>
        <w:sectPr>
          <w:pgSz w:w="11900" w:h="16838" w:orient="portrait"/>
          <w:cols w:equalWidth="0" w:num="1">
            <w:col w:w="11240"/>
          </w:cols>
          <w:pgMar w:left="320" w:top="1318" w:right="339" w:bottom="1440" w:gutter="0" w:footer="0" w:header="0"/>
        </w:sectPr>
      </w:pPr>
    </w:p>
    <w:bookmarkStart w:id="41" w:name="page42"/>
    <w:bookmarkEnd w:id="41"/>
    <w:p>
      <w:pPr>
        <w:jc w:val="both"/>
        <w:ind w:right="180"/>
        <w:spacing w:after="0" w:line="271" w:lineRule="auto"/>
        <w:rPr>
          <w:sz w:val="20"/>
          <w:szCs w:val="20"/>
          <w:color w:val="auto"/>
        </w:rPr>
      </w:pPr>
      <w:r>
        <w:rPr>
          <w:rFonts w:ascii="Arial" w:cs="Arial" w:eastAsia="Arial" w:hAnsi="Arial"/>
          <w:sz w:val="18"/>
          <w:szCs w:val="18"/>
          <w:color w:val="4B4B4B"/>
        </w:rPr>
        <w:t>In the event of a change in control (as defined in the Director Compensation Program), each Initial Grant and Annual Grant, along with any stock options or other equity-based awards held by any non-employee director, will vest and, to the extent applicable, become exercisable immediately prior to such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704215</wp:posOffset>
            </wp:positionV>
            <wp:extent cx="71062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37</w:t>
            </w:r>
          </w:p>
        </w:tc>
      </w:tr>
    </w:tbl>
    <w:p>
      <w:pPr>
        <w:sectPr>
          <w:pgSz w:w="11900" w:h="16838" w:orient="portrait"/>
          <w:cols w:equalWidth="0" w:num="1">
            <w:col w:w="11200"/>
          </w:cols>
          <w:pgMar w:left="320" w:top="1354" w:right="379" w:bottom="1440" w:gutter="0" w:footer="0" w:header="0"/>
        </w:sectPr>
      </w:pPr>
    </w:p>
    <w:bookmarkStart w:id="42" w:name="page43"/>
    <w:bookmarkEnd w:id="42"/>
    <w:p>
      <w:pPr>
        <w:spacing w:after="0"/>
        <w:rPr>
          <w:sz w:val="20"/>
          <w:szCs w:val="20"/>
          <w:color w:val="auto"/>
        </w:rPr>
      </w:pPr>
      <w:r>
        <w:rPr>
          <w:rFonts w:ascii="Arial" w:cs="Arial" w:eastAsia="Arial" w:hAnsi="Arial"/>
          <w:sz w:val="36"/>
          <w:szCs w:val="36"/>
          <w:b w:val="1"/>
          <w:bCs w:val="1"/>
          <w:color w:val="4B4B4B"/>
        </w:rPr>
        <w:t>Equity Compensation Plan Information</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4B4B4B"/>
        </w:rPr>
        <w:t>The following table summarizes securities available under our equity compensation plans as of December 31,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40" w:type="dxa"/>
            <w:vAlign w:val="bottom"/>
            <w:shd w:val="clear" w:color="auto" w:fill="F7F7F7"/>
          </w:tcPr>
          <w:p>
            <w:pPr>
              <w:spacing w:after="0"/>
              <w:rPr>
                <w:sz w:val="18"/>
                <w:szCs w:val="18"/>
                <w:color w:val="auto"/>
              </w:rPr>
            </w:pPr>
          </w:p>
        </w:tc>
        <w:tc>
          <w:tcPr>
            <w:tcW w:w="6480" w:type="dxa"/>
            <w:vAlign w:val="bottom"/>
            <w:shd w:val="clear" w:color="auto" w:fill="F7F7F7"/>
          </w:tcPr>
          <w:p>
            <w:pPr>
              <w:spacing w:after="0"/>
              <w:rPr>
                <w:sz w:val="18"/>
                <w:szCs w:val="18"/>
                <w:color w:val="auto"/>
              </w:rPr>
            </w:pPr>
          </w:p>
        </w:tc>
        <w:tc>
          <w:tcPr>
            <w:tcW w:w="1460" w:type="dxa"/>
            <w:vAlign w:val="bottom"/>
            <w:shd w:val="clear" w:color="auto" w:fill="F7F7F7"/>
          </w:tcPr>
          <w:p>
            <w:pPr>
              <w:spacing w:after="0"/>
              <w:rPr>
                <w:sz w:val="18"/>
                <w:szCs w:val="18"/>
                <w:color w:val="auto"/>
              </w:rPr>
            </w:pPr>
          </w:p>
        </w:tc>
        <w:tc>
          <w:tcPr>
            <w:tcW w:w="100" w:type="dxa"/>
            <w:vAlign w:val="bottom"/>
            <w:shd w:val="clear" w:color="auto" w:fill="F7F7F7"/>
          </w:tcPr>
          <w:p>
            <w:pPr>
              <w:spacing w:after="0"/>
              <w:rPr>
                <w:sz w:val="18"/>
                <w:szCs w:val="18"/>
                <w:color w:val="auto"/>
              </w:rPr>
            </w:pPr>
          </w:p>
        </w:tc>
        <w:tc>
          <w:tcPr>
            <w:tcW w:w="1480" w:type="dxa"/>
            <w:vAlign w:val="bottom"/>
            <w:shd w:val="clear" w:color="auto" w:fill="F7F7F7"/>
          </w:tcPr>
          <w:p>
            <w:pPr>
              <w:spacing w:after="0"/>
              <w:rPr>
                <w:sz w:val="18"/>
                <w:szCs w:val="18"/>
                <w:color w:val="auto"/>
              </w:rPr>
            </w:pPr>
          </w:p>
        </w:tc>
        <w:tc>
          <w:tcPr>
            <w:tcW w:w="80" w:type="dxa"/>
            <w:vAlign w:val="bottom"/>
            <w:shd w:val="clear" w:color="auto" w:fill="F7F7F7"/>
          </w:tcPr>
          <w:p>
            <w:pPr>
              <w:spacing w:after="0"/>
              <w:rPr>
                <w:sz w:val="18"/>
                <w:szCs w:val="18"/>
                <w:color w:val="auto"/>
              </w:rPr>
            </w:pPr>
          </w:p>
        </w:tc>
        <w:tc>
          <w:tcPr>
            <w:tcW w:w="148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w w:val="99"/>
              </w:rPr>
              <w:t>Number of</w:t>
            </w:r>
          </w:p>
        </w:tc>
      </w:tr>
      <w:tr>
        <w:trPr>
          <w:trHeight w:val="203"/>
        </w:trPr>
        <w:tc>
          <w:tcPr>
            <w:tcW w:w="20" w:type="dxa"/>
            <w:vAlign w:val="bottom"/>
          </w:tcPr>
          <w:p>
            <w:pPr>
              <w:spacing w:after="0"/>
              <w:rPr>
                <w:sz w:val="17"/>
                <w:szCs w:val="17"/>
                <w:color w:val="auto"/>
              </w:rPr>
            </w:pPr>
          </w:p>
        </w:tc>
        <w:tc>
          <w:tcPr>
            <w:tcW w:w="140" w:type="dxa"/>
            <w:vAlign w:val="bottom"/>
            <w:shd w:val="clear" w:color="auto" w:fill="F7F7F7"/>
          </w:tcPr>
          <w:p>
            <w:pPr>
              <w:spacing w:after="0"/>
              <w:rPr>
                <w:sz w:val="17"/>
                <w:szCs w:val="17"/>
                <w:color w:val="auto"/>
              </w:rPr>
            </w:pPr>
          </w:p>
        </w:tc>
        <w:tc>
          <w:tcPr>
            <w:tcW w:w="6480" w:type="dxa"/>
            <w:vAlign w:val="bottom"/>
            <w:shd w:val="clear" w:color="auto" w:fill="F7F7F7"/>
          </w:tcPr>
          <w:p>
            <w:pPr>
              <w:spacing w:after="0"/>
              <w:rPr>
                <w:sz w:val="17"/>
                <w:szCs w:val="17"/>
                <w:color w:val="auto"/>
              </w:rPr>
            </w:pPr>
          </w:p>
        </w:tc>
        <w:tc>
          <w:tcPr>
            <w:tcW w:w="1560" w:type="dxa"/>
            <w:vAlign w:val="bottom"/>
            <w:gridSpan w:val="2"/>
            <w:shd w:val="clear" w:color="auto" w:fill="F7F7F7"/>
          </w:tcPr>
          <w:p>
            <w:pPr>
              <w:jc w:val="center"/>
              <w:ind w:right="100"/>
              <w:spacing w:after="0"/>
              <w:rPr>
                <w:sz w:val="20"/>
                <w:szCs w:val="20"/>
                <w:color w:val="auto"/>
              </w:rPr>
            </w:pPr>
            <w:r>
              <w:rPr>
                <w:rFonts w:ascii="Arial" w:cs="Arial" w:eastAsia="Arial" w:hAnsi="Arial"/>
                <w:sz w:val="16"/>
                <w:szCs w:val="16"/>
                <w:b w:val="1"/>
                <w:bCs w:val="1"/>
                <w:color w:val="4B4B4B"/>
              </w:rPr>
              <w:t>Number of</w:t>
            </w:r>
          </w:p>
        </w:tc>
        <w:tc>
          <w:tcPr>
            <w:tcW w:w="1480" w:type="dxa"/>
            <w:vAlign w:val="bottom"/>
            <w:shd w:val="clear" w:color="auto" w:fill="F7F7F7"/>
          </w:tcPr>
          <w:p>
            <w:pPr>
              <w:spacing w:after="0"/>
              <w:rPr>
                <w:sz w:val="17"/>
                <w:szCs w:val="17"/>
                <w:color w:val="auto"/>
              </w:rPr>
            </w:pPr>
          </w:p>
        </w:tc>
        <w:tc>
          <w:tcPr>
            <w:tcW w:w="80" w:type="dxa"/>
            <w:vAlign w:val="bottom"/>
            <w:shd w:val="clear" w:color="auto" w:fill="F7F7F7"/>
          </w:tcPr>
          <w:p>
            <w:pPr>
              <w:spacing w:after="0"/>
              <w:rPr>
                <w:sz w:val="17"/>
                <w:szCs w:val="17"/>
                <w:color w:val="auto"/>
              </w:rPr>
            </w:pPr>
          </w:p>
        </w:tc>
        <w:tc>
          <w:tcPr>
            <w:tcW w:w="148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securities</w:t>
            </w:r>
          </w:p>
        </w:tc>
      </w:tr>
      <w:tr>
        <w:trPr>
          <w:trHeight w:val="203"/>
        </w:trPr>
        <w:tc>
          <w:tcPr>
            <w:tcW w:w="20" w:type="dxa"/>
            <w:vAlign w:val="bottom"/>
          </w:tcPr>
          <w:p>
            <w:pPr>
              <w:spacing w:after="0"/>
              <w:rPr>
                <w:sz w:val="17"/>
                <w:szCs w:val="17"/>
                <w:color w:val="auto"/>
              </w:rPr>
            </w:pPr>
          </w:p>
        </w:tc>
        <w:tc>
          <w:tcPr>
            <w:tcW w:w="140" w:type="dxa"/>
            <w:vAlign w:val="bottom"/>
            <w:shd w:val="clear" w:color="auto" w:fill="F7F7F7"/>
          </w:tcPr>
          <w:p>
            <w:pPr>
              <w:spacing w:after="0"/>
              <w:rPr>
                <w:sz w:val="17"/>
                <w:szCs w:val="17"/>
                <w:color w:val="auto"/>
              </w:rPr>
            </w:pPr>
          </w:p>
        </w:tc>
        <w:tc>
          <w:tcPr>
            <w:tcW w:w="6480" w:type="dxa"/>
            <w:vAlign w:val="bottom"/>
            <w:shd w:val="clear" w:color="auto" w:fill="F7F7F7"/>
          </w:tcPr>
          <w:p>
            <w:pPr>
              <w:spacing w:after="0"/>
              <w:rPr>
                <w:sz w:val="17"/>
                <w:szCs w:val="17"/>
                <w:color w:val="auto"/>
              </w:rPr>
            </w:pPr>
          </w:p>
        </w:tc>
        <w:tc>
          <w:tcPr>
            <w:tcW w:w="1560" w:type="dxa"/>
            <w:vAlign w:val="bottom"/>
            <w:gridSpan w:val="2"/>
            <w:shd w:val="clear" w:color="auto" w:fill="F7F7F7"/>
          </w:tcPr>
          <w:p>
            <w:pPr>
              <w:jc w:val="center"/>
              <w:ind w:right="100"/>
              <w:spacing w:after="0"/>
              <w:rPr>
                <w:sz w:val="20"/>
                <w:szCs w:val="20"/>
                <w:color w:val="auto"/>
              </w:rPr>
            </w:pPr>
            <w:r>
              <w:rPr>
                <w:rFonts w:ascii="Arial" w:cs="Arial" w:eastAsia="Arial" w:hAnsi="Arial"/>
                <w:sz w:val="16"/>
                <w:szCs w:val="16"/>
                <w:b w:val="1"/>
                <w:bCs w:val="1"/>
                <w:color w:val="4B4B4B"/>
              </w:rPr>
              <w:t>securities to be</w:t>
            </w:r>
          </w:p>
        </w:tc>
        <w:tc>
          <w:tcPr>
            <w:tcW w:w="1560" w:type="dxa"/>
            <w:vAlign w:val="bottom"/>
            <w:gridSpan w:val="2"/>
            <w:shd w:val="clear" w:color="auto" w:fill="F7F7F7"/>
          </w:tcPr>
          <w:p>
            <w:pPr>
              <w:jc w:val="center"/>
              <w:ind w:right="100"/>
              <w:spacing w:after="0"/>
              <w:rPr>
                <w:sz w:val="20"/>
                <w:szCs w:val="20"/>
                <w:color w:val="auto"/>
              </w:rPr>
            </w:pPr>
            <w:r>
              <w:rPr>
                <w:rFonts w:ascii="Arial" w:cs="Arial" w:eastAsia="Arial" w:hAnsi="Arial"/>
                <w:sz w:val="16"/>
                <w:szCs w:val="16"/>
                <w:b w:val="1"/>
                <w:bCs w:val="1"/>
                <w:color w:val="4B4B4B"/>
              </w:rPr>
              <w:t>Weighted average</w:t>
            </w:r>
          </w:p>
        </w:tc>
        <w:tc>
          <w:tcPr>
            <w:tcW w:w="148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w w:val="99"/>
              </w:rPr>
              <w:t>remaining</w:t>
            </w:r>
          </w:p>
        </w:tc>
      </w:tr>
      <w:tr>
        <w:trPr>
          <w:trHeight w:val="203"/>
        </w:trPr>
        <w:tc>
          <w:tcPr>
            <w:tcW w:w="20" w:type="dxa"/>
            <w:vAlign w:val="bottom"/>
          </w:tcPr>
          <w:p>
            <w:pPr>
              <w:spacing w:after="0"/>
              <w:rPr>
                <w:sz w:val="17"/>
                <w:szCs w:val="17"/>
                <w:color w:val="auto"/>
              </w:rPr>
            </w:pPr>
          </w:p>
        </w:tc>
        <w:tc>
          <w:tcPr>
            <w:tcW w:w="140" w:type="dxa"/>
            <w:vAlign w:val="bottom"/>
            <w:shd w:val="clear" w:color="auto" w:fill="F7F7F7"/>
          </w:tcPr>
          <w:p>
            <w:pPr>
              <w:spacing w:after="0"/>
              <w:rPr>
                <w:sz w:val="17"/>
                <w:szCs w:val="17"/>
                <w:color w:val="auto"/>
              </w:rPr>
            </w:pPr>
          </w:p>
        </w:tc>
        <w:tc>
          <w:tcPr>
            <w:tcW w:w="6480" w:type="dxa"/>
            <w:vAlign w:val="bottom"/>
            <w:shd w:val="clear" w:color="auto" w:fill="F7F7F7"/>
          </w:tcPr>
          <w:p>
            <w:pPr>
              <w:spacing w:after="0"/>
              <w:rPr>
                <w:sz w:val="17"/>
                <w:szCs w:val="17"/>
                <w:color w:val="auto"/>
              </w:rPr>
            </w:pPr>
          </w:p>
        </w:tc>
        <w:tc>
          <w:tcPr>
            <w:tcW w:w="1560" w:type="dxa"/>
            <w:vAlign w:val="bottom"/>
            <w:gridSpan w:val="2"/>
            <w:shd w:val="clear" w:color="auto" w:fill="F7F7F7"/>
          </w:tcPr>
          <w:p>
            <w:pPr>
              <w:jc w:val="center"/>
              <w:ind w:right="120"/>
              <w:spacing w:after="0"/>
              <w:rPr>
                <w:sz w:val="20"/>
                <w:szCs w:val="20"/>
                <w:color w:val="auto"/>
              </w:rPr>
            </w:pPr>
            <w:r>
              <w:rPr>
                <w:rFonts w:ascii="Arial" w:cs="Arial" w:eastAsia="Arial" w:hAnsi="Arial"/>
                <w:sz w:val="16"/>
                <w:szCs w:val="16"/>
                <w:b w:val="1"/>
                <w:bCs w:val="1"/>
                <w:color w:val="4B4B4B"/>
              </w:rPr>
              <w:t>issued upon</w:t>
            </w:r>
          </w:p>
        </w:tc>
        <w:tc>
          <w:tcPr>
            <w:tcW w:w="1560" w:type="dxa"/>
            <w:vAlign w:val="bottom"/>
            <w:gridSpan w:val="2"/>
            <w:shd w:val="clear" w:color="auto" w:fill="F7F7F7"/>
          </w:tcPr>
          <w:p>
            <w:pPr>
              <w:jc w:val="center"/>
              <w:ind w:right="100"/>
              <w:spacing w:after="0"/>
              <w:rPr>
                <w:sz w:val="20"/>
                <w:szCs w:val="20"/>
                <w:color w:val="auto"/>
              </w:rPr>
            </w:pPr>
            <w:r>
              <w:rPr>
                <w:rFonts w:ascii="Arial" w:cs="Arial" w:eastAsia="Arial" w:hAnsi="Arial"/>
                <w:sz w:val="16"/>
                <w:szCs w:val="16"/>
                <w:b w:val="1"/>
                <w:bCs w:val="1"/>
                <w:color w:val="4B4B4B"/>
              </w:rPr>
              <w:t>per share exercise</w:t>
            </w:r>
          </w:p>
        </w:tc>
        <w:tc>
          <w:tcPr>
            <w:tcW w:w="148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available under</w:t>
            </w:r>
          </w:p>
        </w:tc>
      </w:tr>
      <w:tr>
        <w:trPr>
          <w:trHeight w:val="203"/>
        </w:trPr>
        <w:tc>
          <w:tcPr>
            <w:tcW w:w="20" w:type="dxa"/>
            <w:vAlign w:val="bottom"/>
          </w:tcPr>
          <w:p>
            <w:pPr>
              <w:spacing w:after="0"/>
              <w:rPr>
                <w:sz w:val="17"/>
                <w:szCs w:val="17"/>
                <w:color w:val="auto"/>
              </w:rPr>
            </w:pPr>
          </w:p>
        </w:tc>
        <w:tc>
          <w:tcPr>
            <w:tcW w:w="140" w:type="dxa"/>
            <w:vAlign w:val="bottom"/>
            <w:shd w:val="clear" w:color="auto" w:fill="F7F7F7"/>
          </w:tcPr>
          <w:p>
            <w:pPr>
              <w:spacing w:after="0"/>
              <w:rPr>
                <w:sz w:val="17"/>
                <w:szCs w:val="17"/>
                <w:color w:val="auto"/>
              </w:rPr>
            </w:pPr>
          </w:p>
        </w:tc>
        <w:tc>
          <w:tcPr>
            <w:tcW w:w="6480" w:type="dxa"/>
            <w:vAlign w:val="bottom"/>
            <w:shd w:val="clear" w:color="auto" w:fill="F7F7F7"/>
          </w:tcPr>
          <w:p>
            <w:pPr>
              <w:spacing w:after="0"/>
              <w:rPr>
                <w:sz w:val="17"/>
                <w:szCs w:val="17"/>
                <w:color w:val="auto"/>
              </w:rPr>
            </w:pPr>
          </w:p>
        </w:tc>
        <w:tc>
          <w:tcPr>
            <w:tcW w:w="1560" w:type="dxa"/>
            <w:vAlign w:val="bottom"/>
            <w:gridSpan w:val="2"/>
            <w:shd w:val="clear" w:color="auto" w:fill="F7F7F7"/>
          </w:tcPr>
          <w:p>
            <w:pPr>
              <w:jc w:val="center"/>
              <w:ind w:right="120"/>
              <w:spacing w:after="0"/>
              <w:rPr>
                <w:sz w:val="20"/>
                <w:szCs w:val="20"/>
                <w:color w:val="auto"/>
              </w:rPr>
            </w:pPr>
            <w:r>
              <w:rPr>
                <w:rFonts w:ascii="Arial" w:cs="Arial" w:eastAsia="Arial" w:hAnsi="Arial"/>
                <w:sz w:val="16"/>
                <w:szCs w:val="16"/>
                <w:b w:val="1"/>
                <w:bCs w:val="1"/>
                <w:color w:val="4B4B4B"/>
              </w:rPr>
              <w:t>exercise of</w:t>
            </w:r>
          </w:p>
        </w:tc>
        <w:tc>
          <w:tcPr>
            <w:tcW w:w="1560" w:type="dxa"/>
            <w:vAlign w:val="bottom"/>
            <w:gridSpan w:val="2"/>
            <w:shd w:val="clear" w:color="auto" w:fill="F7F7F7"/>
          </w:tcPr>
          <w:p>
            <w:pPr>
              <w:jc w:val="center"/>
              <w:ind w:right="100"/>
              <w:spacing w:after="0"/>
              <w:rPr>
                <w:sz w:val="20"/>
                <w:szCs w:val="20"/>
                <w:color w:val="auto"/>
              </w:rPr>
            </w:pPr>
            <w:r>
              <w:rPr>
                <w:rFonts w:ascii="Arial" w:cs="Arial" w:eastAsia="Arial" w:hAnsi="Arial"/>
                <w:sz w:val="16"/>
                <w:szCs w:val="16"/>
                <w:b w:val="1"/>
                <w:bCs w:val="1"/>
                <w:color w:val="4B4B4B"/>
              </w:rPr>
              <w:t>price of</w:t>
            </w:r>
          </w:p>
        </w:tc>
        <w:tc>
          <w:tcPr>
            <w:tcW w:w="148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equity</w:t>
            </w:r>
          </w:p>
        </w:tc>
      </w:tr>
      <w:tr>
        <w:trPr>
          <w:trHeight w:val="203"/>
        </w:trPr>
        <w:tc>
          <w:tcPr>
            <w:tcW w:w="20" w:type="dxa"/>
            <w:vAlign w:val="bottom"/>
          </w:tcPr>
          <w:p>
            <w:pPr>
              <w:spacing w:after="0"/>
              <w:rPr>
                <w:sz w:val="17"/>
                <w:szCs w:val="17"/>
                <w:color w:val="auto"/>
              </w:rPr>
            </w:pPr>
          </w:p>
        </w:tc>
        <w:tc>
          <w:tcPr>
            <w:tcW w:w="140" w:type="dxa"/>
            <w:vAlign w:val="bottom"/>
            <w:shd w:val="clear" w:color="auto" w:fill="F7F7F7"/>
          </w:tcPr>
          <w:p>
            <w:pPr>
              <w:spacing w:after="0"/>
              <w:rPr>
                <w:sz w:val="17"/>
                <w:szCs w:val="17"/>
                <w:color w:val="auto"/>
              </w:rPr>
            </w:pPr>
          </w:p>
        </w:tc>
        <w:tc>
          <w:tcPr>
            <w:tcW w:w="6480" w:type="dxa"/>
            <w:vAlign w:val="bottom"/>
            <w:shd w:val="clear" w:color="auto" w:fill="F7F7F7"/>
          </w:tcPr>
          <w:p>
            <w:pPr>
              <w:spacing w:after="0"/>
              <w:rPr>
                <w:sz w:val="17"/>
                <w:szCs w:val="17"/>
                <w:color w:val="auto"/>
              </w:rPr>
            </w:pPr>
          </w:p>
        </w:tc>
        <w:tc>
          <w:tcPr>
            <w:tcW w:w="1560" w:type="dxa"/>
            <w:vAlign w:val="bottom"/>
            <w:gridSpan w:val="2"/>
            <w:shd w:val="clear" w:color="auto" w:fill="F7F7F7"/>
          </w:tcPr>
          <w:p>
            <w:pPr>
              <w:jc w:val="center"/>
              <w:ind w:right="120"/>
              <w:spacing w:after="0"/>
              <w:rPr>
                <w:sz w:val="20"/>
                <w:szCs w:val="20"/>
                <w:color w:val="auto"/>
              </w:rPr>
            </w:pPr>
            <w:r>
              <w:rPr>
                <w:rFonts w:ascii="Arial" w:cs="Arial" w:eastAsia="Arial" w:hAnsi="Arial"/>
                <w:sz w:val="16"/>
                <w:szCs w:val="16"/>
                <w:b w:val="1"/>
                <w:bCs w:val="1"/>
                <w:color w:val="4B4B4B"/>
              </w:rPr>
              <w:t>outstanding</w:t>
            </w:r>
          </w:p>
        </w:tc>
        <w:tc>
          <w:tcPr>
            <w:tcW w:w="1560" w:type="dxa"/>
            <w:vAlign w:val="bottom"/>
            <w:gridSpan w:val="2"/>
            <w:shd w:val="clear" w:color="auto" w:fill="F7F7F7"/>
          </w:tcPr>
          <w:p>
            <w:pPr>
              <w:jc w:val="center"/>
              <w:ind w:right="100"/>
              <w:spacing w:after="0"/>
              <w:rPr>
                <w:sz w:val="20"/>
                <w:szCs w:val="20"/>
                <w:color w:val="auto"/>
              </w:rPr>
            </w:pPr>
            <w:r>
              <w:rPr>
                <w:rFonts w:ascii="Arial" w:cs="Arial" w:eastAsia="Arial" w:hAnsi="Arial"/>
                <w:sz w:val="16"/>
                <w:szCs w:val="16"/>
                <w:b w:val="1"/>
                <w:bCs w:val="1"/>
                <w:color w:val="4B4B4B"/>
              </w:rPr>
              <w:t>outstanding</w:t>
            </w:r>
          </w:p>
        </w:tc>
        <w:tc>
          <w:tcPr>
            <w:tcW w:w="148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compensation</w:t>
            </w:r>
          </w:p>
        </w:tc>
      </w:tr>
      <w:tr>
        <w:trPr>
          <w:trHeight w:val="203"/>
        </w:trPr>
        <w:tc>
          <w:tcPr>
            <w:tcW w:w="20" w:type="dxa"/>
            <w:vAlign w:val="bottom"/>
          </w:tcPr>
          <w:p>
            <w:pPr>
              <w:spacing w:after="0"/>
              <w:rPr>
                <w:sz w:val="17"/>
                <w:szCs w:val="17"/>
                <w:color w:val="auto"/>
              </w:rPr>
            </w:pPr>
          </w:p>
        </w:tc>
        <w:tc>
          <w:tcPr>
            <w:tcW w:w="140" w:type="dxa"/>
            <w:vAlign w:val="bottom"/>
            <w:shd w:val="clear" w:color="auto" w:fill="F7F7F7"/>
          </w:tcPr>
          <w:p>
            <w:pPr>
              <w:spacing w:after="0"/>
              <w:rPr>
                <w:sz w:val="17"/>
                <w:szCs w:val="17"/>
                <w:color w:val="auto"/>
              </w:rPr>
            </w:pPr>
          </w:p>
        </w:tc>
        <w:tc>
          <w:tcPr>
            <w:tcW w:w="6480" w:type="dxa"/>
            <w:vAlign w:val="bottom"/>
            <w:shd w:val="clear" w:color="auto" w:fill="F7F7F7"/>
          </w:tcPr>
          <w:p>
            <w:pPr>
              <w:spacing w:after="0"/>
              <w:rPr>
                <w:sz w:val="17"/>
                <w:szCs w:val="17"/>
                <w:color w:val="auto"/>
              </w:rPr>
            </w:pPr>
          </w:p>
        </w:tc>
        <w:tc>
          <w:tcPr>
            <w:tcW w:w="1560" w:type="dxa"/>
            <w:vAlign w:val="bottom"/>
            <w:gridSpan w:val="2"/>
            <w:shd w:val="clear" w:color="auto" w:fill="F7F7F7"/>
          </w:tcPr>
          <w:p>
            <w:pPr>
              <w:jc w:val="center"/>
              <w:ind w:right="100"/>
              <w:spacing w:after="0"/>
              <w:rPr>
                <w:sz w:val="20"/>
                <w:szCs w:val="20"/>
                <w:color w:val="auto"/>
              </w:rPr>
            </w:pPr>
            <w:r>
              <w:rPr>
                <w:rFonts w:ascii="Arial" w:cs="Arial" w:eastAsia="Arial" w:hAnsi="Arial"/>
                <w:sz w:val="16"/>
                <w:szCs w:val="16"/>
                <w:b w:val="1"/>
                <w:bCs w:val="1"/>
                <w:color w:val="4B4B4B"/>
              </w:rPr>
              <w:t>options, warrants</w:t>
            </w:r>
          </w:p>
        </w:tc>
        <w:tc>
          <w:tcPr>
            <w:tcW w:w="1560" w:type="dxa"/>
            <w:vAlign w:val="bottom"/>
            <w:gridSpan w:val="2"/>
            <w:shd w:val="clear" w:color="auto" w:fill="F7F7F7"/>
          </w:tcPr>
          <w:p>
            <w:pPr>
              <w:jc w:val="center"/>
              <w:ind w:right="100"/>
              <w:spacing w:after="0"/>
              <w:rPr>
                <w:sz w:val="20"/>
                <w:szCs w:val="20"/>
                <w:color w:val="auto"/>
              </w:rPr>
            </w:pPr>
            <w:r>
              <w:rPr>
                <w:rFonts w:ascii="Arial" w:cs="Arial" w:eastAsia="Arial" w:hAnsi="Arial"/>
                <w:sz w:val="16"/>
                <w:szCs w:val="16"/>
                <w:b w:val="1"/>
                <w:bCs w:val="1"/>
                <w:color w:val="4B4B4B"/>
              </w:rPr>
              <w:t>options, warrants</w:t>
            </w:r>
          </w:p>
        </w:tc>
        <w:tc>
          <w:tcPr>
            <w:tcW w:w="148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plans (excluding</w:t>
            </w:r>
          </w:p>
        </w:tc>
      </w:tr>
      <w:tr>
        <w:trPr>
          <w:trHeight w:val="203"/>
        </w:trPr>
        <w:tc>
          <w:tcPr>
            <w:tcW w:w="20" w:type="dxa"/>
            <w:vAlign w:val="bottom"/>
          </w:tcPr>
          <w:p>
            <w:pPr>
              <w:spacing w:after="0"/>
              <w:rPr>
                <w:sz w:val="17"/>
                <w:szCs w:val="17"/>
                <w:color w:val="auto"/>
              </w:rPr>
            </w:pPr>
          </w:p>
        </w:tc>
        <w:tc>
          <w:tcPr>
            <w:tcW w:w="140" w:type="dxa"/>
            <w:vAlign w:val="bottom"/>
            <w:shd w:val="clear" w:color="auto" w:fill="F7F7F7"/>
          </w:tcPr>
          <w:p>
            <w:pPr>
              <w:spacing w:after="0"/>
              <w:rPr>
                <w:sz w:val="17"/>
                <w:szCs w:val="17"/>
                <w:color w:val="auto"/>
              </w:rPr>
            </w:pPr>
          </w:p>
        </w:tc>
        <w:tc>
          <w:tcPr>
            <w:tcW w:w="6480" w:type="dxa"/>
            <w:vAlign w:val="bottom"/>
            <w:shd w:val="clear" w:color="auto" w:fill="F7F7F7"/>
          </w:tcPr>
          <w:p>
            <w:pPr>
              <w:spacing w:after="0"/>
              <w:rPr>
                <w:sz w:val="17"/>
                <w:szCs w:val="17"/>
                <w:color w:val="auto"/>
              </w:rPr>
            </w:pPr>
          </w:p>
        </w:tc>
        <w:tc>
          <w:tcPr>
            <w:tcW w:w="1560" w:type="dxa"/>
            <w:vAlign w:val="bottom"/>
            <w:gridSpan w:val="2"/>
            <w:shd w:val="clear" w:color="auto" w:fill="F7F7F7"/>
          </w:tcPr>
          <w:p>
            <w:pPr>
              <w:jc w:val="center"/>
              <w:ind w:right="100"/>
              <w:spacing w:after="0"/>
              <w:rPr>
                <w:sz w:val="20"/>
                <w:szCs w:val="20"/>
                <w:color w:val="auto"/>
              </w:rPr>
            </w:pPr>
            <w:r>
              <w:rPr>
                <w:rFonts w:ascii="Arial" w:cs="Arial" w:eastAsia="Arial" w:hAnsi="Arial"/>
                <w:sz w:val="16"/>
                <w:szCs w:val="16"/>
                <w:b w:val="1"/>
                <w:bCs w:val="1"/>
                <w:color w:val="4B4B4B"/>
              </w:rPr>
              <w:t>and rights</w:t>
            </w:r>
          </w:p>
        </w:tc>
        <w:tc>
          <w:tcPr>
            <w:tcW w:w="1560" w:type="dxa"/>
            <w:vAlign w:val="bottom"/>
            <w:gridSpan w:val="2"/>
            <w:shd w:val="clear" w:color="auto" w:fill="F7F7F7"/>
          </w:tcPr>
          <w:p>
            <w:pPr>
              <w:jc w:val="center"/>
              <w:ind w:right="100"/>
              <w:spacing w:after="0"/>
              <w:rPr>
                <w:sz w:val="20"/>
                <w:szCs w:val="20"/>
                <w:color w:val="auto"/>
              </w:rPr>
            </w:pPr>
            <w:r>
              <w:rPr>
                <w:rFonts w:ascii="Arial" w:cs="Arial" w:eastAsia="Arial" w:hAnsi="Arial"/>
                <w:sz w:val="16"/>
                <w:szCs w:val="16"/>
                <w:b w:val="1"/>
                <w:bCs w:val="1"/>
                <w:color w:val="4B4B4B"/>
              </w:rPr>
              <w:t>and rights</w:t>
            </w:r>
          </w:p>
        </w:tc>
        <w:tc>
          <w:tcPr>
            <w:tcW w:w="148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securities</w:t>
            </w:r>
          </w:p>
        </w:tc>
      </w:tr>
      <w:tr>
        <w:trPr>
          <w:trHeight w:val="203"/>
        </w:trPr>
        <w:tc>
          <w:tcPr>
            <w:tcW w:w="20" w:type="dxa"/>
            <w:vAlign w:val="bottom"/>
          </w:tcPr>
          <w:p>
            <w:pPr>
              <w:spacing w:after="0"/>
              <w:rPr>
                <w:sz w:val="17"/>
                <w:szCs w:val="17"/>
                <w:color w:val="auto"/>
              </w:rPr>
            </w:pPr>
          </w:p>
        </w:tc>
        <w:tc>
          <w:tcPr>
            <w:tcW w:w="140" w:type="dxa"/>
            <w:vAlign w:val="bottom"/>
            <w:shd w:val="clear" w:color="auto" w:fill="F7F7F7"/>
          </w:tcPr>
          <w:p>
            <w:pPr>
              <w:spacing w:after="0"/>
              <w:rPr>
                <w:sz w:val="17"/>
                <w:szCs w:val="17"/>
                <w:color w:val="auto"/>
              </w:rPr>
            </w:pPr>
          </w:p>
        </w:tc>
        <w:tc>
          <w:tcPr>
            <w:tcW w:w="6480" w:type="dxa"/>
            <w:vAlign w:val="bottom"/>
            <w:shd w:val="clear" w:color="auto" w:fill="F7F7F7"/>
          </w:tcPr>
          <w:p>
            <w:pPr>
              <w:spacing w:after="0"/>
              <w:rPr>
                <w:sz w:val="17"/>
                <w:szCs w:val="17"/>
                <w:color w:val="auto"/>
              </w:rPr>
            </w:pPr>
          </w:p>
        </w:tc>
        <w:tc>
          <w:tcPr>
            <w:tcW w:w="146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w:t>
            </w:r>
          </w:p>
        </w:tc>
        <w:tc>
          <w:tcPr>
            <w:tcW w:w="100" w:type="dxa"/>
            <w:vAlign w:val="bottom"/>
            <w:shd w:val="clear" w:color="auto" w:fill="F7F7F7"/>
          </w:tcPr>
          <w:p>
            <w:pPr>
              <w:spacing w:after="0"/>
              <w:rPr>
                <w:sz w:val="17"/>
                <w:szCs w:val="17"/>
                <w:color w:val="auto"/>
              </w:rPr>
            </w:pPr>
          </w:p>
        </w:tc>
        <w:tc>
          <w:tcPr>
            <w:tcW w:w="148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w:t>
            </w:r>
          </w:p>
        </w:tc>
        <w:tc>
          <w:tcPr>
            <w:tcW w:w="80" w:type="dxa"/>
            <w:vAlign w:val="bottom"/>
            <w:shd w:val="clear" w:color="auto" w:fill="F7F7F7"/>
          </w:tcPr>
          <w:p>
            <w:pPr>
              <w:spacing w:after="0"/>
              <w:rPr>
                <w:sz w:val="17"/>
                <w:szCs w:val="17"/>
                <w:color w:val="auto"/>
              </w:rPr>
            </w:pPr>
          </w:p>
        </w:tc>
        <w:tc>
          <w:tcPr>
            <w:tcW w:w="148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reflected in</w:t>
            </w:r>
          </w:p>
        </w:tc>
      </w:tr>
      <w:tr>
        <w:trPr>
          <w:trHeight w:val="228"/>
        </w:trPr>
        <w:tc>
          <w:tcPr>
            <w:tcW w:w="20" w:type="dxa"/>
            <w:vAlign w:val="bottom"/>
          </w:tcPr>
          <w:p>
            <w:pPr>
              <w:spacing w:after="0"/>
              <w:rPr>
                <w:sz w:val="19"/>
                <w:szCs w:val="19"/>
                <w:color w:val="auto"/>
              </w:rPr>
            </w:pPr>
          </w:p>
        </w:tc>
        <w:tc>
          <w:tcPr>
            <w:tcW w:w="140" w:type="dxa"/>
            <w:vAlign w:val="bottom"/>
            <w:tcBorders>
              <w:bottom w:val="single" w:sz="8" w:color="F7F7F7"/>
            </w:tcBorders>
            <w:shd w:val="clear" w:color="auto" w:fill="F7F7F7"/>
          </w:tcPr>
          <w:p>
            <w:pPr>
              <w:spacing w:after="0"/>
              <w:rPr>
                <w:sz w:val="19"/>
                <w:szCs w:val="19"/>
                <w:color w:val="auto"/>
              </w:rPr>
            </w:pPr>
          </w:p>
        </w:tc>
        <w:tc>
          <w:tcPr>
            <w:tcW w:w="6480" w:type="dxa"/>
            <w:vAlign w:val="bottom"/>
            <w:tcBorders>
              <w:bottom w:val="single" w:sz="8" w:color="F7F7F7"/>
            </w:tcBorders>
            <w:shd w:val="clear" w:color="auto" w:fill="F7F7F7"/>
          </w:tcPr>
          <w:p>
            <w:pPr>
              <w:ind w:left="20"/>
              <w:spacing w:after="0"/>
              <w:rPr>
                <w:sz w:val="20"/>
                <w:szCs w:val="20"/>
                <w:color w:val="auto"/>
              </w:rPr>
            </w:pPr>
            <w:r>
              <w:rPr>
                <w:rFonts w:ascii="Arial" w:cs="Arial" w:eastAsia="Arial" w:hAnsi="Arial"/>
                <w:sz w:val="16"/>
                <w:szCs w:val="16"/>
                <w:b w:val="1"/>
                <w:bCs w:val="1"/>
                <w:color w:val="4B4B4B"/>
              </w:rPr>
              <w:t>Plan Category</w:t>
            </w:r>
          </w:p>
        </w:tc>
        <w:tc>
          <w:tcPr>
            <w:tcW w:w="1560" w:type="dxa"/>
            <w:vAlign w:val="bottom"/>
            <w:tcBorders>
              <w:bottom w:val="single" w:sz="8" w:color="F7F7F7"/>
            </w:tcBorders>
            <w:gridSpan w:val="2"/>
            <w:shd w:val="clear" w:color="auto" w:fill="F7F7F7"/>
          </w:tcPr>
          <w:p>
            <w:pPr>
              <w:jc w:val="center"/>
              <w:ind w:right="120"/>
              <w:spacing w:after="0"/>
              <w:rPr>
                <w:sz w:val="20"/>
                <w:szCs w:val="20"/>
                <w:color w:val="auto"/>
              </w:rPr>
            </w:pPr>
            <w:r>
              <w:rPr>
                <w:rFonts w:ascii="Arial" w:cs="Arial" w:eastAsia="Arial" w:hAnsi="Arial"/>
                <w:sz w:val="16"/>
                <w:szCs w:val="16"/>
                <w:b w:val="1"/>
                <w:bCs w:val="1"/>
                <w:color w:val="4B4B4B"/>
              </w:rPr>
              <w:t>(a)(2)</w:t>
            </w:r>
          </w:p>
        </w:tc>
        <w:tc>
          <w:tcPr>
            <w:tcW w:w="1560" w:type="dxa"/>
            <w:vAlign w:val="bottom"/>
            <w:tcBorders>
              <w:bottom w:val="single" w:sz="8" w:color="F7F7F7"/>
            </w:tcBorders>
            <w:gridSpan w:val="2"/>
            <w:shd w:val="clear" w:color="auto" w:fill="F7F7F7"/>
          </w:tcPr>
          <w:p>
            <w:pPr>
              <w:jc w:val="center"/>
              <w:ind w:right="100"/>
              <w:spacing w:after="0"/>
              <w:rPr>
                <w:sz w:val="20"/>
                <w:szCs w:val="20"/>
                <w:color w:val="auto"/>
              </w:rPr>
            </w:pPr>
            <w:r>
              <w:rPr>
                <w:rFonts w:ascii="Arial" w:cs="Arial" w:eastAsia="Arial" w:hAnsi="Arial"/>
                <w:sz w:val="16"/>
                <w:szCs w:val="16"/>
                <w:b w:val="1"/>
                <w:bCs w:val="1"/>
                <w:color w:val="4B4B4B"/>
              </w:rPr>
              <w:t>(b)(3)</w:t>
            </w:r>
          </w:p>
        </w:tc>
        <w:tc>
          <w:tcPr>
            <w:tcW w:w="148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6"/>
                <w:szCs w:val="16"/>
                <w:b w:val="1"/>
                <w:bCs w:val="1"/>
                <w:color w:val="4B4B4B"/>
              </w:rPr>
              <w:t>column (a))(4)</w:t>
            </w:r>
          </w:p>
        </w:tc>
      </w:tr>
      <w:tr>
        <w:trPr>
          <w:trHeight w:val="260"/>
        </w:trPr>
        <w:tc>
          <w:tcPr>
            <w:tcW w:w="20" w:type="dxa"/>
            <w:vAlign w:val="bottom"/>
          </w:tcPr>
          <w:p>
            <w:pPr>
              <w:spacing w:after="0"/>
              <w:rPr>
                <w:sz w:val="22"/>
                <w:szCs w:val="22"/>
                <w:color w:val="auto"/>
              </w:rPr>
            </w:pPr>
          </w:p>
        </w:tc>
        <w:tc>
          <w:tcPr>
            <w:tcW w:w="140" w:type="dxa"/>
            <w:vAlign w:val="bottom"/>
            <w:tcBorders>
              <w:bottom w:val="single" w:sz="8" w:color="E5E5E5"/>
            </w:tcBorders>
          </w:tcPr>
          <w:p>
            <w:pPr>
              <w:spacing w:after="0"/>
              <w:rPr>
                <w:sz w:val="22"/>
                <w:szCs w:val="22"/>
                <w:color w:val="auto"/>
              </w:rPr>
            </w:pPr>
          </w:p>
        </w:tc>
        <w:tc>
          <w:tcPr>
            <w:tcW w:w="6480" w:type="dxa"/>
            <w:vAlign w:val="bottom"/>
          </w:tcPr>
          <w:p>
            <w:pPr>
              <w:ind w:left="20"/>
              <w:spacing w:after="0"/>
              <w:rPr>
                <w:sz w:val="20"/>
                <w:szCs w:val="20"/>
                <w:color w:val="auto"/>
              </w:rPr>
            </w:pPr>
            <w:r>
              <w:rPr>
                <w:rFonts w:ascii="Arial" w:cs="Arial" w:eastAsia="Arial" w:hAnsi="Arial"/>
                <w:sz w:val="16"/>
                <w:szCs w:val="16"/>
                <w:color w:val="4B4B4B"/>
              </w:rPr>
              <w:t>Equity compensation plans approved by security holders</w:t>
            </w:r>
            <w:r>
              <w:rPr>
                <w:rFonts w:ascii="Arial" w:cs="Arial" w:eastAsia="Arial" w:hAnsi="Arial"/>
                <w:sz w:val="21"/>
                <w:szCs w:val="21"/>
                <w:color w:val="4B4B4B"/>
                <w:vertAlign w:val="superscript"/>
              </w:rPr>
              <w:t>(1)</w:t>
            </w:r>
          </w:p>
        </w:tc>
        <w:tc>
          <w:tcPr>
            <w:tcW w:w="1460" w:type="dxa"/>
            <w:vAlign w:val="bottom"/>
          </w:tcPr>
          <w:p>
            <w:pPr>
              <w:jc w:val="center"/>
              <w:spacing w:after="0"/>
              <w:rPr>
                <w:sz w:val="20"/>
                <w:szCs w:val="20"/>
                <w:color w:val="auto"/>
              </w:rPr>
            </w:pPr>
            <w:r>
              <w:rPr>
                <w:rFonts w:ascii="Arial" w:cs="Arial" w:eastAsia="Arial" w:hAnsi="Arial"/>
                <w:sz w:val="16"/>
                <w:szCs w:val="16"/>
                <w:color w:val="4B4B4B"/>
              </w:rPr>
              <w:t>4,419,527</w:t>
            </w:r>
          </w:p>
        </w:tc>
        <w:tc>
          <w:tcPr>
            <w:tcW w:w="100" w:type="dxa"/>
            <w:vAlign w:val="bottom"/>
            <w:tcBorders>
              <w:bottom w:val="single" w:sz="8" w:color="E5E5E5"/>
            </w:tcBorders>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4B4B4B"/>
              </w:rPr>
              <w:t>10.61</w:t>
            </w:r>
          </w:p>
        </w:tc>
        <w:tc>
          <w:tcPr>
            <w:tcW w:w="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4B4B4B"/>
              </w:rPr>
              <w:t>8,872,632</w:t>
            </w:r>
          </w:p>
        </w:tc>
      </w:tr>
      <w:tr>
        <w:trPr>
          <w:trHeight w:val="227"/>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80" w:type="dxa"/>
            <w:vAlign w:val="bottom"/>
          </w:tcPr>
          <w:p>
            <w:pPr>
              <w:ind w:left="20"/>
              <w:spacing w:after="0"/>
              <w:rPr>
                <w:sz w:val="20"/>
                <w:szCs w:val="20"/>
                <w:color w:val="auto"/>
              </w:rPr>
            </w:pPr>
            <w:r>
              <w:rPr>
                <w:rFonts w:ascii="Arial" w:cs="Arial" w:eastAsia="Arial" w:hAnsi="Arial"/>
                <w:sz w:val="16"/>
                <w:szCs w:val="16"/>
                <w:color w:val="4B4B4B"/>
              </w:rPr>
              <w:t>Equity compensation plans not approved by security holders</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color w:val="4B4B4B"/>
                <w:w w:val="99"/>
              </w:rPr>
              <w:t>—</w:t>
            </w:r>
          </w:p>
        </w:tc>
        <w:tc>
          <w:tcPr>
            <w:tcW w:w="1560" w:type="dxa"/>
            <w:vAlign w:val="bottom"/>
            <w:gridSpan w:val="2"/>
          </w:tcPr>
          <w:p>
            <w:pPr>
              <w:jc w:val="center"/>
              <w:ind w:right="80"/>
              <w:spacing w:after="0"/>
              <w:rPr>
                <w:sz w:val="20"/>
                <w:szCs w:val="20"/>
                <w:color w:val="auto"/>
              </w:rPr>
            </w:pPr>
            <w:r>
              <w:rPr>
                <w:rFonts w:ascii="Arial" w:cs="Arial" w:eastAsia="Arial" w:hAnsi="Arial"/>
                <w:sz w:val="16"/>
                <w:szCs w:val="16"/>
                <w:color w:val="4B4B4B"/>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4B4B4B"/>
                <w:w w:val="99"/>
              </w:rPr>
              <w:t>—</w:t>
            </w:r>
          </w:p>
        </w:tc>
      </w:tr>
      <w:tr>
        <w:trPr>
          <w:trHeight w:val="40"/>
        </w:trPr>
        <w:tc>
          <w:tcPr>
            <w:tcW w:w="20" w:type="dxa"/>
            <w:vAlign w:val="bottom"/>
          </w:tcPr>
          <w:p>
            <w:pPr>
              <w:spacing w:after="0"/>
              <w:rPr>
                <w:sz w:val="3"/>
                <w:szCs w:val="3"/>
                <w:color w:val="auto"/>
              </w:rPr>
            </w:pPr>
          </w:p>
        </w:tc>
        <w:tc>
          <w:tcPr>
            <w:tcW w:w="140" w:type="dxa"/>
            <w:vAlign w:val="bottom"/>
            <w:tcBorders>
              <w:bottom w:val="single" w:sz="8" w:color="E5E5E5"/>
            </w:tcBorders>
          </w:tcPr>
          <w:p>
            <w:pPr>
              <w:spacing w:after="0"/>
              <w:rPr>
                <w:sz w:val="3"/>
                <w:szCs w:val="3"/>
                <w:color w:val="auto"/>
              </w:rPr>
            </w:pPr>
          </w:p>
        </w:tc>
        <w:tc>
          <w:tcPr>
            <w:tcW w:w="648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E5E5E5"/>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80" w:type="dxa"/>
            <w:vAlign w:val="bottom"/>
          </w:tcPr>
          <w:p>
            <w:pPr>
              <w:ind w:left="20"/>
              <w:spacing w:after="0"/>
              <w:rPr>
                <w:sz w:val="20"/>
                <w:szCs w:val="20"/>
                <w:color w:val="auto"/>
              </w:rPr>
            </w:pPr>
            <w:r>
              <w:rPr>
                <w:rFonts w:ascii="Arial" w:cs="Arial" w:eastAsia="Arial" w:hAnsi="Arial"/>
                <w:sz w:val="16"/>
                <w:szCs w:val="16"/>
                <w:color w:val="4B4B4B"/>
              </w:rPr>
              <w:t>Total</w:t>
            </w:r>
          </w:p>
        </w:tc>
        <w:tc>
          <w:tcPr>
            <w:tcW w:w="1460" w:type="dxa"/>
            <w:vAlign w:val="bottom"/>
          </w:tcPr>
          <w:p>
            <w:pPr>
              <w:jc w:val="center"/>
              <w:spacing w:after="0"/>
              <w:rPr>
                <w:sz w:val="20"/>
                <w:szCs w:val="20"/>
                <w:color w:val="auto"/>
              </w:rPr>
            </w:pPr>
            <w:r>
              <w:rPr>
                <w:rFonts w:ascii="Arial" w:cs="Arial" w:eastAsia="Arial" w:hAnsi="Arial"/>
                <w:sz w:val="16"/>
                <w:szCs w:val="16"/>
                <w:color w:val="4B4B4B"/>
              </w:rPr>
              <w:t>4,419,527</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4B4B4B"/>
              </w:rPr>
              <w:t>10.61</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4B4B4B"/>
              </w:rPr>
              <w:t>8,872,632</w:t>
            </w:r>
          </w:p>
        </w:tc>
      </w:tr>
      <w:tr>
        <w:trPr>
          <w:trHeight w:val="70"/>
        </w:trPr>
        <w:tc>
          <w:tcPr>
            <w:tcW w:w="20" w:type="dxa"/>
            <w:vAlign w:val="bottom"/>
          </w:tcPr>
          <w:p>
            <w:pPr>
              <w:spacing w:after="0"/>
              <w:rPr>
                <w:sz w:val="6"/>
                <w:szCs w:val="6"/>
                <w:color w:val="auto"/>
              </w:rPr>
            </w:pPr>
          </w:p>
        </w:tc>
        <w:tc>
          <w:tcPr>
            <w:tcW w:w="140" w:type="dxa"/>
            <w:vAlign w:val="bottom"/>
            <w:tcBorders>
              <w:bottom w:val="single" w:sz="8" w:color="E5E5E5"/>
            </w:tcBorders>
          </w:tcPr>
          <w:p>
            <w:pPr>
              <w:spacing w:after="0"/>
              <w:rPr>
                <w:sz w:val="6"/>
                <w:szCs w:val="6"/>
                <w:color w:val="auto"/>
              </w:rPr>
            </w:pPr>
          </w:p>
        </w:tc>
        <w:tc>
          <w:tcPr>
            <w:tcW w:w="6480" w:type="dxa"/>
            <w:vAlign w:val="bottom"/>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Borders>
              <w:bottom w:val="single" w:sz="8" w:color="E5E5E5"/>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r>
      <w:tr>
        <w:trPr>
          <w:trHeight w:val="258"/>
        </w:trPr>
        <w:tc>
          <w:tcPr>
            <w:tcW w:w="6640" w:type="dxa"/>
            <w:vAlign w:val="bottom"/>
            <w:gridSpan w:val="3"/>
          </w:tcPr>
          <w:p>
            <w:pPr>
              <w:jc w:val="right"/>
              <w:ind w:right="5039"/>
              <w:spacing w:after="0"/>
              <w:rPr>
                <w:sz w:val="20"/>
                <w:szCs w:val="20"/>
                <w:color w:val="auto"/>
              </w:rPr>
            </w:pPr>
            <w:r>
              <w:rPr>
                <w:rFonts w:ascii="Arial" w:cs="Arial" w:eastAsia="Arial" w:hAnsi="Arial"/>
                <w:sz w:val="14"/>
                <w:szCs w:val="14"/>
                <w:b w:val="1"/>
                <w:bCs w:val="1"/>
                <w:color w:val="AFAFAF"/>
              </w:rPr>
              <w:t>___________________</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-203835</wp:posOffset>
            </wp:positionV>
            <wp:extent cx="413131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13131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-392430</wp:posOffset>
            </wp:positionV>
            <wp:extent cx="413131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131310" cy="425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-572135</wp:posOffset>
            </wp:positionV>
            <wp:extent cx="705485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54850" cy="42545"/>
                    </a:xfrm>
                    <a:prstGeom prst="rect">
                      <a:avLst/>
                    </a:prstGeom>
                    <a:noFill/>
                  </pic:spPr>
                </pic:pic>
              </a:graphicData>
            </a:graphic>
          </wp:anchor>
        </w:drawing>
      </w:r>
    </w:p>
    <w:p>
      <w:pPr>
        <w:ind w:left="340" w:hanging="332"/>
        <w:spacing w:after="0"/>
        <w:tabs>
          <w:tab w:leader="none" w:pos="340" w:val="left"/>
        </w:tabs>
        <w:numPr>
          <w:ilvl w:val="0"/>
          <w:numId w:val="25"/>
        </w:numPr>
        <w:rPr>
          <w:rFonts w:ascii="Arial" w:cs="Arial" w:eastAsia="Arial" w:hAnsi="Arial"/>
          <w:sz w:val="14"/>
          <w:szCs w:val="14"/>
          <w:b w:val="1"/>
          <w:bCs w:val="1"/>
          <w:color w:val="AFAFAF"/>
        </w:rPr>
      </w:pPr>
      <w:r>
        <w:rPr>
          <w:rFonts w:ascii="Arial" w:cs="Arial" w:eastAsia="Arial" w:hAnsi="Arial"/>
          <w:sz w:val="14"/>
          <w:szCs w:val="14"/>
          <w:b w:val="1"/>
          <w:bCs w:val="1"/>
          <w:color w:val="AFAFAF"/>
        </w:rPr>
        <w:t>Consists of the 2011 Plan, the 2021 Plan and the ESPP.</w:t>
      </w:r>
    </w:p>
    <w:p>
      <w:pPr>
        <w:spacing w:after="0" w:line="145" w:lineRule="exact"/>
        <w:rPr>
          <w:rFonts w:ascii="Arial" w:cs="Arial" w:eastAsia="Arial" w:hAnsi="Arial"/>
          <w:sz w:val="14"/>
          <w:szCs w:val="14"/>
          <w:b w:val="1"/>
          <w:bCs w:val="1"/>
          <w:color w:val="AFAFAF"/>
        </w:rPr>
      </w:pPr>
    </w:p>
    <w:p>
      <w:pPr>
        <w:ind w:left="340" w:hanging="332"/>
        <w:spacing w:after="0"/>
        <w:tabs>
          <w:tab w:leader="none" w:pos="340" w:val="left"/>
        </w:tabs>
        <w:numPr>
          <w:ilvl w:val="0"/>
          <w:numId w:val="25"/>
        </w:numPr>
        <w:rPr>
          <w:rFonts w:ascii="Arial" w:cs="Arial" w:eastAsia="Arial" w:hAnsi="Arial"/>
          <w:sz w:val="14"/>
          <w:szCs w:val="14"/>
          <w:b w:val="1"/>
          <w:bCs w:val="1"/>
          <w:color w:val="AFAFAF"/>
        </w:rPr>
      </w:pPr>
      <w:r>
        <w:rPr>
          <w:rFonts w:ascii="Arial" w:cs="Arial" w:eastAsia="Arial" w:hAnsi="Arial"/>
          <w:sz w:val="14"/>
          <w:szCs w:val="14"/>
          <w:b w:val="1"/>
          <w:bCs w:val="1"/>
          <w:color w:val="AFAFAF"/>
        </w:rPr>
        <w:t>Includes 4,419,527 outstanding options to purchase shares under the 2011 Plan.</w:t>
      </w:r>
    </w:p>
    <w:p>
      <w:pPr>
        <w:spacing w:after="0" w:line="163" w:lineRule="exact"/>
        <w:rPr>
          <w:rFonts w:ascii="Arial" w:cs="Arial" w:eastAsia="Arial" w:hAnsi="Arial"/>
          <w:sz w:val="14"/>
          <w:szCs w:val="14"/>
          <w:b w:val="1"/>
          <w:bCs w:val="1"/>
          <w:color w:val="AFAFAF"/>
        </w:rPr>
      </w:pPr>
    </w:p>
    <w:p>
      <w:pPr>
        <w:ind w:left="340" w:hanging="332"/>
        <w:spacing w:after="0"/>
        <w:tabs>
          <w:tab w:leader="none" w:pos="340" w:val="left"/>
        </w:tabs>
        <w:numPr>
          <w:ilvl w:val="0"/>
          <w:numId w:val="25"/>
        </w:numPr>
        <w:rPr>
          <w:rFonts w:ascii="Arial" w:cs="Arial" w:eastAsia="Arial" w:hAnsi="Arial"/>
          <w:sz w:val="14"/>
          <w:szCs w:val="14"/>
          <w:b w:val="1"/>
          <w:bCs w:val="1"/>
          <w:color w:val="AFAFAF"/>
        </w:rPr>
      </w:pPr>
      <w:r>
        <w:rPr>
          <w:rFonts w:ascii="Arial" w:cs="Arial" w:eastAsia="Arial" w:hAnsi="Arial"/>
          <w:sz w:val="14"/>
          <w:szCs w:val="14"/>
          <w:b w:val="1"/>
          <w:bCs w:val="1"/>
          <w:color w:val="AFAFAF"/>
        </w:rPr>
        <w:t>As of December 31, 2021, the weighted-average exercise price of outstanding options under the 2011 Plan was $10.61.</w:t>
      </w:r>
    </w:p>
    <w:p>
      <w:pPr>
        <w:spacing w:after="0" w:line="163" w:lineRule="exact"/>
        <w:rPr>
          <w:rFonts w:ascii="Arial" w:cs="Arial" w:eastAsia="Arial" w:hAnsi="Arial"/>
          <w:sz w:val="14"/>
          <w:szCs w:val="14"/>
          <w:b w:val="1"/>
          <w:bCs w:val="1"/>
          <w:color w:val="AFAFAF"/>
        </w:rPr>
      </w:pPr>
    </w:p>
    <w:p>
      <w:pPr>
        <w:ind w:left="340" w:right="20" w:hanging="332"/>
        <w:spacing w:after="0" w:line="245" w:lineRule="auto"/>
        <w:tabs>
          <w:tab w:leader="none" w:pos="340" w:val="left"/>
        </w:tabs>
        <w:numPr>
          <w:ilvl w:val="0"/>
          <w:numId w:val="25"/>
        </w:numPr>
        <w:rPr>
          <w:rFonts w:ascii="Arial" w:cs="Arial" w:eastAsia="Arial" w:hAnsi="Arial"/>
          <w:sz w:val="14"/>
          <w:szCs w:val="14"/>
          <w:b w:val="1"/>
          <w:bCs w:val="1"/>
          <w:color w:val="AFAFAF"/>
        </w:rPr>
      </w:pPr>
      <w:r>
        <w:rPr>
          <w:rFonts w:ascii="Arial" w:cs="Arial" w:eastAsia="Arial" w:hAnsi="Arial"/>
          <w:sz w:val="14"/>
          <w:szCs w:val="14"/>
          <w:b w:val="1"/>
          <w:bCs w:val="1"/>
          <w:color w:val="AFAFAF"/>
        </w:rPr>
        <w:t>Includes 7,753,632 shares available for future issuance under the 2021 Plan and 1,119,000 shares available for issuance under the 2021 ESPP. Following the effective date of the 2021 Plan, we ceased making grants under the 2011 Plan. To the extent outstanding awards under the 2011 Plan are forfeited or lapse unexercised, the shares of common stock subject to such awards will be available for issuance under the 2021 Plan. The 2021 Plan provides for an annual increase to the number of shares available for issuance thereunder on the first day of each calendar year beginning on January 1, 2022 and ending on and including January 1, 2031, by an amount equal to the lesser of (A) 5% of the shares of our common stock outstanding (on an as converted basis) on the last day of the immediately preceding fiscal year and (B) such smaller number of shares of stock as determined by our Board of Directors; provided, however, that no more than 44,749,446 shares of Class A common stock may be issued upon the exercise of incentive stock options. The 2021 ESPP provides for an annual increase to the number of shares available for issuance thereunder on the first day of each calendar year beginning on January 1, 2022 and ending on and including January 1, 2031, by an amount equal to the lesser of (i) 1% of the shares of our common stock outstanding (on an as converted basis) on the last day of the immediately preceding fiscal year and (ii) such number of shares of common stock as determined by our Board of Directors; provided, however, no more than 8,390,521 shares of our common stock may be issued under the ESPP. As of the date of this proxy statement, we have not commenced offering periods under the 2021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814705</wp:posOffset>
            </wp:positionV>
            <wp:extent cx="71062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38</w:t>
            </w:r>
          </w:p>
        </w:tc>
      </w:tr>
    </w:tbl>
    <w:p>
      <w:pPr>
        <w:sectPr>
          <w:pgSz w:w="11900" w:h="16838" w:orient="portrait"/>
          <w:cols w:equalWidth="0" w:num="1">
            <w:col w:w="11240"/>
          </w:cols>
          <w:pgMar w:left="320" w:top="1307" w:right="339" w:bottom="1440" w:gutter="0" w:footer="0" w:header="0"/>
        </w:sectPr>
      </w:pPr>
    </w:p>
    <w:bookmarkStart w:id="43" w:name="page44"/>
    <w:bookmarkEnd w:id="43"/>
    <w:p>
      <w:pPr>
        <w:spacing w:after="0"/>
        <w:rPr>
          <w:sz w:val="20"/>
          <w:szCs w:val="20"/>
          <w:color w:val="auto"/>
        </w:rPr>
      </w:pPr>
      <w:r>
        <w:rPr>
          <w:rFonts w:ascii="Arial" w:cs="Arial" w:eastAsia="Arial" w:hAnsi="Arial"/>
          <w:sz w:val="36"/>
          <w:szCs w:val="36"/>
          <w:b w:val="1"/>
          <w:bCs w:val="1"/>
          <w:color w:val="4B4B4B"/>
        </w:rPr>
        <w:t>Stock Ownership</w:t>
      </w:r>
    </w:p>
    <w:p>
      <w:pPr>
        <w:spacing w:after="0" w:line="326"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Security Ownership of Certain Beneficial Owners and Management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4B4B4B"/>
        </w:rPr>
        <w:t>The following table sets forth information relating to the beneficial ownership of our common stock as of April 12, 2022 by:</w:t>
      </w:r>
    </w:p>
    <w:p>
      <w:pPr>
        <w:spacing w:after="0" w:line="185"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18"/>
          <w:szCs w:val="18"/>
          <w:color w:val="4B4B4B"/>
        </w:rPr>
      </w:pPr>
      <w:r>
        <w:rPr>
          <w:rFonts w:ascii="Arial" w:cs="Arial" w:eastAsia="Arial" w:hAnsi="Arial"/>
          <w:sz w:val="18"/>
          <w:szCs w:val="18"/>
          <w:color w:val="4B4B4B"/>
        </w:rPr>
        <w:t>each person, or group of affiliated persons, known by us to beneficially own more than 5% of our voting securities;</w:t>
      </w:r>
    </w:p>
    <w:p>
      <w:pPr>
        <w:spacing w:after="0" w:line="184" w:lineRule="exact"/>
        <w:rPr>
          <w:rFonts w:ascii="Arial" w:cs="Arial" w:eastAsia="Arial" w:hAnsi="Arial"/>
          <w:sz w:val="18"/>
          <w:szCs w:val="18"/>
          <w:color w:val="4B4B4B"/>
        </w:rPr>
      </w:pPr>
    </w:p>
    <w:p>
      <w:pPr>
        <w:ind w:left="240" w:hanging="232"/>
        <w:spacing w:after="0"/>
        <w:tabs>
          <w:tab w:leader="none" w:pos="240" w:val="left"/>
        </w:tabs>
        <w:numPr>
          <w:ilvl w:val="0"/>
          <w:numId w:val="26"/>
        </w:numPr>
        <w:rPr>
          <w:rFonts w:ascii="Arial" w:cs="Arial" w:eastAsia="Arial" w:hAnsi="Arial"/>
          <w:sz w:val="18"/>
          <w:szCs w:val="18"/>
          <w:color w:val="4B4B4B"/>
        </w:rPr>
      </w:pPr>
      <w:r>
        <w:rPr>
          <w:rFonts w:ascii="Arial" w:cs="Arial" w:eastAsia="Arial" w:hAnsi="Arial"/>
          <w:sz w:val="18"/>
          <w:szCs w:val="18"/>
          <w:color w:val="4B4B4B"/>
        </w:rPr>
        <w:t>each of our current directors;</w:t>
      </w:r>
    </w:p>
    <w:p>
      <w:pPr>
        <w:spacing w:after="0" w:line="184" w:lineRule="exact"/>
        <w:rPr>
          <w:rFonts w:ascii="Arial" w:cs="Arial" w:eastAsia="Arial" w:hAnsi="Arial"/>
          <w:sz w:val="18"/>
          <w:szCs w:val="18"/>
          <w:color w:val="4B4B4B"/>
        </w:rPr>
      </w:pPr>
    </w:p>
    <w:p>
      <w:pPr>
        <w:ind w:left="240" w:hanging="232"/>
        <w:spacing w:after="0"/>
        <w:tabs>
          <w:tab w:leader="none" w:pos="240" w:val="left"/>
        </w:tabs>
        <w:numPr>
          <w:ilvl w:val="0"/>
          <w:numId w:val="26"/>
        </w:numPr>
        <w:rPr>
          <w:rFonts w:ascii="Arial" w:cs="Arial" w:eastAsia="Arial" w:hAnsi="Arial"/>
          <w:sz w:val="18"/>
          <w:szCs w:val="18"/>
          <w:color w:val="4B4B4B"/>
        </w:rPr>
      </w:pPr>
      <w:r>
        <w:rPr>
          <w:rFonts w:ascii="Arial" w:cs="Arial" w:eastAsia="Arial" w:hAnsi="Arial"/>
          <w:sz w:val="18"/>
          <w:szCs w:val="18"/>
          <w:color w:val="4B4B4B"/>
        </w:rPr>
        <w:t>each of our named executive officers for 2021; and</w:t>
      </w:r>
    </w:p>
    <w:p>
      <w:pPr>
        <w:spacing w:after="0" w:line="184" w:lineRule="exact"/>
        <w:rPr>
          <w:rFonts w:ascii="Arial" w:cs="Arial" w:eastAsia="Arial" w:hAnsi="Arial"/>
          <w:sz w:val="18"/>
          <w:szCs w:val="18"/>
          <w:color w:val="4B4B4B"/>
        </w:rPr>
      </w:pPr>
    </w:p>
    <w:p>
      <w:pPr>
        <w:ind w:left="240" w:hanging="232"/>
        <w:spacing w:after="0"/>
        <w:tabs>
          <w:tab w:leader="none" w:pos="240" w:val="left"/>
        </w:tabs>
        <w:numPr>
          <w:ilvl w:val="0"/>
          <w:numId w:val="26"/>
        </w:numPr>
        <w:rPr>
          <w:rFonts w:ascii="Arial" w:cs="Arial" w:eastAsia="Arial" w:hAnsi="Arial"/>
          <w:sz w:val="18"/>
          <w:szCs w:val="18"/>
          <w:color w:val="4B4B4B"/>
        </w:rPr>
      </w:pPr>
      <w:r>
        <w:rPr>
          <w:rFonts w:ascii="Arial" w:cs="Arial" w:eastAsia="Arial" w:hAnsi="Arial"/>
          <w:sz w:val="18"/>
          <w:szCs w:val="18"/>
          <w:color w:val="4B4B4B"/>
        </w:rPr>
        <w:t>all directors and executive officers as a group.</w:t>
      </w:r>
    </w:p>
    <w:p>
      <w:pPr>
        <w:spacing w:after="0" w:line="1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4B4B4B"/>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applicable community property laws.</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4B4B4B"/>
        </w:rPr>
        <w:t>The percentage of shares beneficially owned is computed on the basis of 27,506,087 shares of our Class A common stock and 11,598,903 shares of our Class B common stock outstanding as of April 12, 2022. Shares of our common stock that a person has the right to acquire within 60 days of April 12, 2022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w:t>
      </w:r>
    </w:p>
    <w:p>
      <w:pPr>
        <w:spacing w:after="0" w:line="15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4B4B4B"/>
        </w:rPr>
        <w:t>Unless otherwise indicated below, the address for each beneficial owner listed is c/o Duolingo, Inc., 5900 Penn Avenue, Pittsburgh, Pennsylvania 15206.</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120" w:type="dxa"/>
            <w:vAlign w:val="bottom"/>
            <w:shd w:val="clear" w:color="auto" w:fill="F7F7F7"/>
          </w:tcPr>
          <w:p>
            <w:pPr>
              <w:spacing w:after="0"/>
              <w:rPr>
                <w:sz w:val="20"/>
                <w:szCs w:val="20"/>
                <w:color w:val="auto"/>
              </w:rPr>
            </w:pPr>
          </w:p>
        </w:tc>
        <w:tc>
          <w:tcPr>
            <w:tcW w:w="3760" w:type="dxa"/>
            <w:vAlign w:val="bottom"/>
            <w:shd w:val="clear" w:color="auto" w:fill="F7F7F7"/>
          </w:tcPr>
          <w:p>
            <w:pPr>
              <w:spacing w:after="0"/>
              <w:rPr>
                <w:sz w:val="20"/>
                <w:szCs w:val="20"/>
                <w:color w:val="auto"/>
              </w:rPr>
            </w:pPr>
          </w:p>
        </w:tc>
        <w:tc>
          <w:tcPr>
            <w:tcW w:w="1160" w:type="dxa"/>
            <w:vAlign w:val="bottom"/>
            <w:shd w:val="clear" w:color="auto" w:fill="F7F7F7"/>
          </w:tcPr>
          <w:p>
            <w:pPr>
              <w:spacing w:after="0"/>
              <w:rPr>
                <w:sz w:val="20"/>
                <w:szCs w:val="20"/>
                <w:color w:val="auto"/>
              </w:rPr>
            </w:pPr>
          </w:p>
        </w:tc>
        <w:tc>
          <w:tcPr>
            <w:tcW w:w="2020" w:type="dxa"/>
            <w:vAlign w:val="bottom"/>
            <w:shd w:val="clear" w:color="auto" w:fill="F7F7F7"/>
          </w:tcPr>
          <w:p>
            <w:pPr>
              <w:ind w:left="40"/>
              <w:spacing w:after="0"/>
              <w:rPr>
                <w:sz w:val="20"/>
                <w:szCs w:val="20"/>
                <w:color w:val="auto"/>
              </w:rPr>
            </w:pPr>
            <w:r>
              <w:rPr>
                <w:rFonts w:ascii="Arial" w:cs="Arial" w:eastAsia="Arial" w:hAnsi="Arial"/>
                <w:sz w:val="16"/>
                <w:szCs w:val="16"/>
                <w:b w:val="1"/>
                <w:bCs w:val="1"/>
                <w:color w:val="4B4B4B"/>
              </w:rPr>
              <w:t>Class A(1)</w:t>
            </w:r>
          </w:p>
        </w:tc>
        <w:tc>
          <w:tcPr>
            <w:tcW w:w="1060" w:type="dxa"/>
            <w:vAlign w:val="bottom"/>
            <w:shd w:val="clear" w:color="auto" w:fill="F7F7F7"/>
          </w:tcPr>
          <w:p>
            <w:pPr>
              <w:spacing w:after="0"/>
              <w:rPr>
                <w:sz w:val="20"/>
                <w:szCs w:val="20"/>
                <w:color w:val="auto"/>
              </w:rPr>
            </w:pPr>
          </w:p>
        </w:tc>
        <w:tc>
          <w:tcPr>
            <w:tcW w:w="1680" w:type="dxa"/>
            <w:vAlign w:val="bottom"/>
            <w:shd w:val="clear" w:color="auto" w:fill="F7F7F7"/>
          </w:tcPr>
          <w:p>
            <w:pPr>
              <w:jc w:val="center"/>
              <w:ind w:left="219"/>
              <w:spacing w:after="0"/>
              <w:rPr>
                <w:sz w:val="20"/>
                <w:szCs w:val="20"/>
                <w:color w:val="auto"/>
              </w:rPr>
            </w:pPr>
            <w:r>
              <w:rPr>
                <w:rFonts w:ascii="Arial" w:cs="Arial" w:eastAsia="Arial" w:hAnsi="Arial"/>
                <w:sz w:val="16"/>
                <w:szCs w:val="16"/>
                <w:b w:val="1"/>
                <w:bCs w:val="1"/>
                <w:color w:val="4B4B4B"/>
                <w:w w:val="99"/>
              </w:rPr>
              <w:t>Class B(1)</w:t>
            </w:r>
          </w:p>
        </w:tc>
        <w:tc>
          <w:tcPr>
            <w:tcW w:w="1420" w:type="dxa"/>
            <w:vAlign w:val="bottom"/>
            <w:shd w:val="clear" w:color="auto" w:fill="F7F7F7"/>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20" w:type="dxa"/>
            <w:vAlign w:val="bottom"/>
            <w:shd w:val="clear" w:color="auto" w:fill="F7F7F7"/>
          </w:tcPr>
          <w:p>
            <w:pPr>
              <w:spacing w:after="0"/>
              <w:rPr>
                <w:sz w:val="20"/>
                <w:szCs w:val="20"/>
                <w:color w:val="auto"/>
              </w:rPr>
            </w:pPr>
          </w:p>
        </w:tc>
        <w:tc>
          <w:tcPr>
            <w:tcW w:w="3760" w:type="dxa"/>
            <w:vAlign w:val="bottom"/>
            <w:shd w:val="clear" w:color="auto" w:fill="F7F7F7"/>
          </w:tcPr>
          <w:p>
            <w:pPr>
              <w:spacing w:after="0"/>
              <w:rPr>
                <w:sz w:val="20"/>
                <w:szCs w:val="20"/>
                <w:color w:val="auto"/>
              </w:rPr>
            </w:pPr>
          </w:p>
        </w:tc>
        <w:tc>
          <w:tcPr>
            <w:tcW w:w="1160" w:type="dxa"/>
            <w:vAlign w:val="bottom"/>
            <w:shd w:val="clear" w:color="auto" w:fill="F7F7F7"/>
          </w:tcPr>
          <w:p>
            <w:pPr>
              <w:jc w:val="center"/>
              <w:ind w:left="59"/>
              <w:spacing w:after="0"/>
              <w:rPr>
                <w:sz w:val="20"/>
                <w:szCs w:val="20"/>
                <w:color w:val="auto"/>
              </w:rPr>
            </w:pPr>
            <w:r>
              <w:rPr>
                <w:rFonts w:ascii="Arial" w:cs="Arial" w:eastAsia="Arial" w:hAnsi="Arial"/>
                <w:sz w:val="16"/>
                <w:szCs w:val="16"/>
                <w:b w:val="1"/>
                <w:bCs w:val="1"/>
                <w:color w:val="4B4B4B"/>
              </w:rPr>
              <w:t>Number of</w:t>
            </w:r>
          </w:p>
        </w:tc>
        <w:tc>
          <w:tcPr>
            <w:tcW w:w="2020" w:type="dxa"/>
            <w:vAlign w:val="bottom"/>
            <w:shd w:val="clear" w:color="auto" w:fill="F7F7F7"/>
          </w:tcPr>
          <w:p>
            <w:pPr>
              <w:spacing w:after="0"/>
              <w:rPr>
                <w:sz w:val="20"/>
                <w:szCs w:val="20"/>
                <w:color w:val="auto"/>
              </w:rPr>
            </w:pPr>
          </w:p>
        </w:tc>
        <w:tc>
          <w:tcPr>
            <w:tcW w:w="106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Number of</w:t>
            </w:r>
          </w:p>
        </w:tc>
        <w:tc>
          <w:tcPr>
            <w:tcW w:w="1680" w:type="dxa"/>
            <w:vAlign w:val="bottom"/>
            <w:shd w:val="clear" w:color="auto" w:fill="F7F7F7"/>
          </w:tcPr>
          <w:p>
            <w:pPr>
              <w:spacing w:after="0"/>
              <w:rPr>
                <w:sz w:val="20"/>
                <w:szCs w:val="20"/>
                <w:color w:val="auto"/>
              </w:rPr>
            </w:pPr>
          </w:p>
        </w:tc>
        <w:tc>
          <w:tcPr>
            <w:tcW w:w="1420" w:type="dxa"/>
            <w:vAlign w:val="bottom"/>
            <w:shd w:val="clear" w:color="auto" w:fill="F7F7F7"/>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F7F7F7"/>
          </w:tcPr>
          <w:p>
            <w:pPr>
              <w:spacing w:after="0"/>
              <w:rPr>
                <w:sz w:val="17"/>
                <w:szCs w:val="17"/>
                <w:color w:val="auto"/>
              </w:rPr>
            </w:pPr>
          </w:p>
        </w:tc>
        <w:tc>
          <w:tcPr>
            <w:tcW w:w="3760" w:type="dxa"/>
            <w:vAlign w:val="bottom"/>
            <w:shd w:val="clear" w:color="auto" w:fill="F7F7F7"/>
          </w:tcPr>
          <w:p>
            <w:pPr>
              <w:spacing w:after="0"/>
              <w:rPr>
                <w:sz w:val="17"/>
                <w:szCs w:val="17"/>
                <w:color w:val="auto"/>
              </w:rPr>
            </w:pPr>
          </w:p>
        </w:tc>
        <w:tc>
          <w:tcPr>
            <w:tcW w:w="1160" w:type="dxa"/>
            <w:vAlign w:val="bottom"/>
            <w:shd w:val="clear" w:color="auto" w:fill="F7F7F7"/>
          </w:tcPr>
          <w:p>
            <w:pPr>
              <w:jc w:val="center"/>
              <w:ind w:left="99"/>
              <w:spacing w:after="0"/>
              <w:rPr>
                <w:sz w:val="20"/>
                <w:szCs w:val="20"/>
                <w:color w:val="auto"/>
              </w:rPr>
            </w:pPr>
            <w:r>
              <w:rPr>
                <w:rFonts w:ascii="Arial" w:cs="Arial" w:eastAsia="Arial" w:hAnsi="Arial"/>
                <w:sz w:val="16"/>
                <w:szCs w:val="16"/>
                <w:b w:val="1"/>
                <w:bCs w:val="1"/>
                <w:color w:val="4B4B4B"/>
              </w:rPr>
              <w:t>Shares</w:t>
            </w:r>
          </w:p>
        </w:tc>
        <w:tc>
          <w:tcPr>
            <w:tcW w:w="2020" w:type="dxa"/>
            <w:vAlign w:val="bottom"/>
            <w:shd w:val="clear" w:color="auto" w:fill="F7F7F7"/>
          </w:tcPr>
          <w:p>
            <w:pPr>
              <w:spacing w:after="0"/>
              <w:rPr>
                <w:sz w:val="17"/>
                <w:szCs w:val="17"/>
                <w:color w:val="auto"/>
              </w:rPr>
            </w:pPr>
          </w:p>
        </w:tc>
        <w:tc>
          <w:tcPr>
            <w:tcW w:w="106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Shares</w:t>
            </w:r>
          </w:p>
        </w:tc>
        <w:tc>
          <w:tcPr>
            <w:tcW w:w="1680" w:type="dxa"/>
            <w:vAlign w:val="bottom"/>
            <w:shd w:val="clear" w:color="auto" w:fill="F7F7F7"/>
          </w:tcPr>
          <w:p>
            <w:pPr>
              <w:spacing w:after="0"/>
              <w:rPr>
                <w:sz w:val="17"/>
                <w:szCs w:val="17"/>
                <w:color w:val="auto"/>
              </w:rPr>
            </w:pPr>
          </w:p>
        </w:tc>
        <w:tc>
          <w:tcPr>
            <w:tcW w:w="1420" w:type="dxa"/>
            <w:vAlign w:val="bottom"/>
            <w:shd w:val="clear" w:color="auto" w:fill="F7F7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F7F7F7"/>
          </w:tcPr>
          <w:p>
            <w:pPr>
              <w:spacing w:after="0"/>
              <w:rPr>
                <w:sz w:val="17"/>
                <w:szCs w:val="17"/>
                <w:color w:val="auto"/>
              </w:rPr>
            </w:pPr>
          </w:p>
        </w:tc>
        <w:tc>
          <w:tcPr>
            <w:tcW w:w="3760" w:type="dxa"/>
            <w:vAlign w:val="bottom"/>
            <w:shd w:val="clear" w:color="auto" w:fill="F7F7F7"/>
          </w:tcPr>
          <w:p>
            <w:pPr>
              <w:spacing w:after="0"/>
              <w:rPr>
                <w:sz w:val="17"/>
                <w:szCs w:val="17"/>
                <w:color w:val="auto"/>
              </w:rPr>
            </w:pPr>
          </w:p>
        </w:tc>
        <w:tc>
          <w:tcPr>
            <w:tcW w:w="1160" w:type="dxa"/>
            <w:vAlign w:val="bottom"/>
            <w:shd w:val="clear" w:color="auto" w:fill="F7F7F7"/>
          </w:tcPr>
          <w:p>
            <w:pPr>
              <w:jc w:val="center"/>
              <w:ind w:left="99"/>
              <w:spacing w:after="0"/>
              <w:rPr>
                <w:sz w:val="20"/>
                <w:szCs w:val="20"/>
                <w:color w:val="auto"/>
              </w:rPr>
            </w:pPr>
            <w:r>
              <w:rPr>
                <w:rFonts w:ascii="Arial" w:cs="Arial" w:eastAsia="Arial" w:hAnsi="Arial"/>
                <w:sz w:val="16"/>
                <w:szCs w:val="16"/>
                <w:b w:val="1"/>
                <w:bCs w:val="1"/>
                <w:color w:val="4B4B4B"/>
              </w:rPr>
              <w:t>Beneficially</w:t>
            </w:r>
          </w:p>
        </w:tc>
        <w:tc>
          <w:tcPr>
            <w:tcW w:w="202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Percentage Beneficially</w:t>
            </w:r>
          </w:p>
        </w:tc>
        <w:tc>
          <w:tcPr>
            <w:tcW w:w="1060" w:type="dxa"/>
            <w:vAlign w:val="bottom"/>
            <w:shd w:val="clear" w:color="auto" w:fill="F7F7F7"/>
          </w:tcPr>
          <w:p>
            <w:pPr>
              <w:jc w:val="center"/>
              <w:spacing w:after="0"/>
              <w:rPr>
                <w:sz w:val="20"/>
                <w:szCs w:val="20"/>
                <w:color w:val="auto"/>
              </w:rPr>
            </w:pPr>
            <w:r>
              <w:rPr>
                <w:rFonts w:ascii="Arial" w:cs="Arial" w:eastAsia="Arial" w:hAnsi="Arial"/>
                <w:sz w:val="16"/>
                <w:szCs w:val="16"/>
                <w:b w:val="1"/>
                <w:bCs w:val="1"/>
                <w:color w:val="4B4B4B"/>
              </w:rPr>
              <w:t>Beneficially</w:t>
            </w:r>
          </w:p>
        </w:tc>
        <w:tc>
          <w:tcPr>
            <w:tcW w:w="3100" w:type="dxa"/>
            <w:vAlign w:val="bottom"/>
            <w:gridSpan w:val="2"/>
            <w:shd w:val="clear" w:color="auto" w:fill="F7F7F7"/>
          </w:tcPr>
          <w:p>
            <w:pPr>
              <w:ind w:left="80"/>
              <w:spacing w:after="0"/>
              <w:rPr>
                <w:sz w:val="20"/>
                <w:szCs w:val="20"/>
                <w:color w:val="auto"/>
              </w:rPr>
            </w:pPr>
            <w:r>
              <w:rPr>
                <w:rFonts w:ascii="Arial" w:cs="Arial" w:eastAsia="Arial" w:hAnsi="Arial"/>
                <w:sz w:val="16"/>
                <w:szCs w:val="16"/>
                <w:b w:val="1"/>
                <w:bCs w:val="1"/>
                <w:color w:val="4B4B4B"/>
              </w:rPr>
              <w:t>Percentage Beneficially Percentage of</w:t>
            </w:r>
          </w:p>
        </w:tc>
        <w:tc>
          <w:tcPr>
            <w:tcW w:w="0" w:type="dxa"/>
            <w:vAlign w:val="bottom"/>
          </w:tcPr>
          <w:p>
            <w:pPr>
              <w:spacing w:after="0"/>
              <w:rPr>
                <w:sz w:val="1"/>
                <w:szCs w:val="1"/>
                <w:color w:val="auto"/>
              </w:rPr>
            </w:pPr>
          </w:p>
        </w:tc>
      </w:tr>
      <w:tr>
        <w:trPr>
          <w:trHeight w:val="228"/>
        </w:trPr>
        <w:tc>
          <w:tcPr>
            <w:tcW w:w="120" w:type="dxa"/>
            <w:vAlign w:val="bottom"/>
            <w:tcBorders>
              <w:bottom w:val="single" w:sz="8" w:color="F7F7F7"/>
            </w:tcBorders>
            <w:shd w:val="clear" w:color="auto" w:fill="F7F7F7"/>
          </w:tcPr>
          <w:p>
            <w:pPr>
              <w:spacing w:after="0"/>
              <w:rPr>
                <w:sz w:val="19"/>
                <w:szCs w:val="19"/>
                <w:color w:val="auto"/>
              </w:rPr>
            </w:pPr>
          </w:p>
        </w:tc>
        <w:tc>
          <w:tcPr>
            <w:tcW w:w="3760" w:type="dxa"/>
            <w:vAlign w:val="bottom"/>
            <w:tcBorders>
              <w:bottom w:val="single" w:sz="8" w:color="F7F7F7"/>
            </w:tcBorders>
            <w:shd w:val="clear" w:color="auto" w:fill="F7F7F7"/>
          </w:tcPr>
          <w:p>
            <w:pPr>
              <w:ind w:left="20"/>
              <w:spacing w:after="0"/>
              <w:rPr>
                <w:sz w:val="20"/>
                <w:szCs w:val="20"/>
                <w:color w:val="auto"/>
              </w:rPr>
            </w:pPr>
            <w:r>
              <w:rPr>
                <w:rFonts w:ascii="Arial" w:cs="Arial" w:eastAsia="Arial" w:hAnsi="Arial"/>
                <w:sz w:val="16"/>
                <w:szCs w:val="16"/>
                <w:b w:val="1"/>
                <w:bCs w:val="1"/>
                <w:color w:val="4B4B4B"/>
              </w:rPr>
              <w:t>Name of Beneficial Owner</w:t>
            </w:r>
          </w:p>
        </w:tc>
        <w:tc>
          <w:tcPr>
            <w:tcW w:w="1160" w:type="dxa"/>
            <w:vAlign w:val="bottom"/>
            <w:tcBorders>
              <w:bottom w:val="single" w:sz="8" w:color="F7F7F7"/>
            </w:tcBorders>
            <w:shd w:val="clear" w:color="auto" w:fill="F7F7F7"/>
          </w:tcPr>
          <w:p>
            <w:pPr>
              <w:jc w:val="center"/>
              <w:ind w:left="99"/>
              <w:spacing w:after="0"/>
              <w:rPr>
                <w:sz w:val="20"/>
                <w:szCs w:val="20"/>
                <w:color w:val="auto"/>
              </w:rPr>
            </w:pPr>
            <w:r>
              <w:rPr>
                <w:rFonts w:ascii="Arial" w:cs="Arial" w:eastAsia="Arial" w:hAnsi="Arial"/>
                <w:sz w:val="16"/>
                <w:szCs w:val="16"/>
                <w:b w:val="1"/>
                <w:bCs w:val="1"/>
                <w:color w:val="4B4B4B"/>
              </w:rPr>
              <w:t>Owned</w:t>
            </w:r>
          </w:p>
        </w:tc>
        <w:tc>
          <w:tcPr>
            <w:tcW w:w="202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6"/>
                <w:szCs w:val="16"/>
                <w:b w:val="1"/>
                <w:bCs w:val="1"/>
                <w:color w:val="4B4B4B"/>
              </w:rPr>
              <w:t>Owned</w:t>
            </w:r>
          </w:p>
        </w:tc>
        <w:tc>
          <w:tcPr>
            <w:tcW w:w="106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6"/>
                <w:szCs w:val="16"/>
                <w:b w:val="1"/>
                <w:bCs w:val="1"/>
                <w:color w:val="4B4B4B"/>
              </w:rPr>
              <w:t>Owned</w:t>
            </w:r>
          </w:p>
        </w:tc>
        <w:tc>
          <w:tcPr>
            <w:tcW w:w="1680" w:type="dxa"/>
            <w:vAlign w:val="bottom"/>
            <w:tcBorders>
              <w:bottom w:val="single" w:sz="8" w:color="F7F7F7"/>
            </w:tcBorders>
            <w:shd w:val="clear" w:color="auto" w:fill="F7F7F7"/>
          </w:tcPr>
          <w:p>
            <w:pPr>
              <w:jc w:val="center"/>
              <w:ind w:left="219"/>
              <w:spacing w:after="0"/>
              <w:rPr>
                <w:sz w:val="20"/>
                <w:szCs w:val="20"/>
                <w:color w:val="auto"/>
              </w:rPr>
            </w:pPr>
            <w:r>
              <w:rPr>
                <w:rFonts w:ascii="Arial" w:cs="Arial" w:eastAsia="Arial" w:hAnsi="Arial"/>
                <w:sz w:val="16"/>
                <w:szCs w:val="16"/>
                <w:b w:val="1"/>
                <w:bCs w:val="1"/>
                <w:color w:val="4B4B4B"/>
              </w:rPr>
              <w:t>Owned</w:t>
            </w:r>
          </w:p>
        </w:tc>
        <w:tc>
          <w:tcPr>
            <w:tcW w:w="1420" w:type="dxa"/>
            <w:vAlign w:val="bottom"/>
            <w:tcBorders>
              <w:bottom w:val="single" w:sz="8" w:color="F7F7F7"/>
            </w:tcBorders>
            <w:shd w:val="clear" w:color="auto" w:fill="F7F7F7"/>
          </w:tcPr>
          <w:p>
            <w:pPr>
              <w:ind w:left="320"/>
              <w:spacing w:after="0"/>
              <w:rPr>
                <w:sz w:val="20"/>
                <w:szCs w:val="20"/>
                <w:color w:val="auto"/>
              </w:rPr>
            </w:pPr>
            <w:r>
              <w:rPr>
                <w:rFonts w:ascii="Arial" w:cs="Arial" w:eastAsia="Arial" w:hAnsi="Arial"/>
                <w:sz w:val="16"/>
                <w:szCs w:val="16"/>
                <w:b w:val="1"/>
                <w:bCs w:val="1"/>
                <w:color w:val="4B4B4B"/>
              </w:rPr>
              <w:t>Voting Power</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Arial" w:cs="Arial" w:eastAsia="Arial" w:hAnsi="Arial"/>
                <w:sz w:val="18"/>
                <w:szCs w:val="18"/>
                <w:b w:val="1"/>
                <w:bCs w:val="1"/>
                <w:color w:val="4B4B4B"/>
              </w:rPr>
              <w:t>Holders of More than 5%:</w:t>
            </w:r>
          </w:p>
        </w:tc>
        <w:tc>
          <w:tcPr>
            <w:tcW w:w="11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120" w:type="dxa"/>
            <w:vAlign w:val="bottom"/>
            <w:tcBorders>
              <w:bottom w:val="single" w:sz="8" w:color="E5E5E5"/>
            </w:tcBorders>
          </w:tcPr>
          <w:p>
            <w:pPr>
              <w:spacing w:after="0"/>
              <w:rPr>
                <w:sz w:val="2"/>
                <w:szCs w:val="2"/>
                <w:color w:val="auto"/>
              </w:rPr>
            </w:pPr>
          </w:p>
        </w:tc>
        <w:tc>
          <w:tcPr>
            <w:tcW w:w="3760" w:type="dxa"/>
            <w:vAlign w:val="bottom"/>
            <w:vMerge w:val="restart"/>
          </w:tcPr>
          <w:p>
            <w:pPr>
              <w:ind w:left="120"/>
              <w:spacing w:after="0"/>
              <w:rPr>
                <w:sz w:val="20"/>
                <w:szCs w:val="20"/>
                <w:color w:val="auto"/>
              </w:rPr>
            </w:pPr>
            <w:r>
              <w:rPr>
                <w:rFonts w:ascii="Arial" w:cs="Arial" w:eastAsia="Arial" w:hAnsi="Arial"/>
                <w:sz w:val="16"/>
                <w:szCs w:val="16"/>
                <w:color w:val="4B4B4B"/>
              </w:rPr>
              <w:t>NewView Capital Fund I, L.P.(2)</w:t>
            </w:r>
          </w:p>
        </w:tc>
        <w:tc>
          <w:tcPr>
            <w:tcW w:w="1160" w:type="dxa"/>
            <w:vAlign w:val="bottom"/>
            <w:vMerge w:val="restart"/>
          </w:tcPr>
          <w:p>
            <w:pPr>
              <w:jc w:val="center"/>
              <w:ind w:left="119"/>
              <w:spacing w:after="0"/>
              <w:rPr>
                <w:sz w:val="20"/>
                <w:szCs w:val="20"/>
                <w:color w:val="auto"/>
              </w:rPr>
            </w:pPr>
            <w:r>
              <w:rPr>
                <w:rFonts w:ascii="Arial" w:cs="Arial" w:eastAsia="Arial" w:hAnsi="Arial"/>
                <w:sz w:val="16"/>
                <w:szCs w:val="16"/>
                <w:color w:val="4B4B4B"/>
              </w:rPr>
              <w:t>3,743,125</w:t>
            </w:r>
          </w:p>
        </w:tc>
        <w:tc>
          <w:tcPr>
            <w:tcW w:w="2020" w:type="dxa"/>
            <w:vAlign w:val="bottom"/>
            <w:vMerge w:val="restart"/>
          </w:tcPr>
          <w:p>
            <w:pPr>
              <w:jc w:val="center"/>
              <w:spacing w:after="0"/>
              <w:rPr>
                <w:sz w:val="20"/>
                <w:szCs w:val="20"/>
                <w:color w:val="auto"/>
              </w:rPr>
            </w:pPr>
            <w:r>
              <w:rPr>
                <w:rFonts w:ascii="Arial" w:cs="Arial" w:eastAsia="Arial" w:hAnsi="Arial"/>
                <w:sz w:val="16"/>
                <w:szCs w:val="16"/>
                <w:color w:val="4B4B4B"/>
              </w:rPr>
              <w:t>13.6%</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4B4B4B"/>
                <w:w w:val="99"/>
              </w:rPr>
              <w:t>—</w:t>
            </w:r>
          </w:p>
        </w:tc>
        <w:tc>
          <w:tcPr>
            <w:tcW w:w="1680" w:type="dxa"/>
            <w:vAlign w:val="bottom"/>
            <w:vMerge w:val="restart"/>
          </w:tcPr>
          <w:p>
            <w:pPr>
              <w:jc w:val="center"/>
              <w:ind w:left="219"/>
              <w:spacing w:after="0"/>
              <w:rPr>
                <w:sz w:val="20"/>
                <w:szCs w:val="20"/>
                <w:color w:val="auto"/>
              </w:rPr>
            </w:pPr>
            <w:r>
              <w:rPr>
                <w:rFonts w:ascii="Arial" w:cs="Arial" w:eastAsia="Arial" w:hAnsi="Arial"/>
                <w:sz w:val="16"/>
                <w:szCs w:val="16"/>
                <w:color w:val="4B4B4B"/>
                <w:w w:val="99"/>
              </w:rPr>
              <w:t>—%</w:t>
            </w:r>
          </w:p>
        </w:tc>
        <w:tc>
          <w:tcPr>
            <w:tcW w:w="1420" w:type="dxa"/>
            <w:vAlign w:val="bottom"/>
            <w:vMerge w:val="restart"/>
          </w:tcPr>
          <w:p>
            <w:pPr>
              <w:jc w:val="center"/>
              <w:ind w:left="159"/>
              <w:spacing w:after="0"/>
              <w:rPr>
                <w:sz w:val="20"/>
                <w:szCs w:val="20"/>
                <w:color w:val="auto"/>
              </w:rPr>
            </w:pPr>
            <w:r>
              <w:rPr>
                <w:rFonts w:ascii="Arial" w:cs="Arial" w:eastAsia="Arial" w:hAnsi="Arial"/>
                <w:sz w:val="16"/>
                <w:szCs w:val="16"/>
                <w:color w:val="4B4B4B"/>
              </w:rPr>
              <w:t>1.4%</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37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20" w:type="dxa"/>
            <w:vAlign w:val="bottom"/>
            <w:tcBorders>
              <w:bottom w:val="single" w:sz="8" w:color="E5E5E5"/>
            </w:tcBorders>
          </w:tcPr>
          <w:p>
            <w:pPr>
              <w:spacing w:after="0"/>
              <w:rPr>
                <w:sz w:val="3"/>
                <w:szCs w:val="3"/>
                <w:color w:val="auto"/>
              </w:rPr>
            </w:pPr>
          </w:p>
        </w:tc>
        <w:tc>
          <w:tcPr>
            <w:tcW w:w="3760" w:type="dxa"/>
            <w:vAlign w:val="bottom"/>
            <w:vMerge w:val="restart"/>
          </w:tcPr>
          <w:p>
            <w:pPr>
              <w:ind w:left="120"/>
              <w:spacing w:after="0"/>
              <w:rPr>
                <w:sz w:val="20"/>
                <w:szCs w:val="20"/>
                <w:color w:val="auto"/>
              </w:rPr>
            </w:pPr>
            <w:r>
              <w:rPr>
                <w:rFonts w:ascii="Arial" w:cs="Arial" w:eastAsia="Arial" w:hAnsi="Arial"/>
                <w:sz w:val="16"/>
                <w:szCs w:val="16"/>
                <w:color w:val="4B4B4B"/>
              </w:rPr>
              <w:t>KPCB Holdings, Inc., as nominee(3)</w:t>
            </w:r>
          </w:p>
        </w:tc>
        <w:tc>
          <w:tcPr>
            <w:tcW w:w="1160" w:type="dxa"/>
            <w:vAlign w:val="bottom"/>
            <w:vMerge w:val="restart"/>
          </w:tcPr>
          <w:p>
            <w:pPr>
              <w:jc w:val="center"/>
              <w:ind w:left="119"/>
              <w:spacing w:after="0"/>
              <w:rPr>
                <w:sz w:val="20"/>
                <w:szCs w:val="20"/>
                <w:color w:val="auto"/>
              </w:rPr>
            </w:pPr>
            <w:r>
              <w:rPr>
                <w:rFonts w:ascii="Arial" w:cs="Arial" w:eastAsia="Arial" w:hAnsi="Arial"/>
                <w:sz w:val="16"/>
                <w:szCs w:val="16"/>
                <w:color w:val="4B4B4B"/>
              </w:rPr>
              <w:t>2,586,881</w:t>
            </w:r>
          </w:p>
        </w:tc>
        <w:tc>
          <w:tcPr>
            <w:tcW w:w="2020" w:type="dxa"/>
            <w:vAlign w:val="bottom"/>
            <w:vMerge w:val="restart"/>
          </w:tcPr>
          <w:p>
            <w:pPr>
              <w:jc w:val="center"/>
              <w:spacing w:after="0"/>
              <w:rPr>
                <w:sz w:val="20"/>
                <w:szCs w:val="20"/>
                <w:color w:val="auto"/>
              </w:rPr>
            </w:pPr>
            <w:r>
              <w:rPr>
                <w:rFonts w:ascii="Arial" w:cs="Arial" w:eastAsia="Arial" w:hAnsi="Arial"/>
                <w:sz w:val="16"/>
                <w:szCs w:val="16"/>
                <w:color w:val="4B4B4B"/>
              </w:rPr>
              <w:t>9.4%</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4B4B4B"/>
                <w:w w:val="99"/>
              </w:rPr>
              <w:t>—</w:t>
            </w:r>
          </w:p>
        </w:tc>
        <w:tc>
          <w:tcPr>
            <w:tcW w:w="1680" w:type="dxa"/>
            <w:vAlign w:val="bottom"/>
            <w:vMerge w:val="restart"/>
          </w:tcPr>
          <w:p>
            <w:pPr>
              <w:jc w:val="center"/>
              <w:ind w:left="219"/>
              <w:spacing w:after="0"/>
              <w:rPr>
                <w:sz w:val="20"/>
                <w:szCs w:val="20"/>
                <w:color w:val="auto"/>
              </w:rPr>
            </w:pPr>
            <w:r>
              <w:rPr>
                <w:rFonts w:ascii="Arial" w:cs="Arial" w:eastAsia="Arial" w:hAnsi="Arial"/>
                <w:sz w:val="16"/>
                <w:szCs w:val="16"/>
                <w:color w:val="4B4B4B"/>
                <w:w w:val="99"/>
              </w:rPr>
              <w:t>—%</w:t>
            </w:r>
          </w:p>
        </w:tc>
        <w:tc>
          <w:tcPr>
            <w:tcW w:w="1420" w:type="dxa"/>
            <w:vAlign w:val="bottom"/>
            <w:vMerge w:val="restart"/>
          </w:tcPr>
          <w:p>
            <w:pPr>
              <w:jc w:val="center"/>
              <w:ind w:left="159"/>
              <w:spacing w:after="0"/>
              <w:rPr>
                <w:sz w:val="20"/>
                <w:szCs w:val="20"/>
                <w:color w:val="auto"/>
              </w:rPr>
            </w:pPr>
            <w:r>
              <w:rPr>
                <w:rFonts w:ascii="Arial" w:cs="Arial" w:eastAsia="Arial" w:hAnsi="Arial"/>
                <w:sz w:val="16"/>
                <w:szCs w:val="16"/>
                <w:color w:val="4B4B4B"/>
              </w:rPr>
              <w:t>1.0%</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37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20" w:type="dxa"/>
            <w:vAlign w:val="bottom"/>
            <w:tcBorders>
              <w:bottom w:val="single" w:sz="8" w:color="E5E5E5"/>
            </w:tcBorders>
          </w:tcPr>
          <w:p>
            <w:pPr>
              <w:spacing w:after="0"/>
              <w:rPr>
                <w:sz w:val="3"/>
                <w:szCs w:val="3"/>
                <w:color w:val="auto"/>
              </w:rPr>
            </w:pPr>
          </w:p>
        </w:tc>
        <w:tc>
          <w:tcPr>
            <w:tcW w:w="3760" w:type="dxa"/>
            <w:vAlign w:val="bottom"/>
            <w:vMerge w:val="restart"/>
          </w:tcPr>
          <w:p>
            <w:pPr>
              <w:ind w:left="120"/>
              <w:spacing w:after="0"/>
              <w:rPr>
                <w:sz w:val="20"/>
                <w:szCs w:val="20"/>
                <w:color w:val="auto"/>
              </w:rPr>
            </w:pPr>
            <w:r>
              <w:rPr>
                <w:rFonts w:ascii="Arial" w:cs="Arial" w:eastAsia="Arial" w:hAnsi="Arial"/>
                <w:sz w:val="16"/>
                <w:szCs w:val="16"/>
                <w:color w:val="4B4B4B"/>
              </w:rPr>
              <w:t>Baillie Gifford &amp; Co(4)</w:t>
            </w:r>
          </w:p>
        </w:tc>
        <w:tc>
          <w:tcPr>
            <w:tcW w:w="1160" w:type="dxa"/>
            <w:vAlign w:val="bottom"/>
            <w:vMerge w:val="restart"/>
          </w:tcPr>
          <w:p>
            <w:pPr>
              <w:jc w:val="center"/>
              <w:ind w:left="119"/>
              <w:spacing w:after="0"/>
              <w:rPr>
                <w:sz w:val="20"/>
                <w:szCs w:val="20"/>
                <w:color w:val="auto"/>
              </w:rPr>
            </w:pPr>
            <w:r>
              <w:rPr>
                <w:rFonts w:ascii="Arial" w:cs="Arial" w:eastAsia="Arial" w:hAnsi="Arial"/>
                <w:sz w:val="16"/>
                <w:szCs w:val="16"/>
                <w:color w:val="4B4B4B"/>
              </w:rPr>
              <w:t>2,065,788</w:t>
            </w:r>
          </w:p>
        </w:tc>
        <w:tc>
          <w:tcPr>
            <w:tcW w:w="2020" w:type="dxa"/>
            <w:vAlign w:val="bottom"/>
            <w:vMerge w:val="restart"/>
          </w:tcPr>
          <w:p>
            <w:pPr>
              <w:jc w:val="center"/>
              <w:spacing w:after="0"/>
              <w:rPr>
                <w:sz w:val="20"/>
                <w:szCs w:val="20"/>
                <w:color w:val="auto"/>
              </w:rPr>
            </w:pPr>
            <w:r>
              <w:rPr>
                <w:rFonts w:ascii="Arial" w:cs="Arial" w:eastAsia="Arial" w:hAnsi="Arial"/>
                <w:sz w:val="16"/>
                <w:szCs w:val="16"/>
                <w:color w:val="4B4B4B"/>
              </w:rPr>
              <w:t>7.5%</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4B4B4B"/>
                <w:w w:val="99"/>
              </w:rPr>
              <w:t>—</w:t>
            </w:r>
          </w:p>
        </w:tc>
        <w:tc>
          <w:tcPr>
            <w:tcW w:w="1680" w:type="dxa"/>
            <w:vAlign w:val="bottom"/>
            <w:vMerge w:val="restart"/>
          </w:tcPr>
          <w:p>
            <w:pPr>
              <w:jc w:val="center"/>
              <w:ind w:left="219"/>
              <w:spacing w:after="0"/>
              <w:rPr>
                <w:sz w:val="20"/>
                <w:szCs w:val="20"/>
                <w:color w:val="auto"/>
              </w:rPr>
            </w:pPr>
            <w:r>
              <w:rPr>
                <w:rFonts w:ascii="Arial" w:cs="Arial" w:eastAsia="Arial" w:hAnsi="Arial"/>
                <w:sz w:val="16"/>
                <w:szCs w:val="16"/>
                <w:color w:val="4B4B4B"/>
                <w:w w:val="99"/>
              </w:rPr>
              <w:t>—%</w:t>
            </w:r>
          </w:p>
        </w:tc>
        <w:tc>
          <w:tcPr>
            <w:tcW w:w="1420" w:type="dxa"/>
            <w:vAlign w:val="bottom"/>
            <w:vMerge w:val="restart"/>
          </w:tcPr>
          <w:p>
            <w:pPr>
              <w:jc w:val="center"/>
              <w:ind w:left="159"/>
              <w:spacing w:after="0"/>
              <w:rPr>
                <w:sz w:val="20"/>
                <w:szCs w:val="20"/>
                <w:color w:val="auto"/>
              </w:rPr>
            </w:pPr>
            <w:r>
              <w:rPr>
                <w:rFonts w:ascii="Arial" w:cs="Arial" w:eastAsia="Arial" w:hAnsi="Arial"/>
                <w:sz w:val="16"/>
                <w:szCs w:val="16"/>
                <w:color w:val="4B4B4B"/>
                <w:w w:val="95"/>
              </w:rPr>
              <w:t>*</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37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20" w:type="dxa"/>
            <w:vAlign w:val="bottom"/>
            <w:tcBorders>
              <w:bottom w:val="single" w:sz="8" w:color="E5E5E5"/>
            </w:tcBorders>
          </w:tcPr>
          <w:p>
            <w:pPr>
              <w:spacing w:after="0"/>
              <w:rPr>
                <w:sz w:val="3"/>
                <w:szCs w:val="3"/>
                <w:color w:val="auto"/>
              </w:rPr>
            </w:pPr>
          </w:p>
        </w:tc>
        <w:tc>
          <w:tcPr>
            <w:tcW w:w="3760" w:type="dxa"/>
            <w:vAlign w:val="bottom"/>
            <w:vMerge w:val="restart"/>
          </w:tcPr>
          <w:p>
            <w:pPr>
              <w:ind w:left="120"/>
              <w:spacing w:after="0"/>
              <w:rPr>
                <w:sz w:val="20"/>
                <w:szCs w:val="20"/>
                <w:color w:val="auto"/>
              </w:rPr>
            </w:pPr>
            <w:r>
              <w:rPr>
                <w:rFonts w:ascii="Arial" w:cs="Arial" w:eastAsia="Arial" w:hAnsi="Arial"/>
                <w:sz w:val="16"/>
                <w:szCs w:val="16"/>
                <w:color w:val="4B4B4B"/>
              </w:rPr>
              <w:t>Entities affiliated with Union Square Ventures(5)</w:t>
            </w:r>
          </w:p>
        </w:tc>
        <w:tc>
          <w:tcPr>
            <w:tcW w:w="1160" w:type="dxa"/>
            <w:vAlign w:val="bottom"/>
            <w:vMerge w:val="restart"/>
          </w:tcPr>
          <w:p>
            <w:pPr>
              <w:jc w:val="center"/>
              <w:ind w:left="119"/>
              <w:spacing w:after="0"/>
              <w:rPr>
                <w:sz w:val="20"/>
                <w:szCs w:val="20"/>
                <w:color w:val="auto"/>
              </w:rPr>
            </w:pPr>
            <w:r>
              <w:rPr>
                <w:rFonts w:ascii="Arial" w:cs="Arial" w:eastAsia="Arial" w:hAnsi="Arial"/>
                <w:sz w:val="16"/>
                <w:szCs w:val="16"/>
                <w:color w:val="4B4B4B"/>
              </w:rPr>
              <w:t>1,847,123</w:t>
            </w:r>
          </w:p>
        </w:tc>
        <w:tc>
          <w:tcPr>
            <w:tcW w:w="2020" w:type="dxa"/>
            <w:vAlign w:val="bottom"/>
            <w:vMerge w:val="restart"/>
          </w:tcPr>
          <w:p>
            <w:pPr>
              <w:jc w:val="center"/>
              <w:spacing w:after="0"/>
              <w:rPr>
                <w:sz w:val="20"/>
                <w:szCs w:val="20"/>
                <w:color w:val="auto"/>
              </w:rPr>
            </w:pPr>
            <w:r>
              <w:rPr>
                <w:rFonts w:ascii="Arial" w:cs="Arial" w:eastAsia="Arial" w:hAnsi="Arial"/>
                <w:sz w:val="16"/>
                <w:szCs w:val="16"/>
                <w:color w:val="4B4B4B"/>
              </w:rPr>
              <w:t>6.7%</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4B4B4B"/>
                <w:w w:val="99"/>
              </w:rPr>
              <w:t>—</w:t>
            </w:r>
          </w:p>
        </w:tc>
        <w:tc>
          <w:tcPr>
            <w:tcW w:w="1680" w:type="dxa"/>
            <w:vAlign w:val="bottom"/>
            <w:vMerge w:val="restart"/>
          </w:tcPr>
          <w:p>
            <w:pPr>
              <w:jc w:val="center"/>
              <w:ind w:left="219"/>
              <w:spacing w:after="0"/>
              <w:rPr>
                <w:sz w:val="20"/>
                <w:szCs w:val="20"/>
                <w:color w:val="auto"/>
              </w:rPr>
            </w:pPr>
            <w:r>
              <w:rPr>
                <w:rFonts w:ascii="Arial" w:cs="Arial" w:eastAsia="Arial" w:hAnsi="Arial"/>
                <w:sz w:val="16"/>
                <w:szCs w:val="16"/>
                <w:color w:val="4B4B4B"/>
                <w:w w:val="99"/>
              </w:rPr>
              <w:t>—%</w:t>
            </w:r>
          </w:p>
        </w:tc>
        <w:tc>
          <w:tcPr>
            <w:tcW w:w="1420" w:type="dxa"/>
            <w:vAlign w:val="bottom"/>
            <w:vMerge w:val="restart"/>
          </w:tcPr>
          <w:p>
            <w:pPr>
              <w:jc w:val="center"/>
              <w:ind w:left="159"/>
              <w:spacing w:after="0"/>
              <w:rPr>
                <w:sz w:val="20"/>
                <w:szCs w:val="20"/>
                <w:color w:val="auto"/>
              </w:rPr>
            </w:pPr>
            <w:r>
              <w:rPr>
                <w:rFonts w:ascii="Arial" w:cs="Arial" w:eastAsia="Arial" w:hAnsi="Arial"/>
                <w:sz w:val="16"/>
                <w:szCs w:val="16"/>
                <w:color w:val="4B4B4B"/>
                <w:w w:val="95"/>
              </w:rPr>
              <w:t>*</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37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3760" w:type="dxa"/>
            <w:vAlign w:val="bottom"/>
          </w:tcPr>
          <w:p>
            <w:pPr>
              <w:ind w:left="120"/>
              <w:spacing w:after="0"/>
              <w:rPr>
                <w:sz w:val="20"/>
                <w:szCs w:val="20"/>
                <w:color w:val="auto"/>
              </w:rPr>
            </w:pPr>
            <w:r>
              <w:rPr>
                <w:rFonts w:ascii="Arial" w:cs="Arial" w:eastAsia="Arial" w:hAnsi="Arial"/>
                <w:sz w:val="16"/>
                <w:szCs w:val="16"/>
                <w:color w:val="4B4B4B"/>
              </w:rPr>
              <w:t>Durable(6)</w:t>
            </w:r>
          </w:p>
        </w:tc>
        <w:tc>
          <w:tcPr>
            <w:tcW w:w="1160" w:type="dxa"/>
            <w:vAlign w:val="bottom"/>
          </w:tcPr>
          <w:p>
            <w:pPr>
              <w:jc w:val="center"/>
              <w:ind w:left="119"/>
              <w:spacing w:after="0"/>
              <w:rPr>
                <w:sz w:val="20"/>
                <w:szCs w:val="20"/>
                <w:color w:val="auto"/>
              </w:rPr>
            </w:pPr>
            <w:r>
              <w:rPr>
                <w:rFonts w:ascii="Arial" w:cs="Arial" w:eastAsia="Arial" w:hAnsi="Arial"/>
                <w:sz w:val="16"/>
                <w:szCs w:val="16"/>
                <w:color w:val="4B4B4B"/>
              </w:rPr>
              <w:t>1,712,367</w:t>
            </w:r>
          </w:p>
        </w:tc>
        <w:tc>
          <w:tcPr>
            <w:tcW w:w="2020" w:type="dxa"/>
            <w:vAlign w:val="bottom"/>
          </w:tcPr>
          <w:p>
            <w:pPr>
              <w:jc w:val="center"/>
              <w:spacing w:after="0"/>
              <w:rPr>
                <w:sz w:val="20"/>
                <w:szCs w:val="20"/>
                <w:color w:val="auto"/>
              </w:rPr>
            </w:pPr>
            <w:r>
              <w:rPr>
                <w:rFonts w:ascii="Arial" w:cs="Arial" w:eastAsia="Arial" w:hAnsi="Arial"/>
                <w:sz w:val="16"/>
                <w:szCs w:val="16"/>
                <w:color w:val="4B4B4B"/>
              </w:rPr>
              <w:t>6.2%</w:t>
            </w:r>
          </w:p>
        </w:tc>
        <w:tc>
          <w:tcPr>
            <w:tcW w:w="106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680" w:type="dxa"/>
            <w:vAlign w:val="bottom"/>
          </w:tcPr>
          <w:p>
            <w:pPr>
              <w:jc w:val="center"/>
              <w:ind w:left="219"/>
              <w:spacing w:after="0"/>
              <w:rPr>
                <w:sz w:val="20"/>
                <w:szCs w:val="20"/>
                <w:color w:val="auto"/>
              </w:rPr>
            </w:pPr>
            <w:r>
              <w:rPr>
                <w:rFonts w:ascii="Arial" w:cs="Arial" w:eastAsia="Arial" w:hAnsi="Arial"/>
                <w:sz w:val="16"/>
                <w:szCs w:val="16"/>
                <w:color w:val="4B4B4B"/>
                <w:w w:val="99"/>
              </w:rPr>
              <w:t>—%</w:t>
            </w:r>
          </w:p>
        </w:tc>
        <w:tc>
          <w:tcPr>
            <w:tcW w:w="1420" w:type="dxa"/>
            <w:vAlign w:val="bottom"/>
          </w:tcPr>
          <w:p>
            <w:pPr>
              <w:jc w:val="center"/>
              <w:ind w:left="159"/>
              <w:spacing w:after="0"/>
              <w:rPr>
                <w:sz w:val="20"/>
                <w:szCs w:val="20"/>
                <w:color w:val="auto"/>
              </w:rPr>
            </w:pPr>
            <w:r>
              <w:rPr>
                <w:rFonts w:ascii="Arial" w:cs="Arial" w:eastAsia="Arial" w:hAnsi="Arial"/>
                <w:sz w:val="16"/>
                <w:szCs w:val="16"/>
                <w:color w:val="4B4B4B"/>
                <w:w w:val="95"/>
              </w:rPr>
              <w:t>*</w:t>
            </w: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3760" w:type="dxa"/>
            <w:vAlign w:val="bottom"/>
          </w:tcPr>
          <w:p>
            <w:pPr>
              <w:ind w:left="120"/>
              <w:spacing w:after="0"/>
              <w:rPr>
                <w:sz w:val="20"/>
                <w:szCs w:val="20"/>
                <w:color w:val="auto"/>
              </w:rPr>
            </w:pPr>
            <w:r>
              <w:rPr>
                <w:rFonts w:ascii="Arial" w:cs="Arial" w:eastAsia="Arial" w:hAnsi="Arial"/>
                <w:sz w:val="16"/>
                <w:szCs w:val="16"/>
                <w:color w:val="4B4B4B"/>
              </w:rPr>
              <w:t>Entities affiliated with CapitalG(7)</w:t>
            </w:r>
          </w:p>
        </w:tc>
        <w:tc>
          <w:tcPr>
            <w:tcW w:w="1160" w:type="dxa"/>
            <w:vAlign w:val="bottom"/>
          </w:tcPr>
          <w:p>
            <w:pPr>
              <w:jc w:val="center"/>
              <w:ind w:left="99"/>
              <w:spacing w:after="0"/>
              <w:rPr>
                <w:sz w:val="20"/>
                <w:szCs w:val="20"/>
                <w:color w:val="auto"/>
              </w:rPr>
            </w:pPr>
            <w:r>
              <w:rPr>
                <w:rFonts w:ascii="Arial" w:cs="Arial" w:eastAsia="Arial" w:hAnsi="Arial"/>
                <w:sz w:val="16"/>
                <w:szCs w:val="16"/>
                <w:color w:val="4B4B4B"/>
              </w:rPr>
              <w:t>144,444</w:t>
            </w:r>
          </w:p>
        </w:tc>
        <w:tc>
          <w:tcPr>
            <w:tcW w:w="2020" w:type="dxa"/>
            <w:vAlign w:val="bottom"/>
          </w:tcPr>
          <w:p>
            <w:pPr>
              <w:jc w:val="center"/>
              <w:spacing w:after="0"/>
              <w:rPr>
                <w:sz w:val="20"/>
                <w:szCs w:val="20"/>
                <w:color w:val="auto"/>
              </w:rPr>
            </w:pPr>
            <w:r>
              <w:rPr>
                <w:rFonts w:ascii="Arial" w:cs="Arial" w:eastAsia="Arial" w:hAnsi="Arial"/>
                <w:sz w:val="16"/>
                <w:szCs w:val="16"/>
                <w:color w:val="4B4B4B"/>
                <w:w w:val="95"/>
              </w:rPr>
              <w:t>*</w:t>
            </w:r>
          </w:p>
        </w:tc>
        <w:tc>
          <w:tcPr>
            <w:tcW w:w="1060" w:type="dxa"/>
            <w:vAlign w:val="bottom"/>
          </w:tcPr>
          <w:p>
            <w:pPr>
              <w:jc w:val="center"/>
              <w:spacing w:after="0"/>
              <w:rPr>
                <w:sz w:val="20"/>
                <w:szCs w:val="20"/>
                <w:color w:val="auto"/>
              </w:rPr>
            </w:pPr>
            <w:r>
              <w:rPr>
                <w:rFonts w:ascii="Arial" w:cs="Arial" w:eastAsia="Arial" w:hAnsi="Arial"/>
                <w:sz w:val="16"/>
                <w:szCs w:val="16"/>
                <w:color w:val="4B4B4B"/>
              </w:rPr>
              <w:t>2,493,067</w:t>
            </w:r>
          </w:p>
        </w:tc>
        <w:tc>
          <w:tcPr>
            <w:tcW w:w="1680" w:type="dxa"/>
            <w:vAlign w:val="bottom"/>
          </w:tcPr>
          <w:p>
            <w:pPr>
              <w:jc w:val="center"/>
              <w:ind w:left="219"/>
              <w:spacing w:after="0"/>
              <w:rPr>
                <w:sz w:val="20"/>
                <w:szCs w:val="20"/>
                <w:color w:val="auto"/>
              </w:rPr>
            </w:pPr>
            <w:r>
              <w:rPr>
                <w:rFonts w:ascii="Arial" w:cs="Arial" w:eastAsia="Arial" w:hAnsi="Arial"/>
                <w:sz w:val="16"/>
                <w:szCs w:val="16"/>
                <w:color w:val="4B4B4B"/>
                <w:w w:val="99"/>
              </w:rPr>
              <w:t>21.49%</w:t>
            </w:r>
          </w:p>
        </w:tc>
        <w:tc>
          <w:tcPr>
            <w:tcW w:w="1420" w:type="dxa"/>
            <w:vAlign w:val="bottom"/>
          </w:tcPr>
          <w:p>
            <w:pPr>
              <w:jc w:val="center"/>
              <w:ind w:left="159"/>
              <w:spacing w:after="0"/>
              <w:rPr>
                <w:sz w:val="20"/>
                <w:szCs w:val="20"/>
                <w:color w:val="auto"/>
              </w:rPr>
            </w:pPr>
            <w:r>
              <w:rPr>
                <w:rFonts w:ascii="Arial" w:cs="Arial" w:eastAsia="Arial" w:hAnsi="Arial"/>
                <w:sz w:val="16"/>
                <w:szCs w:val="16"/>
                <w:color w:val="4B4B4B"/>
              </w:rPr>
              <w:t>19.3%</w:t>
            </w:r>
          </w:p>
        </w:tc>
        <w:tc>
          <w:tcPr>
            <w:tcW w:w="0" w:type="dxa"/>
            <w:vAlign w:val="bottom"/>
          </w:tcPr>
          <w:p>
            <w:pPr>
              <w:spacing w:after="0"/>
              <w:rPr>
                <w:sz w:val="1"/>
                <w:szCs w:val="1"/>
                <w:color w:val="auto"/>
              </w:rPr>
            </w:pPr>
          </w:p>
        </w:tc>
      </w:tr>
      <w:tr>
        <w:trPr>
          <w:trHeight w:val="37"/>
        </w:trPr>
        <w:tc>
          <w:tcPr>
            <w:tcW w:w="120" w:type="dxa"/>
            <w:vAlign w:val="bottom"/>
            <w:tcBorders>
              <w:bottom w:val="single" w:sz="8" w:color="E5E5E5"/>
            </w:tcBorders>
          </w:tcPr>
          <w:p>
            <w:pPr>
              <w:spacing w:after="0"/>
              <w:rPr>
                <w:sz w:val="3"/>
                <w:szCs w:val="3"/>
                <w:color w:val="auto"/>
              </w:rPr>
            </w:pPr>
          </w:p>
        </w:tc>
        <w:tc>
          <w:tcPr>
            <w:tcW w:w="3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-27305</wp:posOffset>
            </wp:positionV>
            <wp:extent cx="707199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71995" cy="4254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-207010</wp:posOffset>
            </wp:positionV>
            <wp:extent cx="707199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71995" cy="4254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-387350</wp:posOffset>
            </wp:positionV>
            <wp:extent cx="707199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71995" cy="4254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-567055</wp:posOffset>
            </wp:positionV>
            <wp:extent cx="707199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71995" cy="4254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-747395</wp:posOffset>
            </wp:positionV>
            <wp:extent cx="707199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71995" cy="4254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-927100</wp:posOffset>
            </wp:positionV>
            <wp:extent cx="707199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71995" cy="4254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-1107440</wp:posOffset>
            </wp:positionV>
            <wp:extent cx="707199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71995"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679450</wp:posOffset>
            </wp:positionV>
            <wp:extent cx="71062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39</w:t>
            </w:r>
          </w:p>
        </w:tc>
      </w:tr>
    </w:tbl>
    <w:p>
      <w:pPr>
        <w:sectPr>
          <w:pgSz w:w="11900" w:h="16838" w:orient="portrait"/>
          <w:cols w:equalWidth="0" w:num="1">
            <w:col w:w="11240"/>
          </w:cols>
          <w:pgMar w:left="320" w:top="1307" w:right="339" w:bottom="144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856615</wp:posOffset>
            </wp:positionV>
            <wp:extent cx="713613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6130" cy="42545"/>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195"/>
        </w:trPr>
        <w:tc>
          <w:tcPr>
            <w:tcW w:w="4760" w:type="dxa"/>
            <w:vAlign w:val="bottom"/>
          </w:tcPr>
          <w:p>
            <w:pPr>
              <w:ind w:left="100"/>
              <w:spacing w:after="0"/>
              <w:rPr>
                <w:sz w:val="20"/>
                <w:szCs w:val="20"/>
                <w:color w:val="auto"/>
              </w:rPr>
            </w:pPr>
            <w:r>
              <w:rPr>
                <w:rFonts w:ascii="Arial" w:cs="Arial" w:eastAsia="Arial" w:hAnsi="Arial"/>
                <w:sz w:val="16"/>
                <w:szCs w:val="16"/>
                <w:color w:val="4B4B4B"/>
              </w:rPr>
              <w:t>Entities affiliated with General Atlantic, L.P.(8)</w:t>
            </w:r>
          </w:p>
        </w:tc>
        <w:tc>
          <w:tcPr>
            <w:tcW w:w="1360" w:type="dxa"/>
            <w:vAlign w:val="bottom"/>
          </w:tcPr>
          <w:p>
            <w:pPr>
              <w:jc w:val="center"/>
              <w:spacing w:after="0"/>
              <w:rPr>
                <w:sz w:val="20"/>
                <w:szCs w:val="20"/>
                <w:color w:val="auto"/>
              </w:rPr>
            </w:pPr>
            <w:r>
              <w:rPr>
                <w:rFonts w:ascii="Arial" w:cs="Arial" w:eastAsia="Arial" w:hAnsi="Arial"/>
                <w:sz w:val="16"/>
                <w:szCs w:val="16"/>
                <w:color w:val="4B4B4B"/>
              </w:rPr>
              <w:t>—</w:t>
            </w:r>
          </w:p>
        </w:tc>
        <w:tc>
          <w:tcPr>
            <w:tcW w:w="110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380" w:type="dxa"/>
            <w:vAlign w:val="bottom"/>
          </w:tcPr>
          <w:p>
            <w:pPr>
              <w:jc w:val="center"/>
              <w:spacing w:after="0"/>
              <w:rPr>
                <w:sz w:val="20"/>
                <w:szCs w:val="20"/>
                <w:color w:val="auto"/>
              </w:rPr>
            </w:pPr>
            <w:r>
              <w:rPr>
                <w:rFonts w:ascii="Arial" w:cs="Arial" w:eastAsia="Arial" w:hAnsi="Arial"/>
                <w:sz w:val="16"/>
                <w:szCs w:val="16"/>
                <w:color w:val="4B4B4B"/>
              </w:rPr>
              <w:t>1,849,286</w:t>
            </w:r>
          </w:p>
        </w:tc>
        <w:tc>
          <w:tcPr>
            <w:tcW w:w="1220" w:type="dxa"/>
            <w:vAlign w:val="bottom"/>
          </w:tcPr>
          <w:p>
            <w:pPr>
              <w:jc w:val="center"/>
              <w:spacing w:after="0"/>
              <w:rPr>
                <w:sz w:val="20"/>
                <w:szCs w:val="20"/>
                <w:color w:val="auto"/>
              </w:rPr>
            </w:pPr>
            <w:r>
              <w:rPr>
                <w:rFonts w:ascii="Arial" w:cs="Arial" w:eastAsia="Arial" w:hAnsi="Arial"/>
                <w:sz w:val="16"/>
                <w:szCs w:val="16"/>
                <w:color w:val="4B4B4B"/>
              </w:rPr>
              <w:t>15.9%</w:t>
            </w:r>
          </w:p>
        </w:tc>
        <w:tc>
          <w:tcPr>
            <w:tcW w:w="820" w:type="dxa"/>
            <w:vAlign w:val="bottom"/>
          </w:tcPr>
          <w:p>
            <w:pPr>
              <w:jc w:val="center"/>
              <w:ind w:left="279"/>
              <w:spacing w:after="0"/>
              <w:rPr>
                <w:sz w:val="20"/>
                <w:szCs w:val="20"/>
                <w:color w:val="auto"/>
              </w:rPr>
            </w:pPr>
            <w:r>
              <w:rPr>
                <w:rFonts w:ascii="Arial" w:cs="Arial" w:eastAsia="Arial" w:hAnsi="Arial"/>
                <w:sz w:val="16"/>
                <w:szCs w:val="16"/>
                <w:color w:val="4B4B4B"/>
              </w:rPr>
              <w:t>14.3%</w:t>
            </w:r>
          </w:p>
        </w:tc>
        <w:tc>
          <w:tcPr>
            <w:tcW w:w="0" w:type="dxa"/>
            <w:vAlign w:val="bottom"/>
          </w:tcPr>
          <w:p>
            <w:pPr>
              <w:spacing w:after="0"/>
              <w:rPr>
                <w:sz w:val="1"/>
                <w:szCs w:val="1"/>
                <w:color w:val="auto"/>
              </w:rPr>
            </w:pPr>
          </w:p>
        </w:tc>
      </w:tr>
      <w:tr>
        <w:trPr>
          <w:trHeight w:val="316"/>
        </w:trPr>
        <w:tc>
          <w:tcPr>
            <w:tcW w:w="4760" w:type="dxa"/>
            <w:vAlign w:val="bottom"/>
          </w:tcPr>
          <w:p>
            <w:pPr>
              <w:spacing w:after="0"/>
              <w:rPr>
                <w:sz w:val="20"/>
                <w:szCs w:val="20"/>
                <w:color w:val="auto"/>
              </w:rPr>
            </w:pPr>
            <w:r>
              <w:rPr>
                <w:rFonts w:ascii="Arial" w:cs="Arial" w:eastAsia="Arial" w:hAnsi="Arial"/>
                <w:sz w:val="18"/>
                <w:szCs w:val="18"/>
                <w:b w:val="1"/>
                <w:bCs w:val="1"/>
                <w:color w:val="4B4B4B"/>
              </w:rPr>
              <w:t>Named Executive Officers and Directors:</w:t>
            </w: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760" w:type="dxa"/>
            <w:vAlign w:val="bottom"/>
          </w:tcPr>
          <w:p>
            <w:pPr>
              <w:ind w:left="100"/>
              <w:spacing w:after="0"/>
              <w:rPr>
                <w:sz w:val="20"/>
                <w:szCs w:val="20"/>
                <w:color w:val="auto"/>
              </w:rPr>
            </w:pPr>
            <w:r>
              <w:rPr>
                <w:rFonts w:ascii="Arial" w:cs="Arial" w:eastAsia="Arial" w:hAnsi="Arial"/>
                <w:sz w:val="16"/>
                <w:szCs w:val="16"/>
                <w:color w:val="4B4B4B"/>
              </w:rPr>
              <w:t>Luis von Ahn(9)</w:t>
            </w:r>
          </w:p>
        </w:tc>
        <w:tc>
          <w:tcPr>
            <w:tcW w:w="1360" w:type="dxa"/>
            <w:vAlign w:val="bottom"/>
          </w:tcPr>
          <w:p>
            <w:pPr>
              <w:jc w:val="center"/>
              <w:spacing w:after="0"/>
              <w:rPr>
                <w:sz w:val="20"/>
                <w:szCs w:val="20"/>
                <w:color w:val="auto"/>
              </w:rPr>
            </w:pPr>
            <w:r>
              <w:rPr>
                <w:rFonts w:ascii="Arial" w:cs="Arial" w:eastAsia="Arial" w:hAnsi="Arial"/>
                <w:sz w:val="16"/>
                <w:szCs w:val="16"/>
                <w:color w:val="4B4B4B"/>
              </w:rPr>
              <w:t>—</w:t>
            </w:r>
          </w:p>
        </w:tc>
        <w:tc>
          <w:tcPr>
            <w:tcW w:w="110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380" w:type="dxa"/>
            <w:vAlign w:val="bottom"/>
          </w:tcPr>
          <w:p>
            <w:pPr>
              <w:jc w:val="center"/>
              <w:spacing w:after="0"/>
              <w:rPr>
                <w:sz w:val="20"/>
                <w:szCs w:val="20"/>
                <w:color w:val="auto"/>
              </w:rPr>
            </w:pPr>
            <w:r>
              <w:rPr>
                <w:rFonts w:ascii="Arial" w:cs="Arial" w:eastAsia="Arial" w:hAnsi="Arial"/>
                <w:sz w:val="16"/>
                <w:szCs w:val="16"/>
                <w:color w:val="4B4B4B"/>
              </w:rPr>
              <w:t>3,959,034</w:t>
            </w:r>
          </w:p>
        </w:tc>
        <w:tc>
          <w:tcPr>
            <w:tcW w:w="1220" w:type="dxa"/>
            <w:vAlign w:val="bottom"/>
          </w:tcPr>
          <w:p>
            <w:pPr>
              <w:jc w:val="center"/>
              <w:spacing w:after="0"/>
              <w:rPr>
                <w:sz w:val="20"/>
                <w:szCs w:val="20"/>
                <w:color w:val="auto"/>
              </w:rPr>
            </w:pPr>
            <w:r>
              <w:rPr>
                <w:rFonts w:ascii="Arial" w:cs="Arial" w:eastAsia="Arial" w:hAnsi="Arial"/>
                <w:sz w:val="16"/>
                <w:szCs w:val="16"/>
                <w:color w:val="4B4B4B"/>
              </w:rPr>
              <w:t>34.1%</w:t>
            </w:r>
          </w:p>
        </w:tc>
        <w:tc>
          <w:tcPr>
            <w:tcW w:w="820" w:type="dxa"/>
            <w:vAlign w:val="bottom"/>
          </w:tcPr>
          <w:p>
            <w:pPr>
              <w:jc w:val="center"/>
              <w:ind w:left="279"/>
              <w:spacing w:after="0"/>
              <w:rPr>
                <w:sz w:val="20"/>
                <w:szCs w:val="20"/>
                <w:color w:val="auto"/>
              </w:rPr>
            </w:pPr>
            <w:r>
              <w:rPr>
                <w:rFonts w:ascii="Arial" w:cs="Arial" w:eastAsia="Arial" w:hAnsi="Arial"/>
                <w:sz w:val="16"/>
                <w:szCs w:val="16"/>
                <w:color w:val="4B4B4B"/>
              </w:rPr>
              <w:t>30.5%</w:t>
            </w:r>
          </w:p>
        </w:tc>
        <w:tc>
          <w:tcPr>
            <w:tcW w:w="0" w:type="dxa"/>
            <w:vAlign w:val="bottom"/>
          </w:tcPr>
          <w:p>
            <w:pPr>
              <w:spacing w:after="0"/>
              <w:rPr>
                <w:sz w:val="1"/>
                <w:szCs w:val="1"/>
                <w:color w:val="auto"/>
              </w:rPr>
            </w:pPr>
          </w:p>
        </w:tc>
      </w:tr>
      <w:tr>
        <w:trPr>
          <w:trHeight w:val="283"/>
        </w:trPr>
        <w:tc>
          <w:tcPr>
            <w:tcW w:w="4760" w:type="dxa"/>
            <w:vAlign w:val="bottom"/>
          </w:tcPr>
          <w:p>
            <w:pPr>
              <w:ind w:left="100"/>
              <w:spacing w:after="0"/>
              <w:rPr>
                <w:sz w:val="20"/>
                <w:szCs w:val="20"/>
                <w:color w:val="auto"/>
              </w:rPr>
            </w:pPr>
            <w:r>
              <w:rPr>
                <w:rFonts w:ascii="Arial" w:cs="Arial" w:eastAsia="Arial" w:hAnsi="Arial"/>
                <w:sz w:val="16"/>
                <w:szCs w:val="16"/>
                <w:color w:val="4B4B4B"/>
              </w:rPr>
              <w:t>Severin Hacker(10)</w:t>
            </w:r>
          </w:p>
        </w:tc>
        <w:tc>
          <w:tcPr>
            <w:tcW w:w="1360" w:type="dxa"/>
            <w:vAlign w:val="bottom"/>
          </w:tcPr>
          <w:p>
            <w:pPr>
              <w:jc w:val="center"/>
              <w:spacing w:after="0"/>
              <w:rPr>
                <w:sz w:val="20"/>
                <w:szCs w:val="20"/>
                <w:color w:val="auto"/>
              </w:rPr>
            </w:pPr>
            <w:r>
              <w:rPr>
                <w:rFonts w:ascii="Arial" w:cs="Arial" w:eastAsia="Arial" w:hAnsi="Arial"/>
                <w:sz w:val="16"/>
                <w:szCs w:val="16"/>
                <w:color w:val="4B4B4B"/>
              </w:rPr>
              <w:t>72</w:t>
            </w:r>
          </w:p>
        </w:tc>
        <w:tc>
          <w:tcPr>
            <w:tcW w:w="1100" w:type="dxa"/>
            <w:vAlign w:val="bottom"/>
          </w:tcPr>
          <w:p>
            <w:pPr>
              <w:jc w:val="center"/>
              <w:spacing w:after="0"/>
              <w:rPr>
                <w:sz w:val="20"/>
                <w:szCs w:val="20"/>
                <w:color w:val="auto"/>
              </w:rPr>
            </w:pPr>
            <w:r>
              <w:rPr>
                <w:rFonts w:ascii="Arial" w:cs="Arial" w:eastAsia="Arial" w:hAnsi="Arial"/>
                <w:sz w:val="16"/>
                <w:szCs w:val="16"/>
                <w:color w:val="4B4B4B"/>
                <w:w w:val="95"/>
              </w:rPr>
              <w:t>*</w:t>
            </w:r>
          </w:p>
        </w:tc>
        <w:tc>
          <w:tcPr>
            <w:tcW w:w="1380" w:type="dxa"/>
            <w:vAlign w:val="bottom"/>
          </w:tcPr>
          <w:p>
            <w:pPr>
              <w:jc w:val="center"/>
              <w:spacing w:after="0"/>
              <w:rPr>
                <w:sz w:val="20"/>
                <w:szCs w:val="20"/>
                <w:color w:val="auto"/>
              </w:rPr>
            </w:pPr>
            <w:r>
              <w:rPr>
                <w:rFonts w:ascii="Arial" w:cs="Arial" w:eastAsia="Arial" w:hAnsi="Arial"/>
                <w:sz w:val="16"/>
                <w:szCs w:val="16"/>
                <w:color w:val="4B4B4B"/>
              </w:rPr>
              <w:t>3,888,396</w:t>
            </w:r>
          </w:p>
        </w:tc>
        <w:tc>
          <w:tcPr>
            <w:tcW w:w="1220" w:type="dxa"/>
            <w:vAlign w:val="bottom"/>
          </w:tcPr>
          <w:p>
            <w:pPr>
              <w:jc w:val="center"/>
              <w:spacing w:after="0"/>
              <w:rPr>
                <w:sz w:val="20"/>
                <w:szCs w:val="20"/>
                <w:color w:val="auto"/>
              </w:rPr>
            </w:pPr>
            <w:r>
              <w:rPr>
                <w:rFonts w:ascii="Arial" w:cs="Arial" w:eastAsia="Arial" w:hAnsi="Arial"/>
                <w:sz w:val="16"/>
                <w:szCs w:val="16"/>
                <w:color w:val="4B4B4B"/>
              </w:rPr>
              <w:t>33.5%</w:t>
            </w:r>
          </w:p>
        </w:tc>
        <w:tc>
          <w:tcPr>
            <w:tcW w:w="820" w:type="dxa"/>
            <w:vAlign w:val="bottom"/>
          </w:tcPr>
          <w:p>
            <w:pPr>
              <w:jc w:val="center"/>
              <w:ind w:left="279"/>
              <w:spacing w:after="0"/>
              <w:rPr>
                <w:sz w:val="20"/>
                <w:szCs w:val="20"/>
                <w:color w:val="auto"/>
              </w:rPr>
            </w:pPr>
            <w:r>
              <w:rPr>
                <w:rFonts w:ascii="Arial" w:cs="Arial" w:eastAsia="Arial" w:hAnsi="Arial"/>
                <w:sz w:val="16"/>
                <w:szCs w:val="16"/>
                <w:color w:val="4B4B4B"/>
              </w:rPr>
              <w:t>30.0%</w:t>
            </w:r>
          </w:p>
        </w:tc>
        <w:tc>
          <w:tcPr>
            <w:tcW w:w="0" w:type="dxa"/>
            <w:vAlign w:val="bottom"/>
          </w:tcPr>
          <w:p>
            <w:pPr>
              <w:spacing w:after="0"/>
              <w:rPr>
                <w:sz w:val="1"/>
                <w:szCs w:val="1"/>
                <w:color w:val="auto"/>
              </w:rPr>
            </w:pPr>
          </w:p>
        </w:tc>
      </w:tr>
      <w:tr>
        <w:trPr>
          <w:trHeight w:val="283"/>
        </w:trPr>
        <w:tc>
          <w:tcPr>
            <w:tcW w:w="4760" w:type="dxa"/>
            <w:vAlign w:val="bottom"/>
          </w:tcPr>
          <w:p>
            <w:pPr>
              <w:ind w:left="100"/>
              <w:spacing w:after="0"/>
              <w:rPr>
                <w:sz w:val="20"/>
                <w:szCs w:val="20"/>
                <w:color w:val="auto"/>
              </w:rPr>
            </w:pPr>
            <w:r>
              <w:rPr>
                <w:rFonts w:ascii="Arial" w:cs="Arial" w:eastAsia="Arial" w:hAnsi="Arial"/>
                <w:sz w:val="16"/>
                <w:szCs w:val="16"/>
                <w:color w:val="4B4B4B"/>
              </w:rPr>
              <w:t>Matt Skaruppa(11)</w:t>
            </w:r>
          </w:p>
        </w:tc>
        <w:tc>
          <w:tcPr>
            <w:tcW w:w="1360" w:type="dxa"/>
            <w:vAlign w:val="bottom"/>
          </w:tcPr>
          <w:p>
            <w:pPr>
              <w:jc w:val="center"/>
              <w:spacing w:after="0"/>
              <w:rPr>
                <w:sz w:val="20"/>
                <w:szCs w:val="20"/>
                <w:color w:val="auto"/>
              </w:rPr>
            </w:pPr>
            <w:r>
              <w:rPr>
                <w:rFonts w:ascii="Arial" w:cs="Arial" w:eastAsia="Arial" w:hAnsi="Arial"/>
                <w:sz w:val="16"/>
                <w:szCs w:val="16"/>
                <w:color w:val="4B4B4B"/>
              </w:rPr>
              <w:t>159,398</w:t>
            </w:r>
          </w:p>
        </w:tc>
        <w:tc>
          <w:tcPr>
            <w:tcW w:w="1100" w:type="dxa"/>
            <w:vAlign w:val="bottom"/>
          </w:tcPr>
          <w:p>
            <w:pPr>
              <w:jc w:val="center"/>
              <w:spacing w:after="0"/>
              <w:rPr>
                <w:sz w:val="20"/>
                <w:szCs w:val="20"/>
                <w:color w:val="auto"/>
              </w:rPr>
            </w:pPr>
            <w:r>
              <w:rPr>
                <w:rFonts w:ascii="Arial" w:cs="Arial" w:eastAsia="Arial" w:hAnsi="Arial"/>
                <w:sz w:val="16"/>
                <w:szCs w:val="16"/>
                <w:color w:val="4B4B4B"/>
                <w:w w:val="95"/>
              </w:rPr>
              <w:t>*</w:t>
            </w:r>
          </w:p>
        </w:tc>
        <w:tc>
          <w:tcPr>
            <w:tcW w:w="138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820" w:type="dxa"/>
            <w:vAlign w:val="bottom"/>
          </w:tcPr>
          <w:p>
            <w:pPr>
              <w:jc w:val="center"/>
              <w:ind w:left="299"/>
              <w:spacing w:after="0"/>
              <w:rPr>
                <w:sz w:val="20"/>
                <w:szCs w:val="20"/>
                <w:color w:val="auto"/>
              </w:rPr>
            </w:pPr>
            <w:r>
              <w:rPr>
                <w:rFonts w:ascii="Arial" w:cs="Arial" w:eastAsia="Arial" w:hAnsi="Arial"/>
                <w:sz w:val="16"/>
                <w:szCs w:val="16"/>
                <w:color w:val="4B4B4B"/>
              </w:rPr>
              <w:t>*</w:t>
            </w:r>
          </w:p>
        </w:tc>
        <w:tc>
          <w:tcPr>
            <w:tcW w:w="0" w:type="dxa"/>
            <w:vAlign w:val="bottom"/>
          </w:tcPr>
          <w:p>
            <w:pPr>
              <w:spacing w:after="0"/>
              <w:rPr>
                <w:sz w:val="1"/>
                <w:szCs w:val="1"/>
                <w:color w:val="auto"/>
              </w:rPr>
            </w:pPr>
          </w:p>
        </w:tc>
      </w:tr>
      <w:tr>
        <w:trPr>
          <w:trHeight w:val="283"/>
        </w:trPr>
        <w:tc>
          <w:tcPr>
            <w:tcW w:w="4760" w:type="dxa"/>
            <w:vAlign w:val="bottom"/>
          </w:tcPr>
          <w:p>
            <w:pPr>
              <w:ind w:left="100"/>
              <w:spacing w:after="0"/>
              <w:rPr>
                <w:sz w:val="20"/>
                <w:szCs w:val="20"/>
                <w:color w:val="auto"/>
              </w:rPr>
            </w:pPr>
            <w:r>
              <w:rPr>
                <w:rFonts w:ascii="Arial" w:cs="Arial" w:eastAsia="Arial" w:hAnsi="Arial"/>
                <w:sz w:val="16"/>
                <w:szCs w:val="16"/>
                <w:color w:val="4B4B4B"/>
              </w:rPr>
              <w:t>Amy Bohutinsky(12)</w:t>
            </w:r>
          </w:p>
        </w:tc>
        <w:tc>
          <w:tcPr>
            <w:tcW w:w="1360" w:type="dxa"/>
            <w:vAlign w:val="bottom"/>
          </w:tcPr>
          <w:p>
            <w:pPr>
              <w:jc w:val="center"/>
              <w:spacing w:after="0"/>
              <w:rPr>
                <w:sz w:val="20"/>
                <w:szCs w:val="20"/>
                <w:color w:val="auto"/>
              </w:rPr>
            </w:pPr>
            <w:r>
              <w:rPr>
                <w:rFonts w:ascii="Arial" w:cs="Arial" w:eastAsia="Arial" w:hAnsi="Arial"/>
                <w:sz w:val="16"/>
                <w:szCs w:val="16"/>
                <w:color w:val="4B4B4B"/>
              </w:rPr>
              <w:t>21,573</w:t>
            </w:r>
          </w:p>
        </w:tc>
        <w:tc>
          <w:tcPr>
            <w:tcW w:w="1100" w:type="dxa"/>
            <w:vAlign w:val="bottom"/>
          </w:tcPr>
          <w:p>
            <w:pPr>
              <w:jc w:val="center"/>
              <w:spacing w:after="0"/>
              <w:rPr>
                <w:sz w:val="20"/>
                <w:szCs w:val="20"/>
                <w:color w:val="auto"/>
              </w:rPr>
            </w:pPr>
            <w:r>
              <w:rPr>
                <w:rFonts w:ascii="Arial" w:cs="Arial" w:eastAsia="Arial" w:hAnsi="Arial"/>
                <w:sz w:val="16"/>
                <w:szCs w:val="16"/>
                <w:color w:val="4B4B4B"/>
                <w:w w:val="95"/>
              </w:rPr>
              <w:t>*</w:t>
            </w:r>
          </w:p>
        </w:tc>
        <w:tc>
          <w:tcPr>
            <w:tcW w:w="138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820" w:type="dxa"/>
            <w:vAlign w:val="bottom"/>
          </w:tcPr>
          <w:p>
            <w:pPr>
              <w:jc w:val="center"/>
              <w:ind w:left="299"/>
              <w:spacing w:after="0"/>
              <w:rPr>
                <w:sz w:val="20"/>
                <w:szCs w:val="20"/>
                <w:color w:val="auto"/>
              </w:rPr>
            </w:pPr>
            <w:r>
              <w:rPr>
                <w:rFonts w:ascii="Arial" w:cs="Arial" w:eastAsia="Arial" w:hAnsi="Arial"/>
                <w:sz w:val="16"/>
                <w:szCs w:val="16"/>
                <w:color w:val="4B4B4B"/>
              </w:rPr>
              <w:t>*</w:t>
            </w:r>
          </w:p>
        </w:tc>
        <w:tc>
          <w:tcPr>
            <w:tcW w:w="0" w:type="dxa"/>
            <w:vAlign w:val="bottom"/>
          </w:tcPr>
          <w:p>
            <w:pPr>
              <w:spacing w:after="0"/>
              <w:rPr>
                <w:sz w:val="1"/>
                <w:szCs w:val="1"/>
                <w:color w:val="auto"/>
              </w:rPr>
            </w:pPr>
          </w:p>
        </w:tc>
      </w:tr>
      <w:tr>
        <w:trPr>
          <w:trHeight w:val="283"/>
        </w:trPr>
        <w:tc>
          <w:tcPr>
            <w:tcW w:w="4760" w:type="dxa"/>
            <w:vAlign w:val="bottom"/>
          </w:tcPr>
          <w:p>
            <w:pPr>
              <w:ind w:left="100"/>
              <w:spacing w:after="0"/>
              <w:rPr>
                <w:sz w:val="20"/>
                <w:szCs w:val="20"/>
                <w:color w:val="auto"/>
              </w:rPr>
            </w:pPr>
            <w:r>
              <w:rPr>
                <w:rFonts w:ascii="Arial" w:cs="Arial" w:eastAsia="Arial" w:hAnsi="Arial"/>
                <w:sz w:val="16"/>
                <w:szCs w:val="16"/>
                <w:color w:val="4B4B4B"/>
              </w:rPr>
              <w:t>Sara Clemens(13)</w:t>
            </w:r>
          </w:p>
        </w:tc>
        <w:tc>
          <w:tcPr>
            <w:tcW w:w="1360" w:type="dxa"/>
            <w:vAlign w:val="bottom"/>
          </w:tcPr>
          <w:p>
            <w:pPr>
              <w:jc w:val="center"/>
              <w:spacing w:after="0"/>
              <w:rPr>
                <w:sz w:val="20"/>
                <w:szCs w:val="20"/>
                <w:color w:val="auto"/>
              </w:rPr>
            </w:pPr>
            <w:r>
              <w:rPr>
                <w:rFonts w:ascii="Arial" w:cs="Arial" w:eastAsia="Arial" w:hAnsi="Arial"/>
                <w:sz w:val="16"/>
                <w:szCs w:val="16"/>
                <w:color w:val="4B4B4B"/>
              </w:rPr>
              <w:t>21,573</w:t>
            </w:r>
          </w:p>
        </w:tc>
        <w:tc>
          <w:tcPr>
            <w:tcW w:w="1100" w:type="dxa"/>
            <w:vAlign w:val="bottom"/>
          </w:tcPr>
          <w:p>
            <w:pPr>
              <w:jc w:val="center"/>
              <w:spacing w:after="0"/>
              <w:rPr>
                <w:sz w:val="20"/>
                <w:szCs w:val="20"/>
                <w:color w:val="auto"/>
              </w:rPr>
            </w:pPr>
            <w:r>
              <w:rPr>
                <w:rFonts w:ascii="Arial" w:cs="Arial" w:eastAsia="Arial" w:hAnsi="Arial"/>
                <w:sz w:val="16"/>
                <w:szCs w:val="16"/>
                <w:color w:val="4B4B4B"/>
                <w:w w:val="95"/>
              </w:rPr>
              <w:t>*</w:t>
            </w:r>
          </w:p>
        </w:tc>
        <w:tc>
          <w:tcPr>
            <w:tcW w:w="138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820" w:type="dxa"/>
            <w:vAlign w:val="bottom"/>
          </w:tcPr>
          <w:p>
            <w:pPr>
              <w:jc w:val="center"/>
              <w:ind w:left="299"/>
              <w:spacing w:after="0"/>
              <w:rPr>
                <w:sz w:val="20"/>
                <w:szCs w:val="20"/>
                <w:color w:val="auto"/>
              </w:rPr>
            </w:pPr>
            <w:r>
              <w:rPr>
                <w:rFonts w:ascii="Arial" w:cs="Arial" w:eastAsia="Arial" w:hAnsi="Arial"/>
                <w:sz w:val="16"/>
                <w:szCs w:val="16"/>
                <w:color w:val="4B4B4B"/>
              </w:rPr>
              <w:t>*</w:t>
            </w:r>
          </w:p>
        </w:tc>
        <w:tc>
          <w:tcPr>
            <w:tcW w:w="0" w:type="dxa"/>
            <w:vAlign w:val="bottom"/>
          </w:tcPr>
          <w:p>
            <w:pPr>
              <w:spacing w:after="0"/>
              <w:rPr>
                <w:sz w:val="1"/>
                <w:szCs w:val="1"/>
                <w:color w:val="auto"/>
              </w:rPr>
            </w:pPr>
          </w:p>
        </w:tc>
      </w:tr>
      <w:tr>
        <w:trPr>
          <w:trHeight w:val="284"/>
        </w:trPr>
        <w:tc>
          <w:tcPr>
            <w:tcW w:w="4760" w:type="dxa"/>
            <w:vAlign w:val="bottom"/>
          </w:tcPr>
          <w:p>
            <w:pPr>
              <w:ind w:left="100"/>
              <w:spacing w:after="0"/>
              <w:rPr>
                <w:sz w:val="20"/>
                <w:szCs w:val="20"/>
                <w:color w:val="auto"/>
              </w:rPr>
            </w:pPr>
            <w:r>
              <w:rPr>
                <w:rFonts w:ascii="Arial" w:cs="Arial" w:eastAsia="Arial" w:hAnsi="Arial"/>
                <w:sz w:val="16"/>
                <w:szCs w:val="16"/>
                <w:color w:val="4B4B4B"/>
              </w:rPr>
              <w:t>Bing Gordon(14)</w:t>
            </w:r>
          </w:p>
        </w:tc>
        <w:tc>
          <w:tcPr>
            <w:tcW w:w="1360" w:type="dxa"/>
            <w:vAlign w:val="bottom"/>
          </w:tcPr>
          <w:p>
            <w:pPr>
              <w:jc w:val="center"/>
              <w:spacing w:after="0"/>
              <w:rPr>
                <w:sz w:val="20"/>
                <w:szCs w:val="20"/>
                <w:color w:val="auto"/>
              </w:rPr>
            </w:pPr>
            <w:r>
              <w:rPr>
                <w:rFonts w:ascii="Arial" w:cs="Arial" w:eastAsia="Arial" w:hAnsi="Arial"/>
                <w:sz w:val="16"/>
                <w:szCs w:val="16"/>
                <w:color w:val="4B4B4B"/>
              </w:rPr>
              <w:t>26,573</w:t>
            </w:r>
          </w:p>
        </w:tc>
        <w:tc>
          <w:tcPr>
            <w:tcW w:w="1100" w:type="dxa"/>
            <w:vAlign w:val="bottom"/>
          </w:tcPr>
          <w:p>
            <w:pPr>
              <w:jc w:val="center"/>
              <w:spacing w:after="0"/>
              <w:rPr>
                <w:sz w:val="20"/>
                <w:szCs w:val="20"/>
                <w:color w:val="auto"/>
              </w:rPr>
            </w:pPr>
            <w:r>
              <w:rPr>
                <w:rFonts w:ascii="Arial" w:cs="Arial" w:eastAsia="Arial" w:hAnsi="Arial"/>
                <w:sz w:val="16"/>
                <w:szCs w:val="16"/>
                <w:color w:val="4B4B4B"/>
                <w:w w:val="95"/>
              </w:rPr>
              <w:t>*</w:t>
            </w:r>
          </w:p>
        </w:tc>
        <w:tc>
          <w:tcPr>
            <w:tcW w:w="138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820" w:type="dxa"/>
            <w:vAlign w:val="bottom"/>
          </w:tcPr>
          <w:p>
            <w:pPr>
              <w:jc w:val="center"/>
              <w:ind w:left="299"/>
              <w:spacing w:after="0"/>
              <w:rPr>
                <w:sz w:val="20"/>
                <w:szCs w:val="20"/>
                <w:color w:val="auto"/>
              </w:rPr>
            </w:pPr>
            <w:r>
              <w:rPr>
                <w:rFonts w:ascii="Arial" w:cs="Arial" w:eastAsia="Arial" w:hAnsi="Arial"/>
                <w:sz w:val="16"/>
                <w:szCs w:val="16"/>
                <w:color w:val="4B4B4B"/>
              </w:rPr>
              <w:t>*</w:t>
            </w:r>
          </w:p>
        </w:tc>
        <w:tc>
          <w:tcPr>
            <w:tcW w:w="0" w:type="dxa"/>
            <w:vAlign w:val="bottom"/>
          </w:tcPr>
          <w:p>
            <w:pPr>
              <w:spacing w:after="0"/>
              <w:rPr>
                <w:sz w:val="1"/>
                <w:szCs w:val="1"/>
                <w:color w:val="auto"/>
              </w:rPr>
            </w:pPr>
          </w:p>
        </w:tc>
      </w:tr>
      <w:tr>
        <w:trPr>
          <w:trHeight w:val="283"/>
        </w:trPr>
        <w:tc>
          <w:tcPr>
            <w:tcW w:w="4760" w:type="dxa"/>
            <w:vAlign w:val="bottom"/>
          </w:tcPr>
          <w:p>
            <w:pPr>
              <w:ind w:left="100"/>
              <w:spacing w:after="0"/>
              <w:rPr>
                <w:sz w:val="20"/>
                <w:szCs w:val="20"/>
                <w:color w:val="auto"/>
              </w:rPr>
            </w:pPr>
            <w:r>
              <w:rPr>
                <w:rFonts w:ascii="Arial" w:cs="Arial" w:eastAsia="Arial" w:hAnsi="Arial"/>
                <w:sz w:val="16"/>
                <w:szCs w:val="16"/>
                <w:color w:val="4B4B4B"/>
              </w:rPr>
              <w:t>John Lilly</w:t>
            </w:r>
          </w:p>
        </w:tc>
        <w:tc>
          <w:tcPr>
            <w:tcW w:w="1360" w:type="dxa"/>
            <w:vAlign w:val="bottom"/>
          </w:tcPr>
          <w:p>
            <w:pPr>
              <w:jc w:val="center"/>
              <w:spacing w:after="0"/>
              <w:rPr>
                <w:sz w:val="20"/>
                <w:szCs w:val="20"/>
                <w:color w:val="auto"/>
              </w:rPr>
            </w:pPr>
            <w:r>
              <w:rPr>
                <w:rFonts w:ascii="Arial" w:cs="Arial" w:eastAsia="Arial" w:hAnsi="Arial"/>
                <w:sz w:val="16"/>
                <w:szCs w:val="16"/>
                <w:color w:val="4B4B4B"/>
              </w:rPr>
              <w:t>—</w:t>
            </w:r>
          </w:p>
        </w:tc>
        <w:tc>
          <w:tcPr>
            <w:tcW w:w="110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38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820" w:type="dxa"/>
            <w:vAlign w:val="bottom"/>
          </w:tcPr>
          <w:p>
            <w:pPr>
              <w:jc w:val="center"/>
              <w:ind w:left="299"/>
              <w:spacing w:after="0"/>
              <w:rPr>
                <w:sz w:val="20"/>
                <w:szCs w:val="20"/>
                <w:color w:val="auto"/>
              </w:rPr>
            </w:pPr>
            <w:r>
              <w:rPr>
                <w:rFonts w:ascii="Arial" w:cs="Arial" w:eastAsia="Arial" w:hAnsi="Arial"/>
                <w:sz w:val="16"/>
                <w:szCs w:val="16"/>
                <w:color w:val="4B4B4B"/>
              </w:rPr>
              <w:t>—%</w:t>
            </w:r>
          </w:p>
        </w:tc>
        <w:tc>
          <w:tcPr>
            <w:tcW w:w="0" w:type="dxa"/>
            <w:vAlign w:val="bottom"/>
          </w:tcPr>
          <w:p>
            <w:pPr>
              <w:spacing w:after="0"/>
              <w:rPr>
                <w:sz w:val="1"/>
                <w:szCs w:val="1"/>
                <w:color w:val="auto"/>
              </w:rPr>
            </w:pPr>
          </w:p>
        </w:tc>
      </w:tr>
      <w:tr>
        <w:trPr>
          <w:trHeight w:val="283"/>
        </w:trPr>
        <w:tc>
          <w:tcPr>
            <w:tcW w:w="4760" w:type="dxa"/>
            <w:vAlign w:val="bottom"/>
          </w:tcPr>
          <w:p>
            <w:pPr>
              <w:ind w:left="100"/>
              <w:spacing w:after="0"/>
              <w:rPr>
                <w:sz w:val="20"/>
                <w:szCs w:val="20"/>
                <w:color w:val="auto"/>
              </w:rPr>
            </w:pPr>
            <w:r>
              <w:rPr>
                <w:rFonts w:ascii="Arial" w:cs="Arial" w:eastAsia="Arial" w:hAnsi="Arial"/>
                <w:sz w:val="16"/>
                <w:szCs w:val="16"/>
                <w:color w:val="4B4B4B"/>
              </w:rPr>
              <w:t>Gillian Munson(15)</w:t>
            </w:r>
          </w:p>
        </w:tc>
        <w:tc>
          <w:tcPr>
            <w:tcW w:w="1360" w:type="dxa"/>
            <w:vAlign w:val="bottom"/>
          </w:tcPr>
          <w:p>
            <w:pPr>
              <w:jc w:val="center"/>
              <w:spacing w:after="0"/>
              <w:rPr>
                <w:sz w:val="20"/>
                <w:szCs w:val="20"/>
                <w:color w:val="auto"/>
              </w:rPr>
            </w:pPr>
            <w:r>
              <w:rPr>
                <w:rFonts w:ascii="Arial" w:cs="Arial" w:eastAsia="Arial" w:hAnsi="Arial"/>
                <w:sz w:val="16"/>
                <w:szCs w:val="16"/>
                <w:color w:val="4B4B4B"/>
              </w:rPr>
              <w:t>26,573</w:t>
            </w:r>
          </w:p>
        </w:tc>
        <w:tc>
          <w:tcPr>
            <w:tcW w:w="1100" w:type="dxa"/>
            <w:vAlign w:val="bottom"/>
          </w:tcPr>
          <w:p>
            <w:pPr>
              <w:jc w:val="center"/>
              <w:spacing w:after="0"/>
              <w:rPr>
                <w:sz w:val="20"/>
                <w:szCs w:val="20"/>
                <w:color w:val="auto"/>
              </w:rPr>
            </w:pPr>
            <w:r>
              <w:rPr>
                <w:rFonts w:ascii="Arial" w:cs="Arial" w:eastAsia="Arial" w:hAnsi="Arial"/>
                <w:sz w:val="16"/>
                <w:szCs w:val="16"/>
                <w:color w:val="4B4B4B"/>
                <w:w w:val="95"/>
              </w:rPr>
              <w:t>*</w:t>
            </w:r>
          </w:p>
        </w:tc>
        <w:tc>
          <w:tcPr>
            <w:tcW w:w="138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820" w:type="dxa"/>
            <w:vAlign w:val="bottom"/>
          </w:tcPr>
          <w:p>
            <w:pPr>
              <w:jc w:val="center"/>
              <w:ind w:left="299"/>
              <w:spacing w:after="0"/>
              <w:rPr>
                <w:sz w:val="20"/>
                <w:szCs w:val="20"/>
                <w:color w:val="auto"/>
              </w:rPr>
            </w:pPr>
            <w:r>
              <w:rPr>
                <w:rFonts w:ascii="Arial" w:cs="Arial" w:eastAsia="Arial" w:hAnsi="Arial"/>
                <w:sz w:val="16"/>
                <w:szCs w:val="16"/>
                <w:color w:val="4B4B4B"/>
              </w:rPr>
              <w:t>*</w:t>
            </w:r>
          </w:p>
        </w:tc>
        <w:tc>
          <w:tcPr>
            <w:tcW w:w="0" w:type="dxa"/>
            <w:vAlign w:val="bottom"/>
          </w:tcPr>
          <w:p>
            <w:pPr>
              <w:spacing w:after="0"/>
              <w:rPr>
                <w:sz w:val="1"/>
                <w:szCs w:val="1"/>
                <w:color w:val="auto"/>
              </w:rPr>
            </w:pPr>
          </w:p>
        </w:tc>
      </w:tr>
      <w:tr>
        <w:trPr>
          <w:trHeight w:val="283"/>
        </w:trPr>
        <w:tc>
          <w:tcPr>
            <w:tcW w:w="4760" w:type="dxa"/>
            <w:vAlign w:val="bottom"/>
          </w:tcPr>
          <w:p>
            <w:pPr>
              <w:ind w:left="100"/>
              <w:spacing w:after="0"/>
              <w:rPr>
                <w:sz w:val="20"/>
                <w:szCs w:val="20"/>
                <w:color w:val="auto"/>
              </w:rPr>
            </w:pPr>
            <w:r>
              <w:rPr>
                <w:rFonts w:ascii="Arial" w:cs="Arial" w:eastAsia="Arial" w:hAnsi="Arial"/>
                <w:sz w:val="16"/>
                <w:szCs w:val="16"/>
                <w:color w:val="4B4B4B"/>
              </w:rPr>
              <w:t>Jim Shelton(16)</w:t>
            </w:r>
          </w:p>
        </w:tc>
        <w:tc>
          <w:tcPr>
            <w:tcW w:w="1360" w:type="dxa"/>
            <w:vAlign w:val="bottom"/>
          </w:tcPr>
          <w:p>
            <w:pPr>
              <w:jc w:val="center"/>
              <w:spacing w:after="0"/>
              <w:rPr>
                <w:sz w:val="20"/>
                <w:szCs w:val="20"/>
                <w:color w:val="auto"/>
              </w:rPr>
            </w:pPr>
            <w:r>
              <w:rPr>
                <w:rFonts w:ascii="Arial" w:cs="Arial" w:eastAsia="Arial" w:hAnsi="Arial"/>
                <w:sz w:val="16"/>
                <w:szCs w:val="16"/>
                <w:color w:val="4B4B4B"/>
              </w:rPr>
              <w:t>11,573</w:t>
            </w:r>
          </w:p>
        </w:tc>
        <w:tc>
          <w:tcPr>
            <w:tcW w:w="1100" w:type="dxa"/>
            <w:vAlign w:val="bottom"/>
          </w:tcPr>
          <w:p>
            <w:pPr>
              <w:jc w:val="center"/>
              <w:spacing w:after="0"/>
              <w:rPr>
                <w:sz w:val="20"/>
                <w:szCs w:val="20"/>
                <w:color w:val="auto"/>
              </w:rPr>
            </w:pPr>
            <w:r>
              <w:rPr>
                <w:rFonts w:ascii="Arial" w:cs="Arial" w:eastAsia="Arial" w:hAnsi="Arial"/>
                <w:sz w:val="16"/>
                <w:szCs w:val="16"/>
                <w:color w:val="4B4B4B"/>
                <w:w w:val="95"/>
              </w:rPr>
              <w:t>*</w:t>
            </w:r>
          </w:p>
        </w:tc>
        <w:tc>
          <w:tcPr>
            <w:tcW w:w="138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820" w:type="dxa"/>
            <w:vAlign w:val="bottom"/>
          </w:tcPr>
          <w:p>
            <w:pPr>
              <w:jc w:val="center"/>
              <w:ind w:left="299"/>
              <w:spacing w:after="0"/>
              <w:rPr>
                <w:sz w:val="20"/>
                <w:szCs w:val="20"/>
                <w:color w:val="auto"/>
              </w:rPr>
            </w:pPr>
            <w:r>
              <w:rPr>
                <w:rFonts w:ascii="Arial" w:cs="Arial" w:eastAsia="Arial" w:hAnsi="Arial"/>
                <w:sz w:val="16"/>
                <w:szCs w:val="16"/>
                <w:color w:val="4B4B4B"/>
              </w:rPr>
              <w:t>*</w:t>
            </w:r>
          </w:p>
        </w:tc>
        <w:tc>
          <w:tcPr>
            <w:tcW w:w="0" w:type="dxa"/>
            <w:vAlign w:val="bottom"/>
          </w:tcPr>
          <w:p>
            <w:pPr>
              <w:spacing w:after="0"/>
              <w:rPr>
                <w:sz w:val="1"/>
                <w:szCs w:val="1"/>
                <w:color w:val="auto"/>
              </w:rPr>
            </w:pPr>
          </w:p>
        </w:tc>
      </w:tr>
      <w:tr>
        <w:trPr>
          <w:trHeight w:val="283"/>
        </w:trPr>
        <w:tc>
          <w:tcPr>
            <w:tcW w:w="4760" w:type="dxa"/>
            <w:vAlign w:val="bottom"/>
          </w:tcPr>
          <w:p>
            <w:pPr>
              <w:ind w:left="100"/>
              <w:spacing w:after="0"/>
              <w:rPr>
                <w:sz w:val="20"/>
                <w:szCs w:val="20"/>
                <w:color w:val="auto"/>
              </w:rPr>
            </w:pPr>
            <w:r>
              <w:rPr>
                <w:rFonts w:ascii="Arial" w:cs="Arial" w:eastAsia="Arial" w:hAnsi="Arial"/>
                <w:sz w:val="16"/>
                <w:szCs w:val="16"/>
                <w:color w:val="4B4B4B"/>
              </w:rPr>
              <w:t>Laela Sturdy(17)</w:t>
            </w:r>
          </w:p>
        </w:tc>
        <w:tc>
          <w:tcPr>
            <w:tcW w:w="1360" w:type="dxa"/>
            <w:vAlign w:val="bottom"/>
          </w:tcPr>
          <w:p>
            <w:pPr>
              <w:jc w:val="center"/>
              <w:spacing w:after="0"/>
              <w:rPr>
                <w:sz w:val="20"/>
                <w:szCs w:val="20"/>
                <w:color w:val="auto"/>
              </w:rPr>
            </w:pPr>
            <w:r>
              <w:rPr>
                <w:rFonts w:ascii="Arial" w:cs="Arial" w:eastAsia="Arial" w:hAnsi="Arial"/>
                <w:sz w:val="16"/>
                <w:szCs w:val="16"/>
                <w:color w:val="4B4B4B"/>
              </w:rPr>
              <w:t>21,573</w:t>
            </w:r>
          </w:p>
        </w:tc>
        <w:tc>
          <w:tcPr>
            <w:tcW w:w="1100" w:type="dxa"/>
            <w:vAlign w:val="bottom"/>
          </w:tcPr>
          <w:p>
            <w:pPr>
              <w:jc w:val="center"/>
              <w:spacing w:after="0"/>
              <w:rPr>
                <w:sz w:val="20"/>
                <w:szCs w:val="20"/>
                <w:color w:val="auto"/>
              </w:rPr>
            </w:pPr>
            <w:r>
              <w:rPr>
                <w:rFonts w:ascii="Arial" w:cs="Arial" w:eastAsia="Arial" w:hAnsi="Arial"/>
                <w:sz w:val="16"/>
                <w:szCs w:val="16"/>
                <w:color w:val="4B4B4B"/>
                <w:w w:val="95"/>
              </w:rPr>
              <w:t>*</w:t>
            </w:r>
          </w:p>
        </w:tc>
        <w:tc>
          <w:tcPr>
            <w:tcW w:w="138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4B4B4B"/>
                <w:w w:val="99"/>
              </w:rPr>
              <w:t>—%</w:t>
            </w:r>
          </w:p>
        </w:tc>
        <w:tc>
          <w:tcPr>
            <w:tcW w:w="820" w:type="dxa"/>
            <w:vAlign w:val="bottom"/>
          </w:tcPr>
          <w:p>
            <w:pPr>
              <w:jc w:val="center"/>
              <w:ind w:left="299"/>
              <w:spacing w:after="0"/>
              <w:rPr>
                <w:sz w:val="20"/>
                <w:szCs w:val="20"/>
                <w:color w:val="auto"/>
              </w:rPr>
            </w:pPr>
            <w:r>
              <w:rPr>
                <w:rFonts w:ascii="Arial" w:cs="Arial" w:eastAsia="Arial" w:hAnsi="Arial"/>
                <w:sz w:val="16"/>
                <w:szCs w:val="16"/>
                <w:color w:val="4B4B4B"/>
              </w:rPr>
              <w:t>*</w:t>
            </w:r>
          </w:p>
        </w:tc>
        <w:tc>
          <w:tcPr>
            <w:tcW w:w="0" w:type="dxa"/>
            <w:vAlign w:val="bottom"/>
          </w:tcPr>
          <w:p>
            <w:pPr>
              <w:spacing w:after="0"/>
              <w:rPr>
                <w:sz w:val="1"/>
                <w:szCs w:val="1"/>
                <w:color w:val="auto"/>
              </w:rPr>
            </w:pPr>
          </w:p>
        </w:tc>
      </w:tr>
      <w:tr>
        <w:trPr>
          <w:trHeight w:val="307"/>
        </w:trPr>
        <w:tc>
          <w:tcPr>
            <w:tcW w:w="4760" w:type="dxa"/>
            <w:vAlign w:val="bottom"/>
          </w:tcPr>
          <w:p>
            <w:pPr>
              <w:ind w:left="80"/>
              <w:spacing w:after="0"/>
              <w:rPr>
                <w:sz w:val="20"/>
                <w:szCs w:val="20"/>
                <w:color w:val="auto"/>
              </w:rPr>
            </w:pPr>
            <w:r>
              <w:rPr>
                <w:rFonts w:ascii="Arial" w:cs="Arial" w:eastAsia="Arial" w:hAnsi="Arial"/>
                <w:sz w:val="18"/>
                <w:szCs w:val="18"/>
                <w:b w:val="1"/>
                <w:bCs w:val="1"/>
                <w:color w:val="4B4B4B"/>
              </w:rPr>
              <w:t>All executive officers and directors as a group (13</w:t>
            </w:r>
          </w:p>
        </w:tc>
        <w:tc>
          <w:tcPr>
            <w:tcW w:w="1360" w:type="dxa"/>
            <w:vAlign w:val="bottom"/>
            <w:vMerge w:val="restart"/>
          </w:tcPr>
          <w:p>
            <w:pPr>
              <w:jc w:val="center"/>
              <w:spacing w:after="0"/>
              <w:rPr>
                <w:sz w:val="20"/>
                <w:szCs w:val="20"/>
                <w:color w:val="auto"/>
              </w:rPr>
            </w:pPr>
            <w:r>
              <w:rPr>
                <w:rFonts w:ascii="Arial" w:cs="Arial" w:eastAsia="Arial" w:hAnsi="Arial"/>
                <w:sz w:val="16"/>
                <w:szCs w:val="16"/>
                <w:color w:val="4B4B4B"/>
              </w:rPr>
              <w:t>804,242</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4B4B4B"/>
              </w:rPr>
              <w:t>2.9%</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4B4B4B"/>
              </w:rPr>
              <w:t>7,847,430</w:t>
            </w:r>
          </w:p>
        </w:tc>
        <w:tc>
          <w:tcPr>
            <w:tcW w:w="1220" w:type="dxa"/>
            <w:vAlign w:val="bottom"/>
            <w:vMerge w:val="restart"/>
          </w:tcPr>
          <w:p>
            <w:pPr>
              <w:jc w:val="center"/>
              <w:spacing w:after="0"/>
              <w:rPr>
                <w:sz w:val="20"/>
                <w:szCs w:val="20"/>
                <w:color w:val="auto"/>
              </w:rPr>
            </w:pPr>
            <w:r>
              <w:rPr>
                <w:rFonts w:ascii="Arial" w:cs="Arial" w:eastAsia="Arial" w:hAnsi="Arial"/>
                <w:sz w:val="16"/>
                <w:szCs w:val="16"/>
                <w:color w:val="4B4B4B"/>
              </w:rPr>
              <w:t>67.66%</w:t>
            </w:r>
          </w:p>
        </w:tc>
        <w:tc>
          <w:tcPr>
            <w:tcW w:w="820" w:type="dxa"/>
            <w:vAlign w:val="bottom"/>
            <w:vMerge w:val="restart"/>
          </w:tcPr>
          <w:p>
            <w:pPr>
              <w:jc w:val="center"/>
              <w:ind w:left="299"/>
              <w:spacing w:after="0"/>
              <w:rPr>
                <w:sz w:val="20"/>
                <w:szCs w:val="20"/>
                <w:color w:val="auto"/>
              </w:rPr>
            </w:pPr>
            <w:r>
              <w:rPr>
                <w:rFonts w:ascii="Arial" w:cs="Arial" w:eastAsia="Arial" w:hAnsi="Arial"/>
                <w:sz w:val="16"/>
                <w:szCs w:val="16"/>
                <w:color w:val="4B4B4B"/>
                <w:w w:val="98"/>
              </w:rPr>
              <w:t>7.6%</w:t>
            </w:r>
          </w:p>
        </w:tc>
        <w:tc>
          <w:tcPr>
            <w:tcW w:w="0" w:type="dxa"/>
            <w:vAlign w:val="bottom"/>
          </w:tcPr>
          <w:p>
            <w:pPr>
              <w:spacing w:after="0"/>
              <w:rPr>
                <w:sz w:val="1"/>
                <w:szCs w:val="1"/>
                <w:color w:val="auto"/>
              </w:rPr>
            </w:pPr>
          </w:p>
        </w:tc>
      </w:tr>
      <w:tr>
        <w:trPr>
          <w:trHeight w:val="239"/>
        </w:trPr>
        <w:tc>
          <w:tcPr>
            <w:tcW w:w="4760" w:type="dxa"/>
            <w:vAlign w:val="bottom"/>
          </w:tcPr>
          <w:p>
            <w:pPr>
              <w:ind w:left="160"/>
              <w:spacing w:after="0"/>
              <w:rPr>
                <w:sz w:val="20"/>
                <w:szCs w:val="20"/>
                <w:color w:val="auto"/>
              </w:rPr>
            </w:pPr>
            <w:r>
              <w:rPr>
                <w:rFonts w:ascii="Arial" w:cs="Arial" w:eastAsia="Arial" w:hAnsi="Arial"/>
                <w:sz w:val="18"/>
                <w:szCs w:val="18"/>
                <w:b w:val="1"/>
                <w:bCs w:val="1"/>
                <w:color w:val="4B4B4B"/>
              </w:rPr>
              <w:t>persons)(17)</w:t>
            </w:r>
          </w:p>
        </w:tc>
        <w:tc>
          <w:tcPr>
            <w:tcW w:w="136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107315</wp:posOffset>
            </wp:positionV>
            <wp:extent cx="713613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613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-337820</wp:posOffset>
            </wp:positionV>
            <wp:extent cx="713613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613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-518160</wp:posOffset>
            </wp:positionV>
            <wp:extent cx="713613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613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-697865</wp:posOffset>
            </wp:positionV>
            <wp:extent cx="713613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613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-877570</wp:posOffset>
            </wp:positionV>
            <wp:extent cx="713613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613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-1057910</wp:posOffset>
            </wp:positionV>
            <wp:extent cx="713613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613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-1237615</wp:posOffset>
            </wp:positionV>
            <wp:extent cx="713613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613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-1417955</wp:posOffset>
            </wp:positionV>
            <wp:extent cx="713613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613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-1598295</wp:posOffset>
            </wp:positionV>
            <wp:extent cx="713613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613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-1778000</wp:posOffset>
            </wp:positionV>
            <wp:extent cx="713613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613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-1957705</wp:posOffset>
            </wp:positionV>
            <wp:extent cx="713613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613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-2138045</wp:posOffset>
            </wp:positionV>
            <wp:extent cx="713613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613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-2437765</wp:posOffset>
            </wp:positionV>
            <wp:extent cx="713613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613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FAFAF"/>
        </w:rPr>
        <w:t>___________________</w:t>
      </w:r>
    </w:p>
    <w:p>
      <w:pPr>
        <w:spacing w:after="0" w:line="19"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b w:val="1"/>
          <w:bCs w:val="1"/>
          <w:color w:val="AFAFAF"/>
        </w:rPr>
      </w:pPr>
      <w:r>
        <w:rPr>
          <w:rFonts w:ascii="Arial" w:cs="Arial" w:eastAsia="Arial" w:hAnsi="Arial"/>
          <w:sz w:val="14"/>
          <w:szCs w:val="14"/>
          <w:b w:val="1"/>
          <w:bCs w:val="1"/>
          <w:color w:val="AFAFAF"/>
        </w:rPr>
        <w:t>Represents less than 1%.</w:t>
      </w:r>
    </w:p>
    <w:p>
      <w:pPr>
        <w:spacing w:after="0" w:line="145" w:lineRule="exact"/>
        <w:rPr>
          <w:sz w:val="20"/>
          <w:szCs w:val="20"/>
          <w:color w:val="auto"/>
        </w:rPr>
      </w:pPr>
    </w:p>
    <w:p>
      <w:pPr>
        <w:ind w:left="340" w:right="20" w:hanging="332"/>
        <w:spacing w:after="0" w:line="263" w:lineRule="auto"/>
        <w:tabs>
          <w:tab w:leader="none" w:pos="340" w:val="left"/>
        </w:tabs>
        <w:numPr>
          <w:ilvl w:val="0"/>
          <w:numId w:val="28"/>
        </w:numPr>
        <w:rPr>
          <w:rFonts w:ascii="Arial" w:cs="Arial" w:eastAsia="Arial" w:hAnsi="Arial"/>
          <w:sz w:val="14"/>
          <w:szCs w:val="14"/>
          <w:b w:val="1"/>
          <w:bCs w:val="1"/>
          <w:color w:val="AFAFAF"/>
        </w:rPr>
      </w:pPr>
      <w:r>
        <w:rPr>
          <w:rFonts w:ascii="Arial" w:cs="Arial" w:eastAsia="Arial" w:hAnsi="Arial"/>
          <w:sz w:val="14"/>
          <w:szCs w:val="14"/>
          <w:b w:val="1"/>
          <w:bCs w:val="1"/>
          <w:color w:val="AFAFAF"/>
        </w:rPr>
        <w:t>Each share of Class A common stock is entitled to one vote, and each share of Class B common stock is entitled to 20 votes and is convertible at any time into one share of Class A common stock. The figures in this table with respect to Class A common stock do not include the shares of Class B common stock beneficially owned by the specified parties.</w:t>
      </w:r>
    </w:p>
    <w:p>
      <w:pPr>
        <w:spacing w:after="0" w:line="118" w:lineRule="exact"/>
        <w:rPr>
          <w:rFonts w:ascii="Arial" w:cs="Arial" w:eastAsia="Arial" w:hAnsi="Arial"/>
          <w:sz w:val="14"/>
          <w:szCs w:val="14"/>
          <w:b w:val="1"/>
          <w:bCs w:val="1"/>
          <w:color w:val="AFAFAF"/>
        </w:rPr>
      </w:pPr>
    </w:p>
    <w:p>
      <w:pPr>
        <w:ind w:left="340" w:right="40" w:hanging="332"/>
        <w:spacing w:after="0" w:line="252" w:lineRule="auto"/>
        <w:tabs>
          <w:tab w:leader="none" w:pos="340" w:val="left"/>
        </w:tabs>
        <w:numPr>
          <w:ilvl w:val="0"/>
          <w:numId w:val="28"/>
        </w:numPr>
        <w:rPr>
          <w:rFonts w:ascii="Arial" w:cs="Arial" w:eastAsia="Arial" w:hAnsi="Arial"/>
          <w:sz w:val="14"/>
          <w:szCs w:val="14"/>
          <w:b w:val="1"/>
          <w:bCs w:val="1"/>
          <w:color w:val="AFAFAF"/>
        </w:rPr>
      </w:pPr>
      <w:r>
        <w:rPr>
          <w:rFonts w:ascii="Arial" w:cs="Arial" w:eastAsia="Arial" w:hAnsi="Arial"/>
          <w:sz w:val="14"/>
          <w:szCs w:val="14"/>
          <w:b w:val="1"/>
          <w:bCs w:val="1"/>
          <w:color w:val="AFAFAF"/>
        </w:rPr>
        <w:t>Based solely on information provided by the transfer agent and the Schedule 13G filed with the SEC on January 14, 2022, NewView Capital Fund I, L.P. (“NVC Fund I”) has sole voting power and sole dispositive power over 3,743,125 shares of our Class B common stock. NewView Capital Partners I, LLC (“NVC Partners I”), the general partner of NVC Fund I, may be deemed to have sole power to vote these shares, and Ravi Viswanathan (“Viswanathan”), the managing member of NVC Partners I, may be deemed to have sole power to vote these shares. The address of each of the foregoing named reporting persons is c/o NewView Capital, 1201 Howard Avenue, Suite 101, Burlingame, CA 94010.</w:t>
      </w:r>
    </w:p>
    <w:p>
      <w:pPr>
        <w:spacing w:after="0" w:line="126" w:lineRule="exact"/>
        <w:rPr>
          <w:rFonts w:ascii="Arial" w:cs="Arial" w:eastAsia="Arial" w:hAnsi="Arial"/>
          <w:sz w:val="14"/>
          <w:szCs w:val="14"/>
          <w:b w:val="1"/>
          <w:bCs w:val="1"/>
          <w:color w:val="AFAFAF"/>
        </w:rPr>
      </w:pPr>
    </w:p>
    <w:p>
      <w:pPr>
        <w:ind w:left="340" w:hanging="332"/>
        <w:spacing w:after="0" w:line="248" w:lineRule="auto"/>
        <w:tabs>
          <w:tab w:leader="none" w:pos="340" w:val="left"/>
        </w:tabs>
        <w:numPr>
          <w:ilvl w:val="0"/>
          <w:numId w:val="28"/>
        </w:numPr>
        <w:rPr>
          <w:rFonts w:ascii="Arial" w:cs="Arial" w:eastAsia="Arial" w:hAnsi="Arial"/>
          <w:sz w:val="14"/>
          <w:szCs w:val="14"/>
          <w:b w:val="1"/>
          <w:bCs w:val="1"/>
          <w:color w:val="AFAFAF"/>
        </w:rPr>
      </w:pPr>
      <w:r>
        <w:rPr>
          <w:rFonts w:ascii="Arial" w:cs="Arial" w:eastAsia="Arial" w:hAnsi="Arial"/>
          <w:sz w:val="14"/>
          <w:szCs w:val="14"/>
          <w:b w:val="1"/>
          <w:bCs w:val="1"/>
          <w:color w:val="AFAFAF"/>
        </w:rPr>
        <w:t>Based solely on the Schedule 13G filed with the SEC on February 11, 2022 and information known to us, KPCB Digital Growth Fund, LLC (“KPCB DGF”) has sole voting and sole dispositive power over 2,438,394 shares of our Class A common stock (except that KPCB DGF Associates, LLC (“Associates”), the managing member of KPCB DGF, may be deemed to have sole power to vote these shares), KPCB Digital Growth Founders Fund, LLC (“KPCB DGF Founders”) has sole voting and sole dispositive power over 148,487 shares of our Class A common stock (except that Associates, the managing member of KPCB DGF Founders, may be deemed to have sole power to vote these shares) and KPCB DGF Associates, LLC has sole voting and sole dispositive power over 2,586,881 shares of our Class A common stock of which 2,438,394 are directly owned by KPCB DGF and 148,487 are directly owned by KPCB DGF Founders. The address of each of the foregoing named Reporting Persons is c/o Kleiner Perkins Caufield &amp; Byers, LLC, 2750 Sand Hill Road, Menlo Park, CA 94025.</w:t>
      </w:r>
    </w:p>
    <w:p>
      <w:pPr>
        <w:spacing w:after="0" w:line="131" w:lineRule="exact"/>
        <w:rPr>
          <w:rFonts w:ascii="Arial" w:cs="Arial" w:eastAsia="Arial" w:hAnsi="Arial"/>
          <w:sz w:val="14"/>
          <w:szCs w:val="14"/>
          <w:b w:val="1"/>
          <w:bCs w:val="1"/>
          <w:color w:val="AFAFAF"/>
        </w:rPr>
      </w:pPr>
    </w:p>
    <w:p>
      <w:pPr>
        <w:ind w:left="340" w:right="200" w:hanging="332"/>
        <w:spacing w:after="0" w:line="263" w:lineRule="auto"/>
        <w:tabs>
          <w:tab w:leader="none" w:pos="340" w:val="left"/>
        </w:tabs>
        <w:numPr>
          <w:ilvl w:val="0"/>
          <w:numId w:val="28"/>
        </w:numPr>
        <w:rPr>
          <w:rFonts w:ascii="Arial" w:cs="Arial" w:eastAsia="Arial" w:hAnsi="Arial"/>
          <w:sz w:val="14"/>
          <w:szCs w:val="14"/>
          <w:b w:val="1"/>
          <w:bCs w:val="1"/>
          <w:color w:val="AFAFAF"/>
        </w:rPr>
      </w:pPr>
      <w:r>
        <w:rPr>
          <w:rFonts w:ascii="Arial" w:cs="Arial" w:eastAsia="Arial" w:hAnsi="Arial"/>
          <w:sz w:val="14"/>
          <w:szCs w:val="14"/>
          <w:b w:val="1"/>
          <w:bCs w:val="1"/>
          <w:color w:val="AFAFAF"/>
        </w:rPr>
        <w:t>Based solely on the Schedule 13G/A filed with the SEC on January 18, 2022. Baillie Gifford &amp; Co. has sole voting power over 1,930,764 shares of our Class A common stock and sole dispostive power over 2,065,788 shares of our Class A common stock. The address of Baillie Gifford &amp; Co. is Carlton Square, 1 Greenside Row, Edinburgh EH1 3AN, Scotland,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606425</wp:posOffset>
            </wp:positionV>
            <wp:extent cx="71062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40</w:t>
            </w:r>
          </w:p>
        </w:tc>
      </w:tr>
    </w:tbl>
    <w:p>
      <w:pPr>
        <w:sectPr>
          <w:pgSz w:w="11900" w:h="16838" w:orient="portrait"/>
          <w:cols w:equalWidth="0" w:num="1">
            <w:col w:w="11220"/>
          </w:cols>
          <w:pgMar w:left="320" w:top="1424" w:right="359" w:bottom="1440" w:gutter="0" w:footer="0" w:header="0"/>
        </w:sectPr>
      </w:pPr>
    </w:p>
    <w:bookmarkStart w:id="45" w:name="page46"/>
    <w:bookmarkEnd w:id="45"/>
    <w:p>
      <w:pPr>
        <w:ind w:left="332" w:hanging="332"/>
        <w:spacing w:after="0" w:line="248" w:lineRule="auto"/>
        <w:tabs>
          <w:tab w:leader="none" w:pos="332" w:val="left"/>
        </w:tabs>
        <w:numPr>
          <w:ilvl w:val="0"/>
          <w:numId w:val="29"/>
        </w:numPr>
        <w:rPr>
          <w:rFonts w:ascii="Arial" w:cs="Arial" w:eastAsia="Arial" w:hAnsi="Arial"/>
          <w:sz w:val="14"/>
          <w:szCs w:val="14"/>
          <w:b w:val="1"/>
          <w:bCs w:val="1"/>
          <w:color w:val="AFAFAF"/>
        </w:rPr>
      </w:pPr>
      <w:r>
        <w:rPr>
          <w:rFonts w:ascii="Arial" w:cs="Arial" w:eastAsia="Arial" w:hAnsi="Arial"/>
          <w:sz w:val="14"/>
          <w:szCs w:val="14"/>
          <w:b w:val="1"/>
          <w:bCs w:val="1"/>
          <w:color w:val="AFAFAF"/>
        </w:rPr>
        <w:t>Based solely on information provided by the transfer agent and information known to us, consists of (i) 1,778,326 shares of our Class B common stock held directly by Union Square Ventures 2012 Fund, L.P. (USV 2012 Fund), and (ii) 68,797 shares of our Class B common stock held directly by USV Investors 2012 Fund, L.P. (USV Investors 2012 Fund). Union Square 2012 GP, L.L.C. (Union Square 2012) is the general partner of USV 2012 Fund and USV Investors 2012 Fund, and has sole voting and investment power with regard to the shares held by USV 2012 Fund and USV Investors 2012 Fund. We refer to Union Square 2012 and affiliated entities as Union Square Ventures. Fred Wilson, Brad Burnham, Albert Wenger, John Buttrick, and Andy Weissman are partners at Union Square Ventures and, therefore, may be deemed to have shared voting and investment power with regard to the shares held directly by Union Square Ventures. The address for each of these entities is 920 Broadway, 2nd Floor New York, NY 10010.</w:t>
      </w:r>
    </w:p>
    <w:p>
      <w:pPr>
        <w:spacing w:after="0" w:line="131" w:lineRule="exact"/>
        <w:rPr>
          <w:rFonts w:ascii="Arial" w:cs="Arial" w:eastAsia="Arial" w:hAnsi="Arial"/>
          <w:sz w:val="14"/>
          <w:szCs w:val="14"/>
          <w:b w:val="1"/>
          <w:bCs w:val="1"/>
          <w:color w:val="AFAFAF"/>
        </w:rPr>
      </w:pPr>
    </w:p>
    <w:p>
      <w:pPr>
        <w:ind w:left="332" w:right="240" w:hanging="332"/>
        <w:spacing w:after="0" w:line="256" w:lineRule="auto"/>
        <w:tabs>
          <w:tab w:leader="none" w:pos="332" w:val="left"/>
        </w:tabs>
        <w:numPr>
          <w:ilvl w:val="0"/>
          <w:numId w:val="29"/>
        </w:numPr>
        <w:rPr>
          <w:rFonts w:ascii="Arial" w:cs="Arial" w:eastAsia="Arial" w:hAnsi="Arial"/>
          <w:sz w:val="14"/>
          <w:szCs w:val="14"/>
          <w:b w:val="1"/>
          <w:bCs w:val="1"/>
          <w:color w:val="AFAFAF"/>
        </w:rPr>
      </w:pPr>
      <w:r>
        <w:rPr>
          <w:rFonts w:ascii="Arial" w:cs="Arial" w:eastAsia="Arial" w:hAnsi="Arial"/>
          <w:sz w:val="14"/>
          <w:szCs w:val="14"/>
          <w:b w:val="1"/>
          <w:bCs w:val="1"/>
          <w:color w:val="AFAFAF"/>
        </w:rPr>
        <w:t>Based solely on the Schedule 13G/A filed with the SEC on January 6, 2022, Durable Capital Partners LP has sole voting and sole dispositive power over 1,712,367 shares of our Class A common stock. Durable Capital Partners GP LLC (“Durable GP”) is the general partner of Durable Capital Partners LP, and Henry Ellenbogen is the chief investment officer of the Durable Capital Partners LP and the managing member of Durable GP . The address of the foregoing named beneficial owners is 5425 Wisconsin Avenue, Suite 802, Chevy Chase, Maryland 20815.</w:t>
      </w:r>
    </w:p>
    <w:p>
      <w:pPr>
        <w:spacing w:after="0" w:line="123" w:lineRule="exact"/>
        <w:rPr>
          <w:rFonts w:ascii="Arial" w:cs="Arial" w:eastAsia="Arial" w:hAnsi="Arial"/>
          <w:sz w:val="14"/>
          <w:szCs w:val="14"/>
          <w:b w:val="1"/>
          <w:bCs w:val="1"/>
          <w:color w:val="AFAFAF"/>
        </w:rPr>
      </w:pPr>
    </w:p>
    <w:p>
      <w:pPr>
        <w:ind w:left="332" w:hanging="332"/>
        <w:spacing w:after="0" w:line="244" w:lineRule="auto"/>
        <w:tabs>
          <w:tab w:leader="none" w:pos="332" w:val="left"/>
        </w:tabs>
        <w:numPr>
          <w:ilvl w:val="0"/>
          <w:numId w:val="29"/>
        </w:numPr>
        <w:rPr>
          <w:rFonts w:ascii="Arial" w:cs="Arial" w:eastAsia="Arial" w:hAnsi="Arial"/>
          <w:sz w:val="14"/>
          <w:szCs w:val="14"/>
          <w:b w:val="1"/>
          <w:bCs w:val="1"/>
          <w:color w:val="AFAFAF"/>
        </w:rPr>
      </w:pPr>
      <w:r>
        <w:rPr>
          <w:rFonts w:ascii="Arial" w:cs="Arial" w:eastAsia="Arial" w:hAnsi="Arial"/>
          <w:sz w:val="14"/>
          <w:szCs w:val="14"/>
          <w:b w:val="1"/>
          <w:bCs w:val="1"/>
          <w:color w:val="AFAFAF"/>
        </w:rPr>
        <w:t>Based solely on the Schedule 13G filed with the SEC on February 14, 2022, each of CapitalG 2014 LP and CapitalG 2014 GP LLC has sole voting power and sole dispositive power over 78,755 shares of our Class A common stock and 945,920 shares of our Class B common stock, CapitalG 2015 LLC has sole voting power and sole dispositive power over 65,689 shares of our Class A common stock and 854,690 shares of our Class B common stock, each of CapitalG II LP and CapitalG II GP LLC has sole voting power and sole dispositive power over 758,146 shares of our Class B common stock and each of Alphabet Holdings LLC and Alphabet Inc. has sole voting power over 144,444 shares of our Class A common stock and 2,493,067 shares of our Class B common stock. CapitalG 2014 GP LLC, the general partner of CapitalG 2014 LP, Alphabet Holdings LLC, the managing member of CapitalG 2014 GP LLC, XXVI Holdings Inc., the managing member of Alphabet Holdings LLC, and Alphabet Inc., the controlling stockholder of XXVI Holdings Inc., may each be deemed to have sole voting and dispositive power with respect to the shares held directly by CapitalG 2014 LP. CapitalG 2015 GP LLC, the general partner of CapitalG 2015 LP, Alphabet Holdings LLC, the managing member of CapitalG 2015 GP LLC, XXVI Holdings Inc., the managing member of Alphabet Holdings LLC, and Alphabet Inc., the controlling stockholder of XXVI Holdings Inc., may each be deemed to have sole voting and dispositive power with respect to the shares held directly by CapitalG 2015 LP. CapitalG II GP LLC, the general partner of CapitalG II LP, Alphabet Holdings LLC, the managing member of CapitalG II GP LLC, XXVI Holdings Inc., the managing member of Alphabet Holdings LLC, and Alphabet Inc., the controlling stockholder of XXVI Holdings Inc., may each be deemed to have sole voting and dispositive power with respect to the shares held directly by CapitalG II LP. The principal business address for each of the foregoing named beneficial owners is 1600 Amphitheatre Parkway, Mountain View, California, 94043.</w:t>
      </w:r>
    </w:p>
    <w:p>
      <w:pPr>
        <w:spacing w:after="0" w:line="138" w:lineRule="exact"/>
        <w:rPr>
          <w:rFonts w:ascii="Arial" w:cs="Arial" w:eastAsia="Arial" w:hAnsi="Arial"/>
          <w:sz w:val="14"/>
          <w:szCs w:val="14"/>
          <w:b w:val="1"/>
          <w:bCs w:val="1"/>
          <w:color w:val="AFAFAF"/>
        </w:rPr>
      </w:pPr>
    </w:p>
    <w:p>
      <w:pPr>
        <w:ind w:left="332" w:right="20" w:hanging="332"/>
        <w:spacing w:after="0" w:line="244" w:lineRule="auto"/>
        <w:tabs>
          <w:tab w:leader="none" w:pos="332" w:val="left"/>
        </w:tabs>
        <w:numPr>
          <w:ilvl w:val="0"/>
          <w:numId w:val="29"/>
        </w:numPr>
        <w:rPr>
          <w:rFonts w:ascii="Arial" w:cs="Arial" w:eastAsia="Arial" w:hAnsi="Arial"/>
          <w:sz w:val="14"/>
          <w:szCs w:val="14"/>
          <w:b w:val="1"/>
          <w:bCs w:val="1"/>
          <w:color w:val="AFAFAF"/>
        </w:rPr>
      </w:pPr>
      <w:r>
        <w:rPr>
          <w:rFonts w:ascii="Arial" w:cs="Arial" w:eastAsia="Arial" w:hAnsi="Arial"/>
          <w:sz w:val="14"/>
          <w:szCs w:val="14"/>
          <w:b w:val="1"/>
          <w:bCs w:val="1"/>
          <w:color w:val="AFAFAF"/>
        </w:rPr>
        <w:t>Based solely on the Schedule 13G filed on February 11, 2022, each of General Atlantic, L.P. (“GA LP”), General Atlantic (SPV) GP, LLC (“GA SPV”), General Atlantic Partners 100, L.P., General Atlantic (DU), L.P. (“GAP 100”), General Atlantic (DU), L.P. (“GA DU”), General Atlantic Partners (Bermuda) EU, L.P. (“GAP Bermuda EU”), General Atlantic Partners (Lux) SCSp (“GAP Lux”), General Atlantic GenPar, L.P. (“GA GenPar”), General Atlantic GenPar, L.P. (“GA GenPar”), General Atlantic GenPar, L.P. (“GA GenPar”), GAP Coinvestments V, LLC (“GAPCO V”), GAP Coinvestments CDA, L.P. (“GAPCO CDA”), General Atlantic GenPar (Lux) SCSp (“GA GenPar Lux”), General Atlantic (Lux) S.à r.l. (“GA Lux”), General Atlantic (Lux) S.à r.l. (“GA Lux”), GAP (Bermuda) L.P. (“GAP (Bermuda)”) has shared voting power and shared dispositive power over 1,849,286 shares of our Class B common stock held of record by GAP DU. GAP 100, GAP Bermuda EU, GAP Lux are collectively referred to as the “GA Funds.” GAPCO III, GAPCO IV, GAPCO V and GAPCO CDA are collectively referred to as the “Sponsor Coinvestment Funds.” The GA Funds and the Sponsor Coinvestment Funds share beneficial ownership of the shares held of record by GA DU. The general partner of GA DU is GA SPV. The general partner of GAP Lux is GA GenPar Lux, and the general partner of GA GenPar Lux is GA Lux. GA LP, which is controlled by the Management Committee of GASC MGP, LLC (the “GA Management Committee”), is the managing member of GAPCO III, GAPCO IV, and GAPCO V, the general partner of GAPCO CDA, and is the sole member of GA SPV. The general partner of GAP Bermuda EU and the sole shareholder of GA Lux is GenPar Bermuda. GAP (Bermuda), which is also controlled by the GA Management Committee, is the general partner of GenPar Bermuda. The general partner of GAP 100 is GA GenPar, and the general partner of GA GenPar is GA LP. The GA Funds and the Sponsor Coinvestment Funds share beneficial ownership of the Class A common shares held of record by GA DU. The address of GAP Bermuda EU, GenPar Bermuda, and GAP (Bermuda) is Clarendon House, 2 Church Street, Hamilton HM 11, Bermuda. The address of GAP Lux, GA GenPar Lux and GA Lux is Luxembourg is 412F, Route d’Esch, L-2086 Luxembourg. The address of GAP 100, GA SPV, GA DU, GA GenPar, and GA LP and each of the Sponsor Coinvestment Funds is c/o General Atlantic Service Company, L.P., 55 East 52nd Street, 33rd Floor, New York, NY 10055.</w:t>
      </w:r>
    </w:p>
    <w:p>
      <w:pPr>
        <w:spacing w:after="0" w:line="133" w:lineRule="exact"/>
        <w:rPr>
          <w:rFonts w:ascii="Arial" w:cs="Arial" w:eastAsia="Arial" w:hAnsi="Arial"/>
          <w:sz w:val="14"/>
          <w:szCs w:val="14"/>
          <w:b w:val="1"/>
          <w:bCs w:val="1"/>
          <w:color w:val="AFAFAF"/>
        </w:rPr>
      </w:pPr>
    </w:p>
    <w:p>
      <w:pPr>
        <w:ind w:left="332" w:right="200" w:hanging="332"/>
        <w:spacing w:after="0" w:line="285" w:lineRule="auto"/>
        <w:tabs>
          <w:tab w:leader="none" w:pos="332" w:val="left"/>
        </w:tabs>
        <w:numPr>
          <w:ilvl w:val="0"/>
          <w:numId w:val="29"/>
        </w:numPr>
        <w:rPr>
          <w:rFonts w:ascii="Arial" w:cs="Arial" w:eastAsia="Arial" w:hAnsi="Arial"/>
          <w:sz w:val="14"/>
          <w:szCs w:val="14"/>
          <w:b w:val="1"/>
          <w:bCs w:val="1"/>
          <w:color w:val="AFAFAF"/>
        </w:rPr>
      </w:pPr>
      <w:r>
        <w:rPr>
          <w:rFonts w:ascii="Arial" w:cs="Arial" w:eastAsia="Arial" w:hAnsi="Arial"/>
          <w:sz w:val="14"/>
          <w:szCs w:val="14"/>
          <w:b w:val="1"/>
          <w:bCs w:val="1"/>
          <w:color w:val="AFAFAF"/>
        </w:rPr>
        <w:t>Consists of (i) 3,442,055 shares of our Class B common stock held directly by Dr. von Ahn, and (ii) 516,979 shares of our Class B common stock that may be acquired pursuant to the exercise of stock options within 60 days of April 12, 2022.</w:t>
      </w:r>
    </w:p>
    <w:p>
      <w:pPr>
        <w:spacing w:after="0" w:line="103" w:lineRule="exact"/>
        <w:rPr>
          <w:rFonts w:ascii="Arial" w:cs="Arial" w:eastAsia="Arial" w:hAnsi="Arial"/>
          <w:sz w:val="14"/>
          <w:szCs w:val="14"/>
          <w:b w:val="1"/>
          <w:bCs w:val="1"/>
          <w:color w:val="AFAFAF"/>
        </w:rPr>
      </w:pPr>
    </w:p>
    <w:p>
      <w:pPr>
        <w:ind w:left="332" w:right="220" w:hanging="332"/>
        <w:spacing w:after="0" w:line="263" w:lineRule="auto"/>
        <w:tabs>
          <w:tab w:leader="none" w:pos="331" w:val="left"/>
        </w:tabs>
        <w:numPr>
          <w:ilvl w:val="0"/>
          <w:numId w:val="29"/>
        </w:numPr>
        <w:rPr>
          <w:rFonts w:ascii="Arial" w:cs="Arial" w:eastAsia="Arial" w:hAnsi="Arial"/>
          <w:sz w:val="14"/>
          <w:szCs w:val="14"/>
          <w:b w:val="1"/>
          <w:bCs w:val="1"/>
          <w:color w:val="AFAFAF"/>
        </w:rPr>
      </w:pPr>
      <w:r>
        <w:rPr>
          <w:rFonts w:ascii="Arial" w:cs="Arial" w:eastAsia="Arial" w:hAnsi="Arial"/>
          <w:sz w:val="14"/>
          <w:szCs w:val="14"/>
          <w:b w:val="1"/>
          <w:bCs w:val="1"/>
          <w:color w:val="AFAFAF"/>
        </w:rPr>
        <w:t>Consists of (i) 3,371,417 shares of our Class B common stock held directly by a family trust of which Dr. Hacker is a trustee, (ii) 15,500 shares of our Class B common stock held directly by Dr. Hacker, and (iii) 501,479 shares of our Class B common stock that may be acquired pursuant to the exercise of stock options within 60 days of April 12, 2022.</w:t>
      </w:r>
    </w:p>
    <w:p>
      <w:pPr>
        <w:spacing w:after="0" w:line="118" w:lineRule="exact"/>
        <w:rPr>
          <w:rFonts w:ascii="Arial" w:cs="Arial" w:eastAsia="Arial" w:hAnsi="Arial"/>
          <w:sz w:val="14"/>
          <w:szCs w:val="14"/>
          <w:b w:val="1"/>
          <w:bCs w:val="1"/>
          <w:color w:val="AFAFAF"/>
        </w:rPr>
      </w:pPr>
    </w:p>
    <w:p>
      <w:pPr>
        <w:ind w:left="332" w:right="120" w:hanging="332"/>
        <w:spacing w:after="0" w:line="285" w:lineRule="auto"/>
        <w:tabs>
          <w:tab w:leader="none" w:pos="331" w:val="left"/>
        </w:tabs>
        <w:numPr>
          <w:ilvl w:val="0"/>
          <w:numId w:val="29"/>
        </w:numPr>
        <w:rPr>
          <w:rFonts w:ascii="Arial" w:cs="Arial" w:eastAsia="Arial" w:hAnsi="Arial"/>
          <w:sz w:val="14"/>
          <w:szCs w:val="14"/>
          <w:b w:val="1"/>
          <w:bCs w:val="1"/>
          <w:color w:val="AFAFAF"/>
        </w:rPr>
      </w:pPr>
      <w:r>
        <w:rPr>
          <w:rFonts w:ascii="Arial" w:cs="Arial" w:eastAsia="Arial" w:hAnsi="Arial"/>
          <w:sz w:val="14"/>
          <w:szCs w:val="14"/>
          <w:b w:val="1"/>
          <w:bCs w:val="1"/>
          <w:color w:val="AFAFAF"/>
        </w:rPr>
        <w:t>Consists of (i) 156,732 shares of our Class A common stock that may be acquired by Mr. Skaruppa pursuant to the exercise of stock options within 60 days of April 12, 2022, and (ii) 1,563 shares of Class A common stock issuable upon the vesting of RSUs held by Mr. Skaruppa within 60 days of April 12, 2022.</w:t>
      </w:r>
    </w:p>
    <w:p>
      <w:pPr>
        <w:spacing w:after="0" w:line="103" w:lineRule="exact"/>
        <w:rPr>
          <w:rFonts w:ascii="Arial" w:cs="Arial" w:eastAsia="Arial" w:hAnsi="Arial"/>
          <w:sz w:val="14"/>
          <w:szCs w:val="14"/>
          <w:b w:val="1"/>
          <w:bCs w:val="1"/>
          <w:color w:val="AFAFAF"/>
        </w:rPr>
      </w:pPr>
    </w:p>
    <w:p>
      <w:pPr>
        <w:ind w:left="332" w:right="40" w:hanging="332"/>
        <w:spacing w:after="0" w:line="285" w:lineRule="auto"/>
        <w:tabs>
          <w:tab w:leader="none" w:pos="331" w:val="left"/>
        </w:tabs>
        <w:numPr>
          <w:ilvl w:val="0"/>
          <w:numId w:val="29"/>
        </w:numPr>
        <w:rPr>
          <w:rFonts w:ascii="Arial" w:cs="Arial" w:eastAsia="Arial" w:hAnsi="Arial"/>
          <w:sz w:val="14"/>
          <w:szCs w:val="14"/>
          <w:b w:val="1"/>
          <w:bCs w:val="1"/>
          <w:color w:val="AFAFAF"/>
        </w:rPr>
      </w:pPr>
      <w:r>
        <w:rPr>
          <w:rFonts w:ascii="Arial" w:cs="Arial" w:eastAsia="Arial" w:hAnsi="Arial"/>
          <w:sz w:val="14"/>
          <w:szCs w:val="14"/>
          <w:b w:val="1"/>
          <w:bCs w:val="1"/>
          <w:color w:val="AFAFAF"/>
        </w:rPr>
        <w:t>Consists of (i) 20,000 shares of our Class A common stock that may be acquired by Ms. Bohutinsky pursuant to the exercise of stock options within 60 days of April 12, 2022, and (ii) 1,573 shares of Class A common stock issuable upon the vesting of RSUs held by Ms. Bohutinksy within 60 days of April 12, 2022.</w:t>
      </w:r>
    </w:p>
    <w:p>
      <w:pPr>
        <w:spacing w:after="0" w:line="103" w:lineRule="exact"/>
        <w:rPr>
          <w:rFonts w:ascii="Arial" w:cs="Arial" w:eastAsia="Arial" w:hAnsi="Arial"/>
          <w:sz w:val="14"/>
          <w:szCs w:val="14"/>
          <w:b w:val="1"/>
          <w:bCs w:val="1"/>
          <w:color w:val="AFAFAF"/>
        </w:rPr>
      </w:pPr>
    </w:p>
    <w:p>
      <w:pPr>
        <w:ind w:left="332" w:right="80" w:hanging="332"/>
        <w:spacing w:after="0" w:line="263" w:lineRule="auto"/>
        <w:tabs>
          <w:tab w:leader="none" w:pos="331" w:val="left"/>
        </w:tabs>
        <w:numPr>
          <w:ilvl w:val="0"/>
          <w:numId w:val="29"/>
        </w:numPr>
        <w:rPr>
          <w:rFonts w:ascii="Arial" w:cs="Arial" w:eastAsia="Arial" w:hAnsi="Arial"/>
          <w:sz w:val="14"/>
          <w:szCs w:val="14"/>
          <w:b w:val="1"/>
          <w:bCs w:val="1"/>
          <w:color w:val="AFAFAF"/>
        </w:rPr>
      </w:pPr>
      <w:r>
        <w:rPr>
          <w:rFonts w:ascii="Arial" w:cs="Arial" w:eastAsia="Arial" w:hAnsi="Arial"/>
          <w:sz w:val="14"/>
          <w:szCs w:val="14"/>
          <w:b w:val="1"/>
          <w:bCs w:val="1"/>
          <w:color w:val="AFAFAF"/>
        </w:rPr>
        <w:t>Consists of (i) 10,000 shares of our Class A common stock held directly by Ms. Clemens, (ii) 10,000 shares of our Class A common stock that may be acquired by Ms. Clemens pursuant to the exercise of stock options within 60 days of April 12, 2022, and (ii) 1,573 shares of Class A common stock issuable upon the vesting of RSUs held by Ms. Clemens within 60 days of April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701040</wp:posOffset>
            </wp:positionV>
            <wp:extent cx="71062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32"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41</w:t>
            </w:r>
          </w:p>
        </w:tc>
      </w:tr>
    </w:tbl>
    <w:p>
      <w:pPr>
        <w:sectPr>
          <w:pgSz w:w="11900" w:h="16838" w:orient="portrait"/>
          <w:cols w:equalWidth="0" w:num="1">
            <w:col w:w="11212"/>
          </w:cols>
          <w:pgMar w:left="328" w:top="1328" w:right="359" w:bottom="1440" w:gutter="0" w:footer="0" w:header="0"/>
        </w:sectPr>
      </w:pPr>
    </w:p>
    <w:bookmarkStart w:id="46" w:name="page47"/>
    <w:bookmarkEnd w:id="46"/>
    <w:p>
      <w:pPr>
        <w:ind w:left="340" w:right="320" w:hanging="332"/>
        <w:spacing w:after="0" w:line="285" w:lineRule="auto"/>
        <w:tabs>
          <w:tab w:leader="none" w:pos="339" w:val="left"/>
        </w:tabs>
        <w:numPr>
          <w:ilvl w:val="0"/>
          <w:numId w:val="30"/>
        </w:numPr>
        <w:rPr>
          <w:rFonts w:ascii="Arial" w:cs="Arial" w:eastAsia="Arial" w:hAnsi="Arial"/>
          <w:sz w:val="14"/>
          <w:szCs w:val="14"/>
          <w:b w:val="1"/>
          <w:bCs w:val="1"/>
          <w:color w:val="AFAFAF"/>
        </w:rPr>
      </w:pPr>
      <w:r>
        <w:rPr>
          <w:rFonts w:ascii="Arial" w:cs="Arial" w:eastAsia="Arial" w:hAnsi="Arial"/>
          <w:sz w:val="14"/>
          <w:szCs w:val="14"/>
          <w:b w:val="1"/>
          <w:bCs w:val="1"/>
          <w:color w:val="AFAFAF"/>
        </w:rPr>
        <w:t>Consists of (i) 25,000 shares of our Class A common stock that may be acquired by Mr. Gordon pursuant to the exercise of stock options within 60 days of April 12, 2022, and (ii) 1,573 shares of Class A common stock issuable upon the vesting of RSUs held by Mr. Gordon within 60 days of April 12, 2022.</w:t>
      </w:r>
    </w:p>
    <w:p>
      <w:pPr>
        <w:spacing w:after="0" w:line="103" w:lineRule="exact"/>
        <w:rPr>
          <w:rFonts w:ascii="Arial" w:cs="Arial" w:eastAsia="Arial" w:hAnsi="Arial"/>
          <w:sz w:val="14"/>
          <w:szCs w:val="14"/>
          <w:b w:val="1"/>
          <w:bCs w:val="1"/>
          <w:color w:val="AFAFAF"/>
        </w:rPr>
      </w:pPr>
    </w:p>
    <w:p>
      <w:pPr>
        <w:ind w:left="340" w:right="260" w:hanging="332"/>
        <w:spacing w:after="0" w:line="285" w:lineRule="auto"/>
        <w:tabs>
          <w:tab w:leader="none" w:pos="339" w:val="left"/>
        </w:tabs>
        <w:numPr>
          <w:ilvl w:val="0"/>
          <w:numId w:val="30"/>
        </w:numPr>
        <w:rPr>
          <w:rFonts w:ascii="Arial" w:cs="Arial" w:eastAsia="Arial" w:hAnsi="Arial"/>
          <w:sz w:val="14"/>
          <w:szCs w:val="14"/>
          <w:b w:val="1"/>
          <w:bCs w:val="1"/>
          <w:color w:val="AFAFAF"/>
        </w:rPr>
      </w:pPr>
      <w:r>
        <w:rPr>
          <w:rFonts w:ascii="Arial" w:cs="Arial" w:eastAsia="Arial" w:hAnsi="Arial"/>
          <w:sz w:val="14"/>
          <w:szCs w:val="14"/>
          <w:b w:val="1"/>
          <w:bCs w:val="1"/>
          <w:color w:val="AFAFAF"/>
        </w:rPr>
        <w:t>Consists of (i) 25,000 shares of our Class A common stock that may be acquired by Ms. Munson pursuant to the exercise of stock options within 60 days of April 12, 2022, (ii) 1,573 shares of Class A common stock issuable upon the vesting of RSUs held by Ms. Munson within 60 days of April 12, 2022.</w:t>
      </w:r>
    </w:p>
    <w:p>
      <w:pPr>
        <w:spacing w:after="0" w:line="103" w:lineRule="exact"/>
        <w:rPr>
          <w:rFonts w:ascii="Arial" w:cs="Arial" w:eastAsia="Arial" w:hAnsi="Arial"/>
          <w:sz w:val="14"/>
          <w:szCs w:val="14"/>
          <w:b w:val="1"/>
          <w:bCs w:val="1"/>
          <w:color w:val="AFAFAF"/>
        </w:rPr>
      </w:pPr>
    </w:p>
    <w:p>
      <w:pPr>
        <w:ind w:left="340" w:right="320" w:hanging="332"/>
        <w:spacing w:after="0" w:line="285" w:lineRule="auto"/>
        <w:tabs>
          <w:tab w:leader="none" w:pos="339" w:val="left"/>
        </w:tabs>
        <w:numPr>
          <w:ilvl w:val="0"/>
          <w:numId w:val="30"/>
        </w:numPr>
        <w:rPr>
          <w:rFonts w:ascii="Arial" w:cs="Arial" w:eastAsia="Arial" w:hAnsi="Arial"/>
          <w:sz w:val="14"/>
          <w:szCs w:val="14"/>
          <w:b w:val="1"/>
          <w:bCs w:val="1"/>
          <w:color w:val="AFAFAF"/>
        </w:rPr>
      </w:pPr>
      <w:r>
        <w:rPr>
          <w:rFonts w:ascii="Arial" w:cs="Arial" w:eastAsia="Arial" w:hAnsi="Arial"/>
          <w:sz w:val="14"/>
          <w:szCs w:val="14"/>
          <w:b w:val="1"/>
          <w:bCs w:val="1"/>
          <w:color w:val="AFAFAF"/>
        </w:rPr>
        <w:t>Consists of (i) 10,000 shares of our Class A common stock that may be acquired by Mr. Shelton pursuant to the exercise of stock options within 60 days of April 12, 2022, (ii) 1,573 shares of Class A common stock issuable upon the vesting of RSUs held by Mr. Shelton within 60 days of April 12, 2022.</w:t>
      </w:r>
    </w:p>
    <w:p>
      <w:pPr>
        <w:spacing w:after="0" w:line="103" w:lineRule="exact"/>
        <w:rPr>
          <w:rFonts w:ascii="Arial" w:cs="Arial" w:eastAsia="Arial" w:hAnsi="Arial"/>
          <w:sz w:val="14"/>
          <w:szCs w:val="14"/>
          <w:b w:val="1"/>
          <w:bCs w:val="1"/>
          <w:color w:val="AFAFAF"/>
        </w:rPr>
      </w:pPr>
    </w:p>
    <w:p>
      <w:pPr>
        <w:ind w:left="340" w:right="360" w:hanging="332"/>
        <w:spacing w:after="0" w:line="285" w:lineRule="auto"/>
        <w:tabs>
          <w:tab w:leader="none" w:pos="339" w:val="left"/>
        </w:tabs>
        <w:numPr>
          <w:ilvl w:val="0"/>
          <w:numId w:val="30"/>
        </w:numPr>
        <w:rPr>
          <w:rFonts w:ascii="Arial" w:cs="Arial" w:eastAsia="Arial" w:hAnsi="Arial"/>
          <w:sz w:val="14"/>
          <w:szCs w:val="14"/>
          <w:b w:val="1"/>
          <w:bCs w:val="1"/>
          <w:color w:val="AFAFAF"/>
        </w:rPr>
      </w:pPr>
      <w:r>
        <w:rPr>
          <w:rFonts w:ascii="Arial" w:cs="Arial" w:eastAsia="Arial" w:hAnsi="Arial"/>
          <w:sz w:val="14"/>
          <w:szCs w:val="14"/>
          <w:b w:val="1"/>
          <w:bCs w:val="1"/>
          <w:color w:val="AFAFAF"/>
        </w:rPr>
        <w:t>Consists of (i) 20,000 shares of our Class A common stock that may be acquired by Ms. Sturdy pursuant to the exercise of stock options within 60 days of April 12, 2022, (ii) 1,573 shares of Class A common stock issuable upon the vesting of RSUs held by Mr. Shelton within 60 days of April 12, 2022.</w:t>
      </w:r>
    </w:p>
    <w:p>
      <w:pPr>
        <w:spacing w:after="0" w:line="103" w:lineRule="exact"/>
        <w:rPr>
          <w:rFonts w:ascii="Arial" w:cs="Arial" w:eastAsia="Arial" w:hAnsi="Arial"/>
          <w:sz w:val="14"/>
          <w:szCs w:val="14"/>
          <w:b w:val="1"/>
          <w:bCs w:val="1"/>
          <w:color w:val="AFAFAF"/>
        </w:rPr>
      </w:pPr>
    </w:p>
    <w:p>
      <w:pPr>
        <w:ind w:left="340" w:right="80" w:hanging="332"/>
        <w:spacing w:after="0" w:line="256" w:lineRule="auto"/>
        <w:tabs>
          <w:tab w:leader="none" w:pos="339" w:val="left"/>
        </w:tabs>
        <w:numPr>
          <w:ilvl w:val="0"/>
          <w:numId w:val="30"/>
        </w:numPr>
        <w:rPr>
          <w:rFonts w:ascii="Arial" w:cs="Arial" w:eastAsia="Arial" w:hAnsi="Arial"/>
          <w:sz w:val="14"/>
          <w:szCs w:val="14"/>
          <w:b w:val="1"/>
          <w:bCs w:val="1"/>
          <w:color w:val="AFAFAF"/>
        </w:rPr>
      </w:pPr>
      <w:r>
        <w:rPr>
          <w:rFonts w:ascii="Arial" w:cs="Arial" w:eastAsia="Arial" w:hAnsi="Arial"/>
          <w:sz w:val="14"/>
          <w:szCs w:val="14"/>
          <w:b w:val="1"/>
          <w:bCs w:val="1"/>
          <w:color w:val="AFAFAF"/>
        </w:rPr>
        <w:t>Consists of: (i) 6,828,972 shares of Class B common stock held; (ii) 267,525 shares of Class A common stock held; (iii) 1,018,458 shares of Class B common stock subject to stock options pursuant to the exercise of stock options within 60 days of April 12, 2022; (iv) 523,221 shares of Class A common stock subject to stock options pursuant to the exercise of stock options within 60 days of April 12, 2022; and (v) 13,496 shares of Class A common stock issuable upon the vesting and settlement of RSUs.</w:t>
      </w:r>
    </w:p>
    <w:p>
      <w:pPr>
        <w:spacing w:after="0" w:line="126"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Delinquent Section 16(a) Reports</w:t>
      </w:r>
    </w:p>
    <w:p>
      <w:pPr>
        <w:spacing w:after="0" w:line="217" w:lineRule="exact"/>
        <w:rPr>
          <w:sz w:val="20"/>
          <w:szCs w:val="20"/>
          <w:color w:val="auto"/>
        </w:rPr>
      </w:pPr>
    </w:p>
    <w:p>
      <w:pPr>
        <w:spacing w:after="0" w:line="267" w:lineRule="auto"/>
        <w:rPr>
          <w:sz w:val="20"/>
          <w:szCs w:val="20"/>
          <w:color w:val="auto"/>
        </w:rPr>
      </w:pPr>
      <w:r>
        <w:rPr>
          <w:rFonts w:ascii="Arial" w:cs="Arial" w:eastAsia="Arial" w:hAnsi="Arial"/>
          <w:sz w:val="18"/>
          <w:szCs w:val="18"/>
          <w:color w:val="4B4B4B"/>
        </w:rPr>
        <w:t>Section 16(a) of the Exchange Act requires our executive officers and directors, our principal accounting officer and persons who beneficially own more than 10% of our common stock to file with the SEC reports of their ownership and changes in their ownership of our common stock. To our knowledge, based solely on review of the copies of such reports and amendments to such reports with respect to the year ended December 31, 2021 filed with the SEC and on written representations by our directors and executive officers, all required Section 16 reports under the Exchange Act for our directors, executive officers, principal accounting officer and beneficial owners of greater than 10% of our common stock were filed on a timely basis during the year ended December 31, 2021 or prior fiscal years other than one Form 4 for each of Messrs. Chen, Hacker, Glance, Meese and Skaruppa and for affiliates of Union Square Ventures reporting in each case, one transaction, which was inadvertently filed 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708025</wp:posOffset>
            </wp:positionV>
            <wp:extent cx="71062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42</w:t>
            </w:r>
          </w:p>
        </w:tc>
      </w:tr>
    </w:tbl>
    <w:p>
      <w:pPr>
        <w:sectPr>
          <w:pgSz w:w="11900" w:h="16838" w:orient="portrait"/>
          <w:cols w:equalWidth="0" w:num="1">
            <w:col w:w="11220"/>
          </w:cols>
          <w:pgMar w:left="320" w:top="1328" w:right="359" w:bottom="1440" w:gutter="0" w:footer="0" w:header="0"/>
        </w:sectPr>
      </w:pPr>
    </w:p>
    <w:bookmarkStart w:id="47" w:name="page48"/>
    <w:bookmarkEnd w:id="47"/>
    <w:p>
      <w:pPr>
        <w:spacing w:after="0"/>
        <w:rPr>
          <w:sz w:val="20"/>
          <w:szCs w:val="20"/>
          <w:color w:val="auto"/>
        </w:rPr>
      </w:pPr>
      <w:r>
        <w:rPr>
          <w:rFonts w:ascii="Arial" w:cs="Arial" w:eastAsia="Arial" w:hAnsi="Arial"/>
          <w:sz w:val="36"/>
          <w:szCs w:val="36"/>
          <w:b w:val="1"/>
          <w:bCs w:val="1"/>
          <w:color w:val="4B4B4B"/>
        </w:rPr>
        <w:t>Certain Transactions with Related Persons</w:t>
      </w:r>
    </w:p>
    <w:p>
      <w:pPr>
        <w:spacing w:after="0" w:line="326"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Policies and Procedures on Transactions with Related Persons</w:t>
      </w:r>
    </w:p>
    <w:p>
      <w:pPr>
        <w:spacing w:after="0" w:line="217"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4B4B4B"/>
        </w:rPr>
        <w:t>Our Board of Directors recognizes that transactions with related persons present a heightened risk of conflicts of interests and/or improper valuation (or the perception thereof). Our Board has adopted a written policy on transactions with related persons, which requires that our Audit Committee approve or ratify “related person transactions” (as defined in the policy) that are required to be disclosed pursuant to Item 404(a) of Regulation S-K. Item 404(a) of Regulation S-K requires disclosure, subject to certain exceptions, of transactions in which we were or are to be a participant and the amount involved exceeds $120,000 and in which any “related person” as defined under Item 404(a) of Regulation S-K had or will have a direct or indirect material interest. It is our policy that a director not participate in the approval of a related person transaction as to which he or she is a “related person.” Each of the “related person transactions” described herein entered into following the adoption of our related person transaction policy was approved in accordance with such policy.</w:t>
      </w:r>
    </w:p>
    <w:p>
      <w:pPr>
        <w:spacing w:after="0" w:line="133"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Investors’ Rights Agreement</w:t>
      </w:r>
    </w:p>
    <w:p>
      <w:pPr>
        <w:spacing w:after="0" w:line="2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4B4B4B"/>
        </w:rPr>
        <w:t>We are party to an Amended and Restated Investors’ Rights Agreement, dated as of November 6, 2020 (the “Investors’ Rights Agreement”), with certain holders of our capital stock, including the certain holders of more than 5% of our capital stock, including entities affiliated with Union Square Ventures, Kleiner Perkins Caufield &amp; Byers, CapitalG, NewView Capital Fund I, L.P. (“NewView”), and General Atlantic. Th Investors’ Rights Agreement provides, among other things, that certain holders of our capital stock have the right to request that we file a registration statement, and/or request that their shares be covered by a registration statement that we are otherwise filing, subject to certain exceptions.</w:t>
      </w:r>
    </w:p>
    <w:p>
      <w:pPr>
        <w:spacing w:after="0" w:line="129"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Voting Agreement</w:t>
      </w:r>
    </w:p>
    <w:p>
      <w:pPr>
        <w:spacing w:after="0" w:line="217" w:lineRule="exact"/>
        <w:rPr>
          <w:sz w:val="20"/>
          <w:szCs w:val="20"/>
          <w:color w:val="auto"/>
        </w:rPr>
      </w:pPr>
    </w:p>
    <w:p>
      <w:pPr>
        <w:spacing w:after="0" w:line="268" w:lineRule="auto"/>
        <w:rPr>
          <w:sz w:val="20"/>
          <w:szCs w:val="20"/>
          <w:color w:val="auto"/>
        </w:rPr>
      </w:pPr>
      <w:r>
        <w:rPr>
          <w:rFonts w:ascii="Arial" w:cs="Arial" w:eastAsia="Arial" w:hAnsi="Arial"/>
          <w:sz w:val="18"/>
          <w:szCs w:val="18"/>
          <w:color w:val="4B4B4B"/>
        </w:rPr>
        <w:t>We were party to an Amended and Restated Voting Agreement, dated as of November 6, 2020 (Voting Agreement), under which certain holders of our capital stock, including Drs. von Ahn and Hacker, and entities affiliated with Union Square Ventures, Kleiner Perkins Caufield &amp; Byers, CapitalG, NewView and General Atlantic, have agreed to vote their shares on certain matters, including with respect to the election of directors. The Voting Agreement will terminate and none of our stockholders will have any special rights regarding the election or designation of members of our Board of Directors, the voting of our capital stock, or the restrictions on transfer pursuant to the agreement terminated in connection with our initial public offering.</w:t>
      </w:r>
    </w:p>
    <w:p>
      <w:pPr>
        <w:spacing w:after="0" w:line="129"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Right of First Refusal and Co-Sale Agreement</w:t>
      </w:r>
    </w:p>
    <w:p>
      <w:pPr>
        <w:spacing w:after="0" w:line="2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4B4B4B"/>
        </w:rPr>
        <w:t>We were party to an Amended and Restated Right of First Refusal and Co-Sale Agreement, dated as of November 6, 2020 (the “Right of First Refusal and Co-Sale Agreement”), with certain holders of our capital stock, including Drs. von Ahn and Hacker, and entities affiliated with Union Square Ventures, Kleiner Perkins Caufield &amp; Byers, CapitalG, NewView and General Atlantic. The Right of First Refusal Co-Sale Agreement provided for rights of first refusal and co-sale relating to the shares of our common stock held by certain parties to the agreement. The Right of First Refusal and Co-Sale Agreement terminated in connection with our initial public offering.</w:t>
      </w:r>
    </w:p>
    <w:p>
      <w:pPr>
        <w:spacing w:after="0" w:line="131"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Founder Exchange Agreement</w:t>
      </w:r>
    </w:p>
    <w:p>
      <w:pPr>
        <w:spacing w:after="0" w:line="217"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4B4B4B"/>
        </w:rPr>
        <w:t>In order to effect the common stock reclassification and exchange in connection with our initial public offering, we entered into an exchange agreement with our founders, Luis von Ahn and Severin Hacker, pursuant to which an aggregate of 6,930,334 shares of Class A common stock held by our Founders were exchanged into an equivalent number of shares of Class B common stock prior to the completion of our initial public offering. In addition, prior to the completion of our initial public offering, each stock option and award of RSUs held by Drs. von Ahn and Hacker was amended to provide that such option or award will be exercised into or settle in shares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695960</wp:posOffset>
            </wp:positionV>
            <wp:extent cx="71062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43</w:t>
            </w:r>
          </w:p>
        </w:tc>
      </w:tr>
    </w:tbl>
    <w:p>
      <w:pPr>
        <w:sectPr>
          <w:pgSz w:w="11900" w:h="16838" w:orient="portrait"/>
          <w:cols w:equalWidth="0" w:num="1">
            <w:col w:w="11220"/>
          </w:cols>
          <w:pgMar w:left="320" w:top="1307" w:right="359" w:bottom="1440" w:gutter="0" w:footer="0" w:header="0"/>
        </w:sectPr>
      </w:pPr>
    </w:p>
    <w:bookmarkStart w:id="48" w:name="page49"/>
    <w:bookmarkEnd w:id="48"/>
    <w:p>
      <w:pPr>
        <w:spacing w:after="0"/>
        <w:rPr>
          <w:sz w:val="20"/>
          <w:szCs w:val="20"/>
          <w:color w:val="auto"/>
        </w:rPr>
      </w:pPr>
      <w:r>
        <w:rPr>
          <w:rFonts w:ascii="Arial" w:cs="Arial" w:eastAsia="Arial" w:hAnsi="Arial"/>
          <w:sz w:val="23"/>
          <w:szCs w:val="23"/>
          <w:b w:val="1"/>
          <w:bCs w:val="1"/>
          <w:color w:val="4B4B4B"/>
        </w:rPr>
        <w:t>Indemnification Agreements</w:t>
      </w:r>
    </w:p>
    <w:p>
      <w:pPr>
        <w:spacing w:after="0" w:line="217" w:lineRule="exact"/>
        <w:rPr>
          <w:sz w:val="20"/>
          <w:szCs w:val="20"/>
          <w:color w:val="auto"/>
        </w:rPr>
      </w:pPr>
    </w:p>
    <w:p>
      <w:pPr>
        <w:spacing w:after="0" w:line="271" w:lineRule="auto"/>
        <w:rPr>
          <w:sz w:val="20"/>
          <w:szCs w:val="20"/>
          <w:color w:val="auto"/>
        </w:rPr>
      </w:pPr>
      <w:r>
        <w:rPr>
          <w:rFonts w:ascii="Arial" w:cs="Arial" w:eastAsia="Arial" w:hAnsi="Arial"/>
          <w:sz w:val="18"/>
          <w:szCs w:val="18"/>
          <w:color w:val="4B4B4B"/>
        </w:rPr>
        <w:t>We have entered into indemnification agreements with each of our current directors, and intend to enter into new indemnification agreements with each of our current directors and officers. Our amended and restated certificate of incorporation and our amended and restated bylaws provide that we will indemnify our directors and officers to the fullest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704215</wp:posOffset>
            </wp:positionV>
            <wp:extent cx="71062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44</w:t>
            </w:r>
          </w:p>
        </w:tc>
      </w:tr>
    </w:tbl>
    <w:p>
      <w:pPr>
        <w:sectPr>
          <w:pgSz w:w="11900" w:h="16838" w:orient="portrait"/>
          <w:cols w:equalWidth="0" w:num="1">
            <w:col w:w="11200"/>
          </w:cols>
          <w:pgMar w:left="320" w:top="1331" w:right="379" w:bottom="1440" w:gutter="0" w:footer="0" w:header="0"/>
        </w:sectPr>
      </w:pPr>
    </w:p>
    <w:bookmarkStart w:id="49" w:name="page50"/>
    <w:bookmarkEnd w:id="49"/>
    <w:p>
      <w:pPr>
        <w:spacing w:after="0"/>
        <w:rPr>
          <w:sz w:val="20"/>
          <w:szCs w:val="20"/>
          <w:color w:val="auto"/>
        </w:rPr>
      </w:pPr>
      <w:r>
        <w:rPr>
          <w:rFonts w:ascii="Arial" w:cs="Arial" w:eastAsia="Arial" w:hAnsi="Arial"/>
          <w:sz w:val="36"/>
          <w:szCs w:val="36"/>
          <w:b w:val="1"/>
          <w:bCs w:val="1"/>
          <w:color w:val="4B4B4B"/>
        </w:rPr>
        <w:t>Stockholders Proposals and Director Nominations</w:t>
      </w:r>
    </w:p>
    <w:p>
      <w:pPr>
        <w:spacing w:after="0" w:line="34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4B4B4B"/>
        </w:rPr>
        <w:t>Stockholders who intend to have a proposal considered for inclusion in our proxy materials for presentation at our annual meeting of stockholders to be held in 2023 (the “2023 Annual Meeting”) pursuant to Rule 14a-8 under the Exchange Act must submit the proposal to our Secretary at our offices at 5900 Penn Avenue, Pittsburgh, Pennsylvania 15206, in writing not later than December 23, 2022.</w:t>
      </w:r>
    </w:p>
    <w:p>
      <w:pPr>
        <w:spacing w:after="0" w:line="149" w:lineRule="exact"/>
        <w:rPr>
          <w:sz w:val="20"/>
          <w:szCs w:val="20"/>
          <w:color w:val="auto"/>
        </w:rPr>
      </w:pPr>
    </w:p>
    <w:p>
      <w:pPr>
        <w:spacing w:after="0" w:line="267" w:lineRule="auto"/>
        <w:rPr>
          <w:sz w:val="20"/>
          <w:szCs w:val="20"/>
          <w:color w:val="auto"/>
        </w:rPr>
      </w:pPr>
      <w:r>
        <w:rPr>
          <w:rFonts w:ascii="Arial" w:cs="Arial" w:eastAsia="Arial" w:hAnsi="Arial"/>
          <w:sz w:val="18"/>
          <w:szCs w:val="18"/>
          <w:color w:val="4B4B4B"/>
        </w:rPr>
        <w:t>Stockholders intending to present a proposal at our 2023 Annual Meeting,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first anniversary of the preceding year’s annual meeting of stockholders. Therefore, we must receive notice of such a proposal or nomination for the 2023 Annual Meeting no earlier than the close of business on February 9, 2023 and no later than the close of business on March 11, 2023. The notice must contain the information required by our Bylaws. In the event that the date of the 2023 Annual Meeting is more than 30 days before or more than 60 days after June 9, 2023, then our Secretary must receive such written notice not earlier than the close of business on the 120th day prior to the 2023 Annual Meeting and not later than the close of business of the 90th day prior to the 2023 Annual Meeting or, if later,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w:t>
      </w:r>
    </w:p>
    <w:p>
      <w:pPr>
        <w:spacing w:after="0" w:line="15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4B4B4B"/>
        </w:rPr>
        <w:t>We reserve the right to reject, rule out of order or take other appropriate action with respect to any proposal that does not comply with these or other applicable requirements.</w:t>
      </w:r>
    </w:p>
    <w:p>
      <w:pPr>
        <w:spacing w:after="0" w:line="14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4B4B4B"/>
        </w:rPr>
        <w:t>In addition to satisfying the foregoing requirements under our bylaws, to comply with the universal proxy rules, stockholders who intend to solicit proxies in support of director nominees other than our nominees for the 2023 annual meeting of stockholders must provide notice that sets forth the information required by rule 14a-19 under the Exchange act no later than April 10, 2023.</w:t>
      </w:r>
    </w:p>
    <w:p>
      <w:pPr>
        <w:spacing w:after="0" w:line="127" w:lineRule="exact"/>
        <w:rPr>
          <w:sz w:val="20"/>
          <w:szCs w:val="20"/>
          <w:color w:val="auto"/>
        </w:rPr>
      </w:pPr>
    </w:p>
    <w:p>
      <w:pPr>
        <w:ind w:right="60"/>
        <w:spacing w:after="0" w:line="280" w:lineRule="auto"/>
        <w:rPr>
          <w:sz w:val="20"/>
          <w:szCs w:val="20"/>
          <w:color w:val="auto"/>
        </w:rPr>
      </w:pPr>
      <w:r>
        <w:rPr>
          <w:rFonts w:ascii="Arial" w:cs="Arial" w:eastAsia="Arial" w:hAnsi="Arial"/>
          <w:sz w:val="14"/>
          <w:szCs w:val="14"/>
          <w:i w:val="1"/>
          <w:iCs w:val="1"/>
          <w:color w:val="4B4B4B"/>
        </w:rPr>
        <w:t>In connection with our solicitation of proxies for our 2023 annual meeting of stockholders, we intend to file a proxy statement and WHITE proxy card with the SEC. Stockholders may obtain our proxy statement (and any amendments and supplements thereto) and other documents as and when filed with the SEC without charge from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702310</wp:posOffset>
            </wp:positionV>
            <wp:extent cx="71062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45</w:t>
            </w:r>
          </w:p>
        </w:tc>
      </w:tr>
    </w:tbl>
    <w:p>
      <w:pPr>
        <w:sectPr>
          <w:pgSz w:w="11900" w:h="16838" w:orient="portrait"/>
          <w:cols w:equalWidth="0" w:num="1">
            <w:col w:w="11240"/>
          </w:cols>
          <w:pgMar w:left="320" w:top="1307" w:right="339" w:bottom="1440" w:gutter="0" w:footer="0" w:header="0"/>
        </w:sectPr>
      </w:pPr>
    </w:p>
    <w:bookmarkStart w:id="50" w:name="page51"/>
    <w:bookmarkEnd w:id="50"/>
    <w:p>
      <w:pPr>
        <w:spacing w:after="0"/>
        <w:rPr>
          <w:sz w:val="20"/>
          <w:szCs w:val="20"/>
          <w:color w:val="auto"/>
        </w:rPr>
      </w:pPr>
      <w:r>
        <w:rPr>
          <w:rFonts w:ascii="Arial" w:cs="Arial" w:eastAsia="Arial" w:hAnsi="Arial"/>
          <w:sz w:val="36"/>
          <w:szCs w:val="36"/>
          <w:b w:val="1"/>
          <w:bCs w:val="1"/>
          <w:color w:val="4B4B4B"/>
        </w:rPr>
        <w:t>Householding</w:t>
      </w:r>
    </w:p>
    <w:p>
      <w:pPr>
        <w:spacing w:after="0" w:line="348"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4B4B4B"/>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the Annual Report by contacting the Broadridge Financial Solutions, Inc. at (866) 540-7095 or in writing at Broadridge, Householding Department, 51 Mercedes Way, Edgewood, New York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706755</wp:posOffset>
            </wp:positionV>
            <wp:extent cx="710628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46</w:t>
            </w:r>
          </w:p>
        </w:tc>
      </w:tr>
    </w:tbl>
    <w:p>
      <w:pPr>
        <w:sectPr>
          <w:pgSz w:w="11900" w:h="16838" w:orient="portrait"/>
          <w:cols w:equalWidth="0" w:num="1">
            <w:col w:w="11200"/>
          </w:cols>
          <w:pgMar w:left="320" w:top="1307" w:right="379" w:bottom="1440" w:gutter="0" w:footer="0" w:header="0"/>
        </w:sectPr>
      </w:pPr>
    </w:p>
    <w:bookmarkStart w:id="51" w:name="page52"/>
    <w:bookmarkEnd w:id="51"/>
    <w:p>
      <w:pPr>
        <w:spacing w:after="0"/>
        <w:rPr>
          <w:sz w:val="20"/>
          <w:szCs w:val="20"/>
          <w:color w:val="auto"/>
        </w:rPr>
      </w:pPr>
      <w:r>
        <w:rPr>
          <w:rFonts w:ascii="Arial" w:cs="Arial" w:eastAsia="Arial" w:hAnsi="Arial"/>
          <w:sz w:val="36"/>
          <w:szCs w:val="36"/>
          <w:b w:val="1"/>
          <w:bCs w:val="1"/>
          <w:color w:val="4B4B4B"/>
        </w:rPr>
        <w:t>2021 Annual Report</w:t>
      </w:r>
    </w:p>
    <w:p>
      <w:pPr>
        <w:spacing w:after="0" w:line="348"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4B4B4B"/>
        </w:rPr>
        <w:t>Our 2021 Annual Report, including our Annual Report on Form 10-K for the fiscal year ended December 31, 2021, is being mailed with this Proxy Statement to those stockholders that receive this Proxy Statement in the mail. Stockholders that receive the Notice and Access Card can access our 2021 Annual Report, including our Annual Report, at www.proxyvote.com.</w:t>
      </w:r>
    </w:p>
    <w:p>
      <w:pPr>
        <w:spacing w:after="0" w:line="127"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4B4B4B"/>
        </w:rPr>
        <w:t>Our Annual Report on Form 10-K for the fiscal year ended December 31, 2021 has also been filed with the SEC. It is available free of charge at the SEC’s website at www.sec.gov. Upon written request by a stockholder, we will mail without charge a copy of our Annual Report on Form 10-K, including the financial statements and financial statement schedules, but excluding exhibits. Exhibits to the Annual Report on Form 10-K are available upon payment of a reasonable fee, which is limited to our expenses in furnishing the requested exhibit. All requests should be directed to the Corporate Secretary, Duolingo, Inc., 5900 Penn Avenue, Pittsburgh, Pennsylvania 15206.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703580</wp:posOffset>
            </wp:positionV>
            <wp:extent cx="71062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47</w:t>
            </w:r>
          </w:p>
        </w:tc>
      </w:tr>
    </w:tbl>
    <w:p>
      <w:pPr>
        <w:sectPr>
          <w:pgSz w:w="11900" w:h="16838" w:orient="portrait"/>
          <w:cols w:equalWidth="0" w:num="1">
            <w:col w:w="11240"/>
          </w:cols>
          <w:pgMar w:left="320" w:top="1307" w:right="339" w:bottom="1440" w:gutter="0" w:footer="0" w:header="0"/>
        </w:sectPr>
      </w:pPr>
    </w:p>
    <w:bookmarkStart w:id="52" w:name="page53"/>
    <w:bookmarkEnd w:id="52"/>
    <w:p>
      <w:pPr>
        <w:ind w:right="220"/>
        <w:spacing w:after="0" w:line="284" w:lineRule="auto"/>
        <w:rPr>
          <w:sz w:val="20"/>
          <w:szCs w:val="20"/>
          <w:color w:val="auto"/>
        </w:rPr>
      </w:pPr>
      <w:r>
        <w:rPr>
          <w:rFonts w:ascii="Arial" w:cs="Arial" w:eastAsia="Arial" w:hAnsi="Arial"/>
          <w:sz w:val="18"/>
          <w:szCs w:val="18"/>
          <w:b w:val="1"/>
          <w:bCs w:val="1"/>
          <w:color w:val="4B4B4B"/>
        </w:rPr>
        <w:t xml:space="preserve">Your vote is important. </w:t>
      </w:r>
      <w:r>
        <w:rPr>
          <w:rFonts w:ascii="Arial" w:cs="Arial" w:eastAsia="Arial" w:hAnsi="Arial"/>
          <w:sz w:val="18"/>
          <w:szCs w:val="18"/>
          <w:color w:val="4B4B4B"/>
        </w:rPr>
        <w:t>Please promptly vote your shares by following the instructions for voting on the Notice and Access Card or, if you</w:t>
      </w:r>
      <w:r>
        <w:rPr>
          <w:rFonts w:ascii="Arial" w:cs="Arial" w:eastAsia="Arial" w:hAnsi="Arial"/>
          <w:sz w:val="18"/>
          <w:szCs w:val="18"/>
          <w:b w:val="1"/>
          <w:bCs w:val="1"/>
          <w:color w:val="4B4B4B"/>
        </w:rPr>
        <w:t xml:space="preserve"> </w:t>
      </w:r>
      <w:r>
        <w:rPr>
          <w:rFonts w:ascii="Arial" w:cs="Arial" w:eastAsia="Arial" w:hAnsi="Arial"/>
          <w:sz w:val="18"/>
          <w:szCs w:val="18"/>
          <w:color w:val="4B4B4B"/>
        </w:rPr>
        <w:t>received a paper or electronic copy of our proxy materials, by completing, signing, dating and returning your proxy card or by Internet or telephone voting as described on your proxy card.</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color w:val="4B4B4B"/>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45085</wp:posOffset>
            </wp:positionV>
            <wp:extent cx="1276985" cy="514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698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B4B4B"/>
        </w:rPr>
        <w:t>Luis von Ahn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4B4B4B"/>
        </w:rPr>
        <w:t>Chief Executive Officer</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4B4B4B"/>
        </w:rPr>
        <w:t>Pittsburgh, Pennsylvania</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4B4B4B"/>
        </w:rPr>
        <w:t>April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706755</wp:posOffset>
            </wp:positionV>
            <wp:extent cx="71062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48</w:t>
            </w:r>
          </w:p>
        </w:tc>
      </w:tr>
    </w:tbl>
    <w:p>
      <w:pPr>
        <w:sectPr>
          <w:pgSz w:w="11900" w:h="16838" w:orient="portrait"/>
          <w:cols w:equalWidth="0" w:num="1">
            <w:col w:w="11200"/>
          </w:cols>
          <w:pgMar w:left="320" w:top="1332" w:right="379" w:bottom="1440" w:gutter="0" w:footer="0" w:header="0"/>
        </w:sectPr>
      </w:pPr>
    </w:p>
    <w:bookmarkStart w:id="53" w:name="page54"/>
    <w:bookmarkEnd w:id="53"/>
    <w:p>
      <w:pPr>
        <w:spacing w:after="0"/>
        <w:rPr>
          <w:sz w:val="20"/>
          <w:szCs w:val="20"/>
          <w:color w:val="auto"/>
        </w:rPr>
      </w:pPr>
      <w:r>
        <w:rPr>
          <w:rFonts w:ascii="Arial" w:cs="Arial" w:eastAsia="Arial" w:hAnsi="Arial"/>
          <w:sz w:val="23"/>
          <w:szCs w:val="23"/>
          <w:b w:val="1"/>
          <w:bCs w:val="1"/>
          <w:color w:val="4B4B4B"/>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130175</wp:posOffset>
            </wp:positionV>
            <wp:extent cx="5383530" cy="7072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83530" cy="707263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7914005</wp:posOffset>
            </wp:positionV>
            <wp:extent cx="71062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00"/>
          </w:cols>
          <w:pgMar w:left="320" w:top="133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tabs>
          <w:tab w:leader="none" w:pos="11020" w:val="left"/>
        </w:tabs>
        <w:rPr>
          <w:sz w:val="20"/>
          <w:szCs w:val="20"/>
          <w:color w:val="auto"/>
        </w:rPr>
      </w:pPr>
      <w:r>
        <w:rPr>
          <w:rFonts w:ascii="Arial" w:cs="Arial" w:eastAsia="Arial" w:hAnsi="Arial"/>
          <w:sz w:val="14"/>
          <w:szCs w:val="14"/>
          <w:b w:val="1"/>
          <w:bCs w:val="1"/>
          <w:color w:val="AFAFAF"/>
        </w:rPr>
        <w:t>DUOLINGO 2022 PROXY STATEMENT</w:t>
      </w:r>
      <w:r>
        <w:rPr>
          <w:sz w:val="20"/>
          <w:szCs w:val="20"/>
          <w:color w:val="auto"/>
        </w:rPr>
        <w:tab/>
      </w:r>
      <w:r>
        <w:rPr>
          <w:rFonts w:ascii="Arial" w:cs="Arial" w:eastAsia="Arial" w:hAnsi="Arial"/>
          <w:sz w:val="14"/>
          <w:szCs w:val="14"/>
          <w:b w:val="1"/>
          <w:bCs w:val="1"/>
          <w:color w:val="AFAFAF"/>
        </w:rPr>
        <w:t>49</w:t>
      </w:r>
    </w:p>
    <w:p>
      <w:pPr>
        <w:sectPr>
          <w:pgSz w:w="11900" w:h="16838" w:orient="portrait"/>
          <w:cols w:equalWidth="0" w:num="1">
            <w:col w:w="11200"/>
          </w:cols>
          <w:pgMar w:left="320" w:top="1331" w:right="379" w:bottom="1440" w:gutter="0" w:footer="0" w:header="0"/>
          <w:type w:val="continuous"/>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852170</wp:posOffset>
            </wp:positionV>
            <wp:extent cx="7106285" cy="79724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06285" cy="7972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tcPr>
          <w:p>
            <w:pPr>
              <w:spacing w:after="0"/>
              <w:rPr>
                <w:sz w:val="20"/>
                <w:szCs w:val="20"/>
                <w:color w:val="auto"/>
              </w:rPr>
            </w:pPr>
            <w:r>
              <w:rPr>
                <w:rFonts w:ascii="Arial" w:cs="Arial" w:eastAsia="Arial" w:hAnsi="Arial"/>
                <w:sz w:val="14"/>
                <w:szCs w:val="14"/>
                <w:b w:val="1"/>
                <w:bCs w:val="1"/>
                <w:color w:val="AFAFAF"/>
              </w:rPr>
              <w:t>DUOLINGO 2022 PROXY STATEMENT</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FAFAF"/>
              </w:rPr>
              <w:t>50</w:t>
            </w:r>
          </w:p>
        </w:tc>
      </w:tr>
    </w:tbl>
    <w:p>
      <w:pPr>
        <w:spacing w:after="0" w:line="1" w:lineRule="exact"/>
        <w:rPr>
          <w:sz w:val="20"/>
          <w:szCs w:val="20"/>
          <w:color w:val="auto"/>
        </w:rPr>
      </w:pPr>
    </w:p>
    <w:sectPr>
      <w:pgSz w:w="11900" w:h="16838" w:orient="portrait"/>
      <w:cols w:equalWidth="0" w:num="1">
        <w:col w:w="11160"/>
      </w:cols>
      <w:pgMar w:left="36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lowerRoman"/>
      <w:start w:val="3"/>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5"/>
    </w:lvl>
  </w:abstractNum>
  <w:abstractNum w:abstractNumId="29">
    <w:nsid w:val="8138641"/>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2022-04-22T15:29:55Z</dcterms:created>
  <dcterms:modified xsi:type="dcterms:W3CDTF">2022-04-22T15:29:55Z</dcterms:modified>
</cp:coreProperties>
</file>