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691090.xml.htm"/>
      <w:bookmarkStart w:id="1" w:name="kswkform4_17806910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Ross Bonnie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DUOLINGO,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5900 PENN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Duolingo, Inc.</w:t>
              </w:r>
            </w:hyperlink>
            <w:r>
              <w:rPr/>
              <w:t xml:space="preserve"> [ </w:t>
            </w:r>
            <w:r>
              <w:rPr>
                <w:rFonts w:ascii="Times;serif" w:hAnsi="Times;serif"/>
                <w:color w:val="0000FF"/>
                <w:sz w:val="24"/>
                <w:shd w:fill="FFFFFF" w:val="clear"/>
              </w:rPr>
              <w:t>DUOL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2,001</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3,345</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Constitute restricted stock units ("RSUs") for which the Reporting Person is entitled to receive one (1) share of the Issuer's Class A Common Stock for each RSU upon vesting. 100% of the RSUs vest on the earlier of (i) the first anniversary of the grant date or (ii) the date of the next annual meeting of the Issuer's stockholders following the grant date, subject to the Reporting Person's continued service to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Chen, as Attorney-in-Fact for Bonnie Ross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6989" TargetMode="External"/><Relationship Id="rId5" Type="http://schemas.openxmlformats.org/officeDocument/2006/relationships/hyperlink" Target="http://www.sec.gov/cgi-bin/browse-edgar?action=getcompany&amp;CIK=0001562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3414</Characters>
  <CharactersWithSpaces>3992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