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Duolingo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$0.0001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26603R106</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November 30,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40" w:hanging="204"/>
        <w:spacing w:after="0"/>
        <w:tabs>
          <w:tab w:leader="none" w:pos="6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368"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26603R106</w:t>
      </w:r>
    </w:p>
    <w:p>
      <w:pPr>
        <w:spacing w:after="0" w:line="266" w:lineRule="exact"/>
        <w:rPr>
          <w:sz w:val="20"/>
          <w:szCs w:val="20"/>
          <w:color w:val="auto"/>
        </w:rPr>
      </w:pPr>
    </w:p>
    <w:p>
      <w:pPr>
        <w:ind w:left="620" w:hanging="377"/>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-276225</wp:posOffset>
            </wp:positionV>
            <wp:extent cx="6926580" cy="5357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357495"/>
                    </a:xfrm>
                    <a:prstGeom prst="rect">
                      <a:avLst/>
                    </a:prstGeom>
                    <a:noFill/>
                  </pic:spPr>
                </pic:pic>
              </a:graphicData>
            </a:graphic>
          </wp:anchor>
        </w:drawing>
      </w:r>
    </w:p>
    <w:p>
      <w:pPr>
        <w:spacing w:after="0" w:line="21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Durable Capital Partners LP</w:t>
      </w:r>
    </w:p>
    <w:p>
      <w:pPr>
        <w:spacing w:after="0" w:line="36" w:lineRule="exact"/>
        <w:rPr>
          <w:sz w:val="20"/>
          <w:szCs w:val="20"/>
          <w:color w:val="auto"/>
        </w:rPr>
      </w:pPr>
    </w:p>
    <w:p>
      <w:pPr>
        <w:ind w:left="620" w:hanging="377"/>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88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1,305,124</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86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88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8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886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8860" w:type="dxa"/>
            <w:vAlign w:val="bottom"/>
          </w:tcPr>
          <w:p>
            <w:pPr>
              <w:ind w:left="160"/>
              <w:spacing w:after="0"/>
              <w:rPr>
                <w:sz w:val="20"/>
                <w:szCs w:val="20"/>
                <w:color w:val="auto"/>
              </w:rPr>
            </w:pPr>
            <w:r>
              <w:rPr>
                <w:rFonts w:ascii="Arial" w:cs="Arial" w:eastAsia="Arial" w:hAnsi="Arial"/>
                <w:sz w:val="18"/>
                <w:szCs w:val="18"/>
                <w:color w:val="auto"/>
              </w:rPr>
              <w:t>1,305,124</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88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00" w:hanging="357"/>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1,305,124</w:t>
      </w:r>
    </w:p>
    <w:p>
      <w:pPr>
        <w:spacing w:after="0" w:line="36" w:lineRule="exact"/>
        <w:rPr>
          <w:sz w:val="20"/>
          <w:szCs w:val="20"/>
          <w:color w:val="auto"/>
        </w:rPr>
      </w:pPr>
    </w:p>
    <w:p>
      <w:pPr>
        <w:ind w:left="620" w:hanging="467"/>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5340" w:hanging="467"/>
        <w:spacing w:after="0" w:line="402"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8.3%</w:t>
      </w:r>
    </w:p>
    <w:p>
      <w:pPr>
        <w:spacing w:after="0" w:line="1" w:lineRule="exact"/>
        <w:rPr>
          <w:rFonts w:ascii="Arial" w:cs="Arial" w:eastAsia="Arial" w:hAnsi="Arial"/>
          <w:sz w:val="18"/>
          <w:szCs w:val="18"/>
          <w:color w:val="auto"/>
        </w:rPr>
      </w:pPr>
    </w:p>
    <w:p>
      <w:pPr>
        <w:ind w:left="620" w:right="5960" w:hanging="467"/>
        <w:spacing w:after="0" w:line="559" w:lineRule="auto"/>
        <w:tabs>
          <w:tab w:leader="none" w:pos="617"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IA, PN</w:t>
      </w:r>
    </w:p>
    <w:p>
      <w:pPr>
        <w:sectPr>
          <w:pgSz w:w="11900" w:h="16838" w:orient="portrait"/>
          <w:cols w:equalWidth="0" w:num="1">
            <w:col w:w="10900"/>
          </w:cols>
          <w:pgMar w:left="440" w:top="274" w:right="559" w:bottom="1440" w:gutter="0" w:footer="0" w:header="0"/>
        </w:sectPr>
      </w:pPr>
    </w:p>
    <w:bookmarkStart w:id="2" w:name="page3"/>
    <w:bookmarkEnd w:id="2"/>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Duolingo, Inc. (the “Issuer”)</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Duolingo, Inc.</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5900 Penn Avenue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Pittsburgh, Pennsylvania 15206</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u w:val="single" w:color="auto"/>
          <w:color w:val="auto"/>
        </w:rPr>
        <w:t>Names of Person Filing</w:t>
      </w:r>
      <w:r>
        <w:rPr>
          <w:rFonts w:ascii="Arial" w:cs="Arial" w:eastAsia="Arial" w:hAnsi="Arial"/>
          <w:sz w:val="16"/>
          <w:szCs w:val="16"/>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name of the person filing this report is: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Durable Capital Partners LP (the “Reporting Person”)</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address of the principal business office of the Reporting Person is: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5425 Wisconsin Avenue,</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Suite 802</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Chevy Chase, Maryland 20815</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 or Place of Organization</w:t>
      </w:r>
      <w:r>
        <w:rPr>
          <w:rFonts w:ascii="Arial" w:cs="Arial" w:eastAsia="Arial" w:hAnsi="Arial"/>
          <w:sz w:val="16"/>
          <w:szCs w:val="16"/>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Reporting Person is a limited partnership organized under the laws of the State of Delaware.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Class A common stock, $0.0001 per share (“Common Stock”)</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Number</w:t>
      </w:r>
      <w:r>
        <w:rPr>
          <w:rFonts w:ascii="Arial" w:cs="Arial" w:eastAsia="Arial" w:hAnsi="Arial"/>
          <w:sz w:val="17"/>
          <w:szCs w:val="17"/>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26603R106</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 240.13d-1(b) or 240.13d-2(b) or (c), check whether the person filing is a:</w:t>
      </w:r>
    </w:p>
    <w:p>
      <w:pPr>
        <w:spacing w:after="0" w:line="102" w:lineRule="exact"/>
        <w:rPr>
          <w:sz w:val="20"/>
          <w:szCs w:val="20"/>
          <w:color w:val="auto"/>
        </w:rPr>
      </w:pPr>
    </w:p>
    <w:p>
      <w:pPr>
        <w:ind w:left="1420" w:hanging="317"/>
        <w:spacing w:after="0" w:line="207" w:lineRule="exact"/>
        <w:tabs>
          <w:tab w:leader="none" w:pos="14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420" w:hanging="317"/>
        <w:spacing w:after="0" w:line="207" w:lineRule="exact"/>
        <w:tabs>
          <w:tab w:leader="none" w:pos="14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420" w:hanging="317"/>
        <w:spacing w:after="0" w:line="207" w:lineRule="exact"/>
        <w:tabs>
          <w:tab w:leader="none" w:pos="14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420" w:hanging="317"/>
        <w:spacing w:after="0" w:line="184" w:lineRule="exact"/>
        <w:tabs>
          <w:tab w:leader="none" w:pos="1420" w:val="left"/>
        </w:tabs>
        <w:numPr>
          <w:ilvl w:val="0"/>
          <w:numId w:val="9"/>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Investment company registered under section 8 of the Investment Company Act of 1940 (15 U.S.C. 80a-8).</w:t>
      </w:r>
    </w:p>
    <w:p>
      <w:pPr>
        <w:spacing w:after="0" w:line="140" w:lineRule="exact"/>
        <w:rPr>
          <w:rFonts w:ascii="Arial" w:cs="Arial" w:eastAsia="Arial" w:hAnsi="Arial"/>
          <w:sz w:val="16"/>
          <w:szCs w:val="16"/>
          <w:color w:val="auto"/>
        </w:rPr>
      </w:pPr>
    </w:p>
    <w:p>
      <w:pPr>
        <w:ind w:left="1420" w:hanging="317"/>
        <w:spacing w:after="0" w:line="207" w:lineRule="exact"/>
        <w:tabs>
          <w:tab w:leader="none" w:pos="14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advisor in accordance with §240.13d-1(b)(1)(ii)(E).</w:t>
      </w:r>
    </w:p>
    <w:p>
      <w:pPr>
        <w:spacing w:after="0" w:line="117" w:lineRule="exact"/>
        <w:rPr>
          <w:rFonts w:ascii="Arial" w:cs="Arial" w:eastAsia="Arial" w:hAnsi="Arial"/>
          <w:sz w:val="18"/>
          <w:szCs w:val="18"/>
          <w:color w:val="auto"/>
        </w:rPr>
      </w:pPr>
    </w:p>
    <w:p>
      <w:pPr>
        <w:ind w:left="1420" w:hanging="317"/>
        <w:spacing w:after="0" w:line="207" w:lineRule="exact"/>
        <w:tabs>
          <w:tab w:leader="none" w:pos="14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§240.13d- 1(b)(1)(ii)(F).</w:t>
      </w:r>
    </w:p>
    <w:p>
      <w:pPr>
        <w:sectPr>
          <w:pgSz w:w="11900" w:h="16838" w:orient="portrait"/>
          <w:cols w:equalWidth="0" w:num="1">
            <w:col w:w="10019"/>
          </w:cols>
          <w:pgMar w:left="440" w:top="270" w:right="1440" w:bottom="1440" w:gutter="0" w:footer="0" w:header="0"/>
        </w:sectPr>
      </w:pPr>
    </w:p>
    <w:bookmarkStart w:id="3" w:name="page4"/>
    <w:bookmarkEnd w:id="3"/>
    <w:p>
      <w:pPr>
        <w:ind w:left="1420" w:hanging="317"/>
        <w:spacing w:after="0" w:line="207" w:lineRule="exact"/>
        <w:tabs>
          <w:tab w:leader="none" w:pos="14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color w:val="auto"/>
        </w:rPr>
        <w:t xml:space="preserve"> A parent holding company or control person in accordance with §240.13d- 1(b)(1)(ii)(G).</w:t>
      </w:r>
    </w:p>
    <w:p>
      <w:pPr>
        <w:spacing w:after="0" w:line="117" w:lineRule="exact"/>
        <w:rPr>
          <w:rFonts w:ascii="Arial" w:cs="Arial" w:eastAsia="Arial" w:hAnsi="Arial"/>
          <w:sz w:val="18"/>
          <w:szCs w:val="18"/>
          <w:color w:val="auto"/>
        </w:rPr>
      </w:pPr>
    </w:p>
    <w:p>
      <w:pPr>
        <w:ind w:left="1420" w:hanging="317"/>
        <w:spacing w:after="0" w:line="207" w:lineRule="exact"/>
        <w:tabs>
          <w:tab w:leader="none" w:pos="14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117" w:lineRule="exact"/>
        <w:rPr>
          <w:rFonts w:ascii="Arial" w:cs="Arial" w:eastAsia="Arial" w:hAnsi="Arial"/>
          <w:sz w:val="18"/>
          <w:szCs w:val="18"/>
          <w:color w:val="auto"/>
        </w:rPr>
      </w:pPr>
    </w:p>
    <w:p>
      <w:pPr>
        <w:ind w:left="1720" w:hanging="617"/>
        <w:spacing w:after="0" w:line="239" w:lineRule="exact"/>
        <w:tabs>
          <w:tab w:leader="none" w:pos="1437"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1720" w:hanging="617"/>
        <w:spacing w:after="0" w:line="232" w:lineRule="exact"/>
        <w:tabs>
          <w:tab w:leader="none" w:pos="1437"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that is the functional equivalent of any of the institutions listed in § 240.13d-1 (b)(1)(ii)(A) through (I), so long as the non-U.S. institution is subject to a regulatory scheme that is substantially comparable to the regulatory scheme applicable to the equivalent U.S. institution.</w:t>
      </w:r>
    </w:p>
    <w:p>
      <w:pPr>
        <w:spacing w:after="0" w:line="62" w:lineRule="exact"/>
        <w:rPr>
          <w:rFonts w:ascii="Arial" w:cs="Arial" w:eastAsia="Arial" w:hAnsi="Arial"/>
          <w:sz w:val="18"/>
          <w:szCs w:val="18"/>
          <w:color w:val="auto"/>
        </w:rPr>
      </w:pPr>
    </w:p>
    <w:p>
      <w:pPr>
        <w:ind w:left="1420" w:hanging="317"/>
        <w:spacing w:after="0" w:line="207" w:lineRule="exact"/>
        <w:tabs>
          <w:tab w:leader="none" w:pos="14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w:t>
      </w:r>
    </w:p>
    <w:p>
      <w:pPr>
        <w:spacing w:after="0" w:line="200" w:lineRule="exact"/>
        <w:rPr>
          <w:sz w:val="20"/>
          <w:szCs w:val="20"/>
          <w:color w:val="auto"/>
        </w:rPr>
      </w:pPr>
    </w:p>
    <w:p>
      <w:pPr>
        <w:spacing w:after="0" w:line="20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b w:val="1"/>
          <w:bCs w:val="1"/>
          <w:color w:val="auto"/>
        </w:rPr>
        <w:t>.</w:t>
      </w:r>
    </w:p>
    <w:p>
      <w:pPr>
        <w:spacing w:after="0" w:line="121" w:lineRule="exact"/>
        <w:rPr>
          <w:sz w:val="20"/>
          <w:szCs w:val="20"/>
          <w:color w:val="auto"/>
        </w:rPr>
      </w:pPr>
    </w:p>
    <w:p>
      <w:pPr>
        <w:ind w:left="1100" w:right="180"/>
        <w:spacing w:after="0" w:line="263" w:lineRule="auto"/>
        <w:rPr>
          <w:sz w:val="20"/>
          <w:szCs w:val="20"/>
          <w:color w:val="auto"/>
        </w:rPr>
      </w:pPr>
      <w:r>
        <w:rPr>
          <w:rFonts w:ascii="Arial" w:cs="Arial" w:eastAsia="Arial" w:hAnsi="Arial"/>
          <w:sz w:val="18"/>
          <w:szCs w:val="18"/>
          <w:color w:val="auto"/>
        </w:rPr>
        <w:t>The information required by this item with respect to the Reporting Person is set forth in Rows 5 through 9 and 11 of the cover page to this Schedule 13G. The ownership percentages reported are based on 15,796,838 outstanding shares of voting Common Stock, as reported in the Issuer’s Form 10-Q filed on November 12, 2021.</w:t>
      </w:r>
    </w:p>
    <w:p>
      <w:pPr>
        <w:spacing w:after="0" w:line="76" w:lineRule="exact"/>
        <w:rPr>
          <w:sz w:val="20"/>
          <w:szCs w:val="20"/>
          <w:color w:val="auto"/>
        </w:rPr>
      </w:pPr>
    </w:p>
    <w:p>
      <w:pPr>
        <w:ind w:left="1100" w:right="40"/>
        <w:spacing w:after="0" w:line="259" w:lineRule="auto"/>
        <w:rPr>
          <w:sz w:val="20"/>
          <w:szCs w:val="20"/>
          <w:color w:val="auto"/>
        </w:rPr>
      </w:pPr>
      <w:r>
        <w:rPr>
          <w:rFonts w:ascii="Arial" w:cs="Arial" w:eastAsia="Arial" w:hAnsi="Arial"/>
          <w:sz w:val="18"/>
          <w:szCs w:val="18"/>
          <w:color w:val="auto"/>
        </w:rPr>
        <w:t>Durable Capital Master Fund LP directly holds 1,305,124 shares of Common Stock (the “Shares”). The Reporting Person, as the investment adviser to Durable Capital Master Fund LP, has sole power to direct the vote and disposition of the Shares. Durable Capital Partners GP LLC (“Durable GP”) is the general partner of the Reporting Person, and Henry Ellenbogen is the chief investment officer of the Reporting Person and the managing member of Durable GP.</w:t>
      </w:r>
    </w:p>
    <w:p>
      <w:pPr>
        <w:spacing w:after="0" w:line="33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121" w:lineRule="exact"/>
        <w:rPr>
          <w:sz w:val="20"/>
          <w:szCs w:val="20"/>
          <w:color w:val="auto"/>
        </w:rPr>
      </w:pPr>
    </w:p>
    <w:p>
      <w:pPr>
        <w:ind w:left="1100" w:right="100"/>
        <w:spacing w:after="0" w:line="277" w:lineRule="auto"/>
        <w:rPr>
          <w:sz w:val="20"/>
          <w:szCs w:val="20"/>
          <w:color w:val="auto"/>
        </w:rPr>
      </w:pPr>
      <w:r>
        <w:rPr>
          <w:rFonts w:ascii="Arial" w:cs="Arial" w:eastAsia="Arial" w:hAnsi="Arial"/>
          <w:sz w:val="18"/>
          <w:szCs w:val="18"/>
          <w:color w:val="auto"/>
        </w:rPr>
        <w:t>See disclosure of relationships among parties under Item 4. The economic benefits of the Shares are shared based on agreements among the parties.</w:t>
      </w:r>
    </w:p>
    <w:p>
      <w:pPr>
        <w:spacing w:after="0" w:line="315" w:lineRule="exact"/>
        <w:rPr>
          <w:sz w:val="20"/>
          <w:szCs w:val="20"/>
          <w:color w:val="auto"/>
        </w:rPr>
      </w:pPr>
    </w:p>
    <w:p>
      <w:pPr>
        <w:ind w:left="1080" w:right="56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 Control Person</w:t>
      </w:r>
      <w:r>
        <w:rPr>
          <w:rFonts w:ascii="Arial" w:cs="Arial" w:eastAsia="Arial" w:hAnsi="Arial"/>
          <w:sz w:val="18"/>
          <w:szCs w:val="18"/>
          <w:b w:val="1"/>
          <w:bCs w:val="1"/>
          <w:color w:val="auto"/>
        </w:rPr>
        <w:t>.</w:t>
      </w:r>
    </w:p>
    <w:p>
      <w:pPr>
        <w:spacing w:after="0" w:line="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See control and Shares holding disclosure in Item 4.</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Inapplicable.</w:t>
      </w:r>
    </w:p>
    <w:p>
      <w:pPr>
        <w:sectPr>
          <w:pgSz w:w="11900" w:h="16838" w:orient="portrait"/>
          <w:cols w:equalWidth="0" w:num="1">
            <w:col w:w="10980"/>
          </w:cols>
          <w:pgMar w:left="440" w:top="241" w:right="479" w:bottom="1440" w:gutter="0" w:footer="0" w:header="0"/>
        </w:sectPr>
      </w:pPr>
    </w:p>
    <w:bookmarkStart w:id="4" w:name="page5"/>
    <w:bookmarkEnd w:id="4"/>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9.</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u w:val="single" w:color="auto"/>
          <w:color w:val="auto"/>
        </w:rPr>
        <w:t>Certification</w:t>
      </w:r>
      <w:r>
        <w:rPr>
          <w:rFonts w:ascii="Arial" w:cs="Arial" w:eastAsia="Arial" w:hAnsi="Arial"/>
          <w:sz w:val="17"/>
          <w:szCs w:val="17"/>
          <w:b w:val="1"/>
          <w:bCs w:val="1"/>
          <w:color w:val="auto"/>
        </w:rPr>
        <w:t>.</w:t>
      </w:r>
    </w:p>
    <w:p>
      <w:pPr>
        <w:spacing w:after="0" w:line="121" w:lineRule="exact"/>
        <w:rPr>
          <w:sz w:val="20"/>
          <w:szCs w:val="20"/>
          <w:color w:val="auto"/>
        </w:rPr>
      </w:pPr>
    </w:p>
    <w:p>
      <w:pPr>
        <w:ind w:left="1100"/>
        <w:spacing w:after="0" w:line="279"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0940"/>
          </w:cols>
          <w:pgMar w:left="440" w:top="270" w:right="519" w:bottom="1440" w:gutter="0" w:footer="0" w:header="0"/>
        </w:sectPr>
      </w:pPr>
    </w:p>
    <w:bookmarkStart w:id="5" w:name="page6"/>
    <w:bookmarkEnd w:id="5"/>
    <w:p>
      <w:pPr>
        <w:jc w:val="center"/>
        <w:ind w:right="-3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19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December 10,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DURABLE CAPITAL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Julie Jack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Julie Jack</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Authorized Person</w:t>
      </w:r>
    </w:p>
    <w:sectPr>
      <w:pgSz w:w="11900" w:h="16838" w:orient="portrait"/>
      <w:cols w:equalWidth="0" w:num="1">
        <w:col w:w="10640"/>
      </w:cols>
      <w:pgMar w:left="440" w:top="274"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abstractNum>
  <w:abstractNum w:abstractNumId="2">
    <w:nsid w:val="2EB141F2"/>
    <w:multiLevelType w:val="hybridMultilevel"/>
    <w:lvl w:ilvl="0">
      <w:lvlJc w:val="left"/>
      <w:lvlText w:val="1"/>
      <w:numFmt w:val="bullet"/>
      <w:start w:val="1"/>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4"/>
      <w:numFmt w:val="bullet"/>
      <w:start w:val="1"/>
    </w:lvl>
  </w:abstractNum>
  <w:abstractNum w:abstractNumId="6">
    <w:nsid w:val="515F007C"/>
    <w:multiLevelType w:val="hybridMultilevel"/>
    <w:lvl w:ilvl="0">
      <w:lvlJc w:val="left"/>
      <w:lvlText w:val="9"/>
      <w:numFmt w:val="bullet"/>
      <w:start w:val="1"/>
    </w:lvl>
  </w:abstractNum>
  <w:abstractNum w:abstractNumId="7">
    <w:nsid w:val="5BD062C2"/>
    <w:multiLevelType w:val="hybridMultilevel"/>
    <w:lvl w:ilvl="0">
      <w:lvlJc w:val="left"/>
      <w:lvlText w:val="%1"/>
      <w:numFmt w:val="decimal"/>
      <w:start w:val="10"/>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2021-12-10T14:23:20Z</dcterms:created>
  <dcterms:modified xsi:type="dcterms:W3CDTF">2021-12-10T14:23:20Z</dcterms:modified>
</cp:coreProperties>
</file>