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80"/>
        <w:jc w:val="left"/>
        <w:rPr/>
      </w:pPr>
      <w:r>
        <w:rPr/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24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>Washington, D.C. 20549 </w:t>
      </w:r>
    </w:p>
    <w:p>
      <w:pPr>
        <w:pStyle w:val="TextBody"/>
        <w:bidi w:val="0"/>
        <w:spacing w:lineRule="auto" w:line="288" w:before="0" w:after="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>(RULE 14a-101)</w:t>
      </w:r>
    </w:p>
    <w:p>
      <w:pPr>
        <w:pStyle w:val="TextBody"/>
        <w:bidi w:val="0"/>
        <w:spacing w:lineRule="auto" w:line="288" w:before="0" w:after="12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>INFORMATION REQUIRED IN PROXY STATEMENT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24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>SCHEDULE 14A INFORMATION</w:t>
      </w:r>
    </w:p>
    <w:p>
      <w:pPr>
        <w:pStyle w:val="TextBody"/>
        <w:bidi w:val="0"/>
        <w:spacing w:lineRule="auto" w:line="288" w:before="0" w:after="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 xml:space="preserve">Proxy Statement Pursuant to Section 14(a) of the </w:t>
      </w:r>
    </w:p>
    <w:p>
      <w:pPr>
        <w:pStyle w:val="TextBody"/>
        <w:bidi w:val="0"/>
        <w:spacing w:lineRule="auto" w:line="288" w:before="0" w:after="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 xml:space="preserve">Securities Exchange Act of 1934 </w:t>
      </w:r>
    </w:p>
    <w:p>
      <w:pPr>
        <w:pStyle w:val="TextBody"/>
        <w:bidi w:val="0"/>
        <w:spacing w:lineRule="auto" w:line="288" w:before="0" w:after="120"/>
        <w:jc w:val="center"/>
        <w:rPr>
          <w:rFonts w:ascii="DIN Next Rounded LT Pro;sans-serif" w:hAnsi="DIN Next Rounded LT Pro;sans-serif"/>
          <w:b/>
          <w:color w:val="4B4B4B"/>
          <w:sz w:val="24"/>
        </w:rPr>
      </w:pPr>
      <w:r>
        <w:rPr>
          <w:rFonts w:ascii="DIN Next Rounded LT Pro;sans-serif" w:hAnsi="DIN Next Rounded LT Pro;sans-serif"/>
          <w:b/>
          <w:color w:val="4B4B4B"/>
          <w:sz w:val="24"/>
        </w:rPr>
        <w:t xml:space="preserve">(Amendment No.     ) 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74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2"/>
        <w:gridCol w:w="836"/>
        <w:gridCol w:w="837"/>
        <w:gridCol w:w="109"/>
        <w:gridCol w:w="109"/>
        <w:gridCol w:w="109"/>
        <w:gridCol w:w="1308"/>
        <w:gridCol w:w="1308"/>
        <w:gridCol w:w="1854"/>
      </w:tblGrid>
      <w:tr>
        <w:trPr/>
        <w:tc>
          <w:tcPr>
            <w:tcW w:w="9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>Filed by the Registrant  ☒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>Filed by a Party other than the Registrant  ☐</w:t>
            </w:r>
          </w:p>
        </w:tc>
      </w:tr>
    </w:tbl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1"/>
        <w:gridCol w:w="432"/>
        <w:gridCol w:w="432"/>
        <w:gridCol w:w="2595"/>
        <w:gridCol w:w="2589"/>
        <w:gridCol w:w="3666"/>
      </w:tblGrid>
      <w:tr>
        <w:trPr/>
        <w:tc>
          <w:tcPr>
            <w:tcW w:w="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 xml:space="preserve">Check the appropriate box: </w:t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color w:val="4B4B4B"/>
              </w:rPr>
            </w:pPr>
            <w:r>
              <w:rPr>
                <w:color w:val="4B4B4B"/>
              </w:rPr>
              <w:t>☐</w:t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>Preliminary Proxy Statement</w:t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color w:val="4B4B4B"/>
              </w:rPr>
            </w:pPr>
            <w:r>
              <w:rPr>
                <w:color w:val="4B4B4B"/>
              </w:rPr>
              <w:t>☐</w:t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/>
                <w:color w:val="4B4B4B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color w:val="4B4B4B"/>
              </w:rPr>
            </w:pPr>
            <w:r>
              <w:rPr>
                <w:color w:val="4B4B4B"/>
              </w:rPr>
              <w:t>☐</w:t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>Definitive Proxy Statement</w:t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color w:val="4B4B4B"/>
              </w:rPr>
            </w:pPr>
            <w:r>
              <w:rPr>
                <w:color w:val="4B4B4B"/>
              </w:rPr>
              <w:t>☒</w:t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>Definitive Additional Materials</w:t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color w:val="4B4B4B"/>
              </w:rPr>
            </w:pPr>
            <w:r>
              <w:rPr>
                <w:color w:val="4B4B4B"/>
              </w:rPr>
              <w:t>☐</w:t>
            </w:r>
          </w:p>
        </w:tc>
        <w:tc>
          <w:tcPr>
            <w:tcW w:w="8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0" w:after="283"/>
              <w:jc w:val="left"/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</w:pPr>
            <w:r>
              <w:rPr>
                <w:rFonts w:ascii="DIN Next Rounded LT Pro;sans-serif" w:hAnsi="DIN Next Rounded LT Pro;sans-serif"/>
                <w:b w:val="false"/>
                <w:color w:val="4B4B4B"/>
                <w:sz w:val="20"/>
              </w:rPr>
              <w:t>Soliciting Material under § 240.14a-12</w:t>
            </w:r>
          </w:p>
        </w:tc>
      </w:tr>
    </w:tbl>
    <w:p>
      <w:pPr>
        <w:pStyle w:val="TextBody"/>
        <w:bidi w:val="0"/>
        <w:spacing w:lineRule="auto" w:line="288" w:before="0" w:after="180"/>
        <w:jc w:val="center"/>
        <w:rPr>
          <w:rFonts w:ascii="DIN Next Rounded LT Pro;sans-serif" w:hAnsi="DIN Next Rounded LT Pro;sans-serif"/>
          <w:b/>
          <w:color w:val="4B4B4B"/>
          <w:sz w:val="64"/>
        </w:rPr>
      </w:pPr>
      <w:r>
        <w:rPr>
          <w:rFonts w:ascii="DIN Next Rounded LT Pro;sans-serif" w:hAnsi="DIN Next Rounded LT Pro;sans-serif"/>
          <w:b/>
          <w:color w:val="4B4B4B"/>
          <w:sz w:val="64"/>
        </w:rPr>
        <w:t>Duolingo, Inc.</w:t>
      </w:r>
    </w:p>
    <w:p>
      <w:pPr>
        <w:pStyle w:val="TextBody"/>
        <w:bidi w:val="0"/>
        <w:spacing w:lineRule="auto" w:line="288" w:before="0" w:after="180"/>
        <w:jc w:val="center"/>
        <w:rPr>
          <w:rFonts w:ascii="DIN Next Rounded LT Pro;sans-serif" w:hAnsi="DIN Next Rounded LT Pro;sans-serif"/>
          <w:b/>
          <w:color w:val="4B4B4B"/>
          <w:sz w:val="20"/>
        </w:rPr>
      </w:pPr>
      <w:r>
        <w:rPr>
          <w:rFonts w:ascii="DIN Next Rounded LT Pro;sans-serif" w:hAnsi="DIN Next Rounded LT Pro;sans-serif"/>
          <w:b/>
          <w:color w:val="4B4B4B"/>
          <w:sz w:val="20"/>
        </w:rPr>
        <w:t xml:space="preserve">(Name of Registrant as Specified in its Charter) </w:t>
      </w:r>
    </w:p>
    <w:p>
      <w:pPr>
        <w:pStyle w:val="TextBody"/>
        <w:bidi w:val="0"/>
        <w:spacing w:lineRule="auto" w:line="288" w:before="0" w:after="600"/>
        <w:jc w:val="center"/>
        <w:rPr>
          <w:rFonts w:ascii="DIN Next Rounded LT Pro;sans-serif" w:hAnsi="DIN Next Rounded LT Pro;sans-serif"/>
          <w:b/>
          <w:color w:val="4B4B4B"/>
          <w:sz w:val="20"/>
        </w:rPr>
      </w:pPr>
      <w:r>
        <w:rPr>
          <w:rFonts w:ascii="DIN Next Rounded LT Pro;sans-serif" w:hAnsi="DIN Next Rounded LT Pro;sans-serif"/>
          <w:b/>
          <w:color w:val="4B4B4B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uto" w:line="312" w:before="0" w:after="180"/>
        <w:jc w:val="left"/>
        <w:rPr>
          <w:rFonts w:ascii="DIN Next Rounded LT Pro;sans-serif" w:hAnsi="DIN Next Rounded LT Pro;sans-serif"/>
          <w:b w:val="false"/>
          <w:color w:val="4B4B4B"/>
          <w:sz w:val="20"/>
        </w:rPr>
      </w:pPr>
      <w:r>
        <w:rPr>
          <w:rFonts w:ascii="DIN Next Rounded LT Pro;sans-serif" w:hAnsi="DIN Next Rounded LT Pro;sans-serif"/>
          <w:b w:val="false"/>
          <w:color w:val="4B4B4B"/>
          <w:sz w:val="20"/>
        </w:rPr>
        <w:t xml:space="preserve">Payment of Filing Fee (Check all boxes that apply): </w:t>
      </w:r>
    </w:p>
    <w:p>
      <w:pPr>
        <w:pStyle w:val="TextBody"/>
        <w:bidi w:val="0"/>
        <w:spacing w:lineRule="auto" w:line="312" w:before="0" w:after="0"/>
        <w:jc w:val="left"/>
        <w:rPr>
          <w:color w:val="4B4B4B"/>
        </w:rPr>
      </w:pPr>
      <w:r>
        <w:rPr>
          <w:color w:val="4B4B4B"/>
        </w:rPr>
        <w:t xml:space="preserve">☒ </w:t>
      </w:r>
      <w:r>
        <w:rPr>
          <w:rFonts w:ascii="DIN Next Rounded LT Pro;sans-serif" w:hAnsi="DIN Next Rounded LT Pro;sans-serif"/>
          <w:b w:val="false"/>
          <w:color w:val="4B4B4B"/>
          <w:sz w:val="20"/>
        </w:rPr>
        <w:t>No fee required.</w:t>
      </w:r>
    </w:p>
    <w:p>
      <w:pPr>
        <w:pStyle w:val="TextBody"/>
        <w:bidi w:val="0"/>
        <w:spacing w:lineRule="auto" w:line="312" w:before="0" w:after="0"/>
        <w:jc w:val="left"/>
        <w:rPr>
          <w:color w:val="4B4B4B"/>
        </w:rPr>
      </w:pPr>
      <w:r>
        <w:rPr>
          <w:color w:val="4B4B4B"/>
        </w:rPr>
        <w:t xml:space="preserve">☐ </w:t>
      </w:r>
      <w:r>
        <w:rPr>
          <w:rFonts w:ascii="DIN Next Rounded LT Pro;sans-serif" w:hAnsi="DIN Next Rounded LT Pro;sans-serif"/>
          <w:b w:val="false"/>
          <w:color w:val="4B4B4B"/>
          <w:sz w:val="20"/>
        </w:rPr>
        <w:t>Fee paid previously with preliminary materials.</w:t>
      </w:r>
    </w:p>
    <w:p>
      <w:pPr>
        <w:pStyle w:val="TextBody"/>
        <w:bidi w:val="0"/>
        <w:spacing w:lineRule="auto" w:line="312" w:before="0" w:after="180"/>
        <w:jc w:val="left"/>
        <w:rPr>
          <w:color w:val="4B4B4B"/>
        </w:rPr>
      </w:pPr>
      <w:r>
        <w:rPr>
          <w:color w:val="4B4B4B"/>
        </w:rPr>
        <w:t xml:space="preserve">☐ </w:t>
      </w:r>
      <w:r>
        <w:rPr>
          <w:rFonts w:ascii="DIN Next Rounded LT Pro;sans-serif" w:hAnsi="DIN Next Rounded LT Pro;sans-serif"/>
          <w:b w:val="false"/>
          <w:color w:val="4B4B4B"/>
          <w:sz w:val="20"/>
        </w:rPr>
        <w:t>Fee computed on table in exhibit required by Item 25(b) per Exchange Act Rules 14a-6(i)(1) and 0-11.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8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8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8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134100" cy="790575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790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8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8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8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6134100" cy="73628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8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8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DIN Next Rounded LT Pro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145</Words>
  <Characters>793</Characters>
  <CharactersWithSpaces>923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