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center"/>
        <w:rPr>
          <w:rFonts w:ascii="Arial;sans-serif" w:hAnsi="Arial;sans-serif"/>
          <w:b/>
          <w:color w:val="000000"/>
          <w:sz w:val="14"/>
        </w:rPr>
      </w:pPr>
      <w:r>
        <w:rPr>
          <w:rFonts w:ascii="Arial;sans-serif" w:hAnsi="Arial;sans-serif"/>
          <w:b/>
          <w:color w:val="000000"/>
          <w:sz w:val="14"/>
        </w:rPr>
        <w:t>UNITED STATES</w:t>
      </w:r>
    </w:p>
    <w:p>
      <w:pPr>
        <w:pStyle w:val="TextBody"/>
        <w:bidi w:val="0"/>
        <w:spacing w:lineRule="auto" w:line="312" w:before="0" w:after="0"/>
        <w:jc w:val="center"/>
        <w:rPr>
          <w:rFonts w:ascii="Arial;sans-serif" w:hAnsi="Arial;sans-serif"/>
          <w:b/>
          <w:color w:val="000000"/>
          <w:sz w:val="14"/>
        </w:rPr>
      </w:pPr>
      <w:r>
        <w:rPr>
          <w:rFonts w:ascii="Arial;sans-serif" w:hAnsi="Arial;sans-serif"/>
          <w:b/>
          <w:color w:val="000000"/>
          <w:sz w:val="14"/>
        </w:rPr>
        <w:t>SECURITIES AND EXCHANGE COMMISSION</w:t>
      </w:r>
    </w:p>
    <w:p>
      <w:pPr>
        <w:pStyle w:val="TextBody"/>
        <w:bidi w:val="0"/>
        <w:spacing w:lineRule="auto" w:line="312" w:before="0" w:after="0"/>
        <w:jc w:val="center"/>
        <w:rPr>
          <w:rFonts w:ascii="Arial;sans-serif" w:hAnsi="Arial;sans-serif"/>
          <w:b/>
          <w:color w:val="000000"/>
          <w:sz w:val="14"/>
        </w:rPr>
      </w:pPr>
      <w:r>
        <w:rPr>
          <w:rFonts w:ascii="Arial;sans-serif" w:hAnsi="Arial;sans-serif"/>
          <w:b/>
          <w:color w:val="000000"/>
          <w:sz w:val="14"/>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FORM 10-Q</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(Mark One)</w:t>
      </w:r>
    </w:p>
    <w:tbl>
      <w:tblPr>
        <w:tblW w:w="9716" w:type="dxa"/>
        <w:jc w:val="left"/>
        <w:tblInd w:w="0" w:type="dxa"/>
        <w:tblLayout w:type="fixed"/>
        <w:tblCellMar>
          <w:top w:w="28" w:type="dxa"/>
          <w:left w:w="28" w:type="dxa"/>
          <w:bottom w:w="28" w:type="dxa"/>
          <w:right w:w="28" w:type="dxa"/>
        </w:tblCellMar>
      </w:tblPr>
      <w:tblGrid>
        <w:gridCol w:w="124"/>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lineRule="auto" w:line="312" w:before="0" w:after="0"/>
        <w:jc w:val="center"/>
        <w:rPr/>
      </w:pPr>
      <w:r>
        <w:rPr>
          <w:rFonts w:ascii="Arial;sans-serif" w:hAnsi="Arial;sans-serif"/>
          <w:b w:val="false"/>
          <w:color w:val="000000"/>
          <w:sz w:val="18"/>
        </w:rPr>
        <w:t xml:space="preserve">For the </w:t>
      </w:r>
      <w:r>
        <w:rPr>
          <w:rFonts w:ascii="Arial;sans-serif" w:hAnsi="Arial;sans-serif"/>
          <w:b w:val="false"/>
          <w:color w:val="000000"/>
          <w:sz w:val="20"/>
        </w:rPr>
        <w:t>quarterly period ended</w:t>
      </w:r>
      <w:r>
        <w:rPr>
          <w:color w:val="000000"/>
        </w:rPr>
        <w:t xml:space="preserve"> </w:t>
      </w:r>
      <w:r>
        <w:rPr>
          <w:rFonts w:ascii="Arial;sans-serif" w:hAnsi="Arial;sans-serif"/>
          <w:b w:val="false"/>
          <w:color w:val="000000"/>
          <w:sz w:val="18"/>
        </w:rPr>
        <w:t>June 30, 2025</w:t>
      </w:r>
    </w:p>
    <w:p>
      <w:pPr>
        <w:pStyle w:val="TextBody"/>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OR</w:t>
      </w:r>
    </w:p>
    <w:tbl>
      <w:tblPr>
        <w:tblW w:w="9686" w:type="dxa"/>
        <w:jc w:val="left"/>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For the transition period from ___ to ___</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Commission file number 001-40653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44"/>
        </w:rPr>
      </w:pPr>
      <w:r>
        <w:rPr>
          <w:rFonts w:ascii="Arial;sans-serif" w:hAnsi="Arial;sans-serif"/>
          <w:b/>
          <w:color w:val="000000"/>
          <w:sz w:val="44"/>
        </w:rPr>
        <w:t>Duolingo, Inc.</w:t>
      </w:r>
    </w:p>
    <w:p>
      <w:pPr>
        <w:pStyle w:val="TextBody"/>
        <w:bidi w:val="0"/>
        <w:spacing w:lineRule="auto" w:line="312" w:before="0" w:after="0"/>
        <w:jc w:val="center"/>
        <w:rPr>
          <w:rFonts w:ascii="Arial;sans-serif" w:hAnsi="Arial;sans-serif"/>
          <w:b w:val="false"/>
          <w:color w:val="000000"/>
          <w:sz w:val="14"/>
        </w:rPr>
      </w:pPr>
      <w:r>
        <w:rPr>
          <w:rFonts w:ascii="Arial;sans-serif" w:hAnsi="Arial;sans-serif"/>
          <w:b w:val="false"/>
          <w:color w:val="000000"/>
          <w:sz w:val="14"/>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025" w:type="dxa"/>
        <w:jc w:val="center"/>
        <w:tblInd w:w="0" w:type="dxa"/>
        <w:tblLayout w:type="fixed"/>
        <w:tblCellMar>
          <w:top w:w="28" w:type="dxa"/>
          <w:left w:w="28" w:type="dxa"/>
          <w:bottom w:w="28" w:type="dxa"/>
          <w:right w:w="28" w:type="dxa"/>
        </w:tblCellMar>
      </w:tblPr>
      <w:tblGrid>
        <w:gridCol w:w="1350"/>
        <w:gridCol w:w="1182"/>
        <w:gridCol w:w="1203"/>
        <w:gridCol w:w="109"/>
        <w:gridCol w:w="109"/>
        <w:gridCol w:w="109"/>
        <w:gridCol w:w="109"/>
        <w:gridCol w:w="109"/>
        <w:gridCol w:w="109"/>
        <w:gridCol w:w="109"/>
        <w:gridCol w:w="109"/>
        <w:gridCol w:w="109"/>
        <w:gridCol w:w="676"/>
        <w:gridCol w:w="676"/>
        <w:gridCol w:w="957"/>
      </w:tblGrid>
      <w:tr>
        <w:trPr/>
        <w:tc>
          <w:tcPr>
            <w:tcW w:w="1350"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45-3055872</w:t>
            </w:r>
          </w:p>
        </w:tc>
      </w:tr>
      <w:tr>
        <w:trPr/>
        <w:tc>
          <w:tcPr>
            <w:tcW w:w="37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(I.R.S. Employer Identification No.)</w:t>
            </w:r>
          </w:p>
        </w:tc>
      </w:tr>
    </w:tbl>
    <w:p>
      <w:pPr>
        <w:pStyle w:val="TextBody"/>
        <w:bidi w:val="0"/>
        <w:spacing w:lineRule="auto" w:line="312" w:before="0" w:after="0"/>
        <w:jc w:val="center"/>
        <w:rPr>
          <w:rFonts w:ascii="Arial;sans-serif" w:hAnsi="Arial;sans-serif"/>
          <w:b/>
          <w:color w:val="000000"/>
          <w:sz w:val="14"/>
        </w:rPr>
      </w:pPr>
      <w:r>
        <w:rPr>
          <w:rFonts w:ascii="Arial;sans-serif" w:hAnsi="Arial;sans-serif"/>
          <w:b/>
          <w:color w:val="000000"/>
          <w:sz w:val="14"/>
        </w:rPr>
        <w:t xml:space="preserve">5900 Penn Avenue </w:t>
      </w:r>
    </w:p>
    <w:p>
      <w:pPr>
        <w:pStyle w:val="TextBody"/>
        <w:bidi w:val="0"/>
        <w:spacing w:lineRule="auto" w:line="312" w:before="0" w:after="0"/>
        <w:jc w:val="center"/>
        <w:rPr>
          <w:rFonts w:ascii="Arial;sans-serif" w:hAnsi="Arial;sans-serif"/>
          <w:b/>
          <w:color w:val="000000"/>
          <w:sz w:val="14"/>
        </w:rPr>
      </w:pPr>
      <w:r>
        <w:rPr>
          <w:rFonts w:ascii="Arial;sans-serif" w:hAnsi="Arial;sans-serif"/>
          <w:b/>
          <w:color w:val="000000"/>
          <w:sz w:val="14"/>
        </w:rPr>
        <w:t>Pittsburgh, Pennsylvania 15206</w:t>
      </w:r>
    </w:p>
    <w:p>
      <w:pPr>
        <w:pStyle w:val="TextBody"/>
        <w:bidi w:val="0"/>
        <w:spacing w:lineRule="auto" w:line="312" w:before="0" w:after="0"/>
        <w:jc w:val="center"/>
        <w:rPr>
          <w:rFonts w:ascii="Arial;sans-serif" w:hAnsi="Arial;sans-serif"/>
          <w:b/>
          <w:color w:val="000000"/>
          <w:sz w:val="14"/>
        </w:rPr>
      </w:pPr>
      <w:r>
        <w:rPr>
          <w:rFonts w:ascii="Arial;sans-serif" w:hAnsi="Arial;sans-serif"/>
          <w:b/>
          <w:color w:val="000000"/>
          <w:sz w:val="14"/>
        </w:rPr>
        <w:t>(412) 567-6602</w:t>
      </w:r>
    </w:p>
    <w:p>
      <w:pPr>
        <w:pStyle w:val="TextBody"/>
        <w:bidi w:val="0"/>
        <w:spacing w:lineRule="auto" w:line="312" w:before="0" w:after="0"/>
        <w:jc w:val="center"/>
        <w:rPr>
          <w:rFonts w:ascii="Arial;sans-serif" w:hAnsi="Arial;sans-serif"/>
          <w:b w:val="false"/>
          <w:color w:val="000000"/>
          <w:sz w:val="14"/>
        </w:rPr>
      </w:pPr>
      <w:r>
        <w:rPr>
          <w:rFonts w:ascii="Arial;sans-serif" w:hAnsi="Arial;sans-serif"/>
          <w:b w:val="false"/>
          <w:color w:val="000000"/>
          <w:sz w:val="14"/>
        </w:rPr>
        <w:t xml:space="preserve">(Address, Including Zip Code, and Telephone Number, Including </w:t>
      </w:r>
    </w:p>
    <w:p>
      <w:pPr>
        <w:pStyle w:val="TextBody"/>
        <w:bidi w:val="0"/>
        <w:spacing w:lineRule="auto" w:line="312" w:before="0" w:after="0"/>
        <w:jc w:val="center"/>
        <w:rPr>
          <w:rFonts w:ascii="Arial;sans-serif" w:hAnsi="Arial;sans-serif"/>
          <w:b w:val="false"/>
          <w:color w:val="000000"/>
          <w:sz w:val="14"/>
        </w:rPr>
      </w:pPr>
      <w:r>
        <w:rPr>
          <w:rFonts w:ascii="Arial;sans-serif" w:hAnsi="Arial;sans-serif"/>
          <w:b w:val="false"/>
          <w:color w:val="000000"/>
          <w:sz w:val="14"/>
        </w:rPr>
        <w:t xml:space="preserve">Area Code, of Registrant’s Principal Executive Offices)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left"/>
        <w:rPr>
          <w:rFonts w:ascii="Arial;sans-serif" w:hAnsi="Arial;sans-serif"/>
          <w:b w:val="false"/>
          <w:color w:val="000000"/>
          <w:sz w:val="14"/>
        </w:rPr>
      </w:pPr>
      <w:r>
        <w:rPr>
          <w:rFonts w:ascii="Arial;sans-serif" w:hAnsi="Arial;sans-serif"/>
          <w:b w:val="false"/>
          <w:color w:val="000000"/>
          <w:sz w:val="14"/>
        </w:rPr>
        <w:t xml:space="preserve">Securities registered pursuant to Section 12(b) of the Act: </w:t>
      </w:r>
    </w:p>
    <w:tbl>
      <w:tblPr>
        <w:tblW w:w="7018" w:type="dxa"/>
        <w:jc w:val="left"/>
        <w:tblInd w:w="0" w:type="dxa"/>
        <w:tblLayout w:type="fixed"/>
        <w:tblCellMar>
          <w:top w:w="28" w:type="dxa"/>
          <w:left w:w="28" w:type="dxa"/>
          <w:bottom w:w="28" w:type="dxa"/>
          <w:right w:w="28" w:type="dxa"/>
        </w:tblCellMar>
      </w:tblPr>
      <w:tblGrid>
        <w:gridCol w:w="995"/>
        <w:gridCol w:w="876"/>
        <w:gridCol w:w="889"/>
        <w:gridCol w:w="424"/>
        <w:gridCol w:w="424"/>
        <w:gridCol w:w="426"/>
        <w:gridCol w:w="872"/>
        <w:gridCol w:w="872"/>
        <w:gridCol w:w="1240"/>
      </w:tblGrid>
      <w:tr>
        <w:trPr/>
        <w:tc>
          <w:tcPr>
            <w:tcW w:w="99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Title of each class</w:t>
            </w:r>
          </w:p>
        </w:tc>
        <w:tc>
          <w:tcPr>
            <w:tcW w:w="12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Trading Symbol(s)</w:t>
            </w:r>
          </w:p>
        </w:tc>
        <w:tc>
          <w:tcPr>
            <w:tcW w:w="29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Name of each exchange on which registered</w:t>
            </w:r>
          </w:p>
        </w:tc>
      </w:tr>
      <w:tr>
        <w:trPr/>
        <w:tc>
          <w:tcPr>
            <w:tcW w:w="27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Class A common stock, $0.0001 per share</w:t>
            </w:r>
          </w:p>
        </w:tc>
        <w:tc>
          <w:tcPr>
            <w:tcW w:w="12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DUOL</w:t>
            </w:r>
          </w:p>
        </w:tc>
        <w:tc>
          <w:tcPr>
            <w:tcW w:w="298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180"/>
              <w:jc w:val="center"/>
              <w:rPr>
                <w:color w:val="000000"/>
              </w:rPr>
            </w:pPr>
            <w:r>
              <w:rPr>
                <w:color w:val="000000"/>
              </w:rPr>
              <w:t> </w:t>
            </w:r>
            <w:r>
              <w:rPr>
                <w:rFonts w:ascii="Arial;sans-serif" w:hAnsi="Arial;sans-serif"/>
                <w:b w:val="false"/>
                <w:color w:val="000000"/>
                <w:sz w:val="14"/>
              </w:rPr>
              <w:t>The Nasdaq Stock Market LLC</w:t>
            </w:r>
          </w:p>
        </w:tc>
      </w:tr>
    </w:tbl>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4"/>
        </w:rPr>
      </w:pPr>
      <w:r>
        <w:rPr>
          <w:rFonts w:ascii="Arial;sans-serif" w:hAnsi="Arial;sans-serif"/>
          <w:b w:val="false"/>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br/>
        <w:t>Yes ☒ No ☐ </w:t>
      </w:r>
    </w:p>
    <w:p>
      <w:pPr>
        <w:pStyle w:val="TextBody"/>
        <w:bidi w:val="0"/>
        <w:spacing w:lineRule="auto" w:line="312" w:before="0" w:after="0"/>
        <w:jc w:val="left"/>
        <w:rPr>
          <w:rFonts w:ascii="Arial;sans-serif" w:hAnsi="Arial;sans-serif"/>
          <w:b w:val="false"/>
          <w:color w:val="000000"/>
          <w:sz w:val="14"/>
        </w:rPr>
      </w:pPr>
      <w:r>
        <w:rPr>
          <w:rFonts w:ascii="Arial;sans-serif" w:hAnsi="Arial;sans-serif"/>
          <w:b w:val="false"/>
          <w:color w:val="000000"/>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312" w:before="0" w:after="0"/>
        <w:jc w:val="left"/>
        <w:rPr>
          <w:rFonts w:ascii="Arial;sans-serif" w:hAnsi="Arial;sans-serif"/>
          <w:b w:val="false"/>
          <w:color w:val="000000"/>
          <w:sz w:val="14"/>
        </w:rPr>
      </w:pPr>
      <w:r>
        <w:rPr>
          <w:rFonts w:ascii="Arial;sans-serif" w:hAnsi="Arial;sans-serif"/>
          <w:b w:val="false"/>
          <w:color w:val="000000"/>
          <w:sz w:val="14"/>
        </w:rPr>
        <w:t>Yes ☒ No ☐ </w:t>
      </w:r>
    </w:p>
    <w:p>
      <w:pPr>
        <w:pStyle w:val="TextBody"/>
        <w:bidi w:val="0"/>
        <w:spacing w:lineRule="auto" w:line="268" w:before="0" w:after="0"/>
        <w:jc w:val="left"/>
        <w:rPr>
          <w:rFonts w:ascii="Arial;sans-serif" w:hAnsi="Arial;sans-serif"/>
          <w:b w:val="false"/>
          <w:color w:val="000000"/>
          <w:sz w:val="14"/>
        </w:rPr>
      </w:pPr>
      <w:r>
        <w:rPr>
          <w:rFonts w:ascii="Arial;sans-serif" w:hAnsi="Arial;sans-serif"/>
          <w:b w:val="false"/>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266" w:type="dxa"/>
        <w:jc w:val="left"/>
        <w:tblInd w:w="0" w:type="dxa"/>
        <w:tblLayout w:type="fixed"/>
        <w:tblCellMar>
          <w:top w:w="28" w:type="dxa"/>
          <w:left w:w="28" w:type="dxa"/>
          <w:bottom w:w="28" w:type="dxa"/>
          <w:right w:w="28" w:type="dxa"/>
        </w:tblCellMar>
      </w:tblPr>
      <w:tblGrid>
        <w:gridCol w:w="542"/>
        <w:gridCol w:w="478"/>
        <w:gridCol w:w="480"/>
        <w:gridCol w:w="109"/>
        <w:gridCol w:w="109"/>
        <w:gridCol w:w="109"/>
        <w:gridCol w:w="109"/>
        <w:gridCol w:w="109"/>
        <w:gridCol w:w="109"/>
        <w:gridCol w:w="579"/>
        <w:gridCol w:w="579"/>
        <w:gridCol w:w="582"/>
        <w:gridCol w:w="109"/>
        <w:gridCol w:w="109"/>
        <w:gridCol w:w="154"/>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bl>
    <w:p>
      <w:pPr>
        <w:pStyle w:val="TextBody"/>
        <w:bidi w:val="0"/>
        <w:spacing w:lineRule="auto" w:line="312" w:before="0" w:after="0"/>
        <w:jc w:val="left"/>
        <w:rPr>
          <w:rFonts w:ascii="Arial;sans-serif" w:hAnsi="Arial;sans-serif"/>
          <w:b w:val="false"/>
          <w:color w:val="000000"/>
          <w:sz w:val="14"/>
        </w:rPr>
      </w:pPr>
      <w:r>
        <w:rPr>
          <w:rFonts w:ascii="Arial;sans-serif" w:hAnsi="Arial;sans-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jc w:val="left"/>
        <w:rPr>
          <w:rFonts w:ascii="Arial;sans-serif" w:hAnsi="Arial;sans-serif"/>
          <w:b w:val="false"/>
          <w:color w:val="000000"/>
          <w:sz w:val="14"/>
        </w:rPr>
      </w:pPr>
      <w:r>
        <w:rPr>
          <w:rFonts w:ascii="Arial;sans-serif" w:hAnsi="Arial;sans-serif"/>
          <w:b w:val="false"/>
          <w:color w:val="000000"/>
          <w:sz w:val="14"/>
        </w:rPr>
        <w:t>Indicate by check mark whether the registrant is a shell company (as defined in Rule 12b-2 of the Act). Yes ☐   No  ☒</w:t>
      </w:r>
    </w:p>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As of August 5, 2025, 39,694,545 shares of the registrant's Class A common stock were outstanding, and 6,127,362 shares of the registrant's Class B common stock were outstanding.</w:t>
      </w:r>
    </w:p>
    <w:p>
      <w:pPr>
        <w:pStyle w:val="TextBody"/>
        <w:bidi w:val="0"/>
        <w:spacing w:before="0" w:after="18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left"/>
        <w:rPr>
          <w:rFonts w:ascii="Arial;sans-serif" w:hAnsi="Arial;sans-serif"/>
          <w:b/>
          <w:color w:val="000000"/>
          <w:sz w:val="20"/>
        </w:rPr>
      </w:pPr>
      <w:bookmarkStart w:id="0" w:name="icaaff9db654c46d3afa4d7fdaec2d5fc"/>
      <w:bookmarkEnd w:id="0"/>
      <w:r>
        <w:rPr>
          <w:rFonts w:ascii="Arial;sans-serif" w:hAnsi="Arial;sans-serif"/>
          <w:b/>
          <w:color w:val="000000"/>
          <w:sz w:val="20"/>
        </w:rPr>
        <w:t>Table of Contents                                         Page</w:t>
      </w:r>
    </w:p>
    <w:tbl>
      <w:tblPr>
        <w:tblW w:w="8306" w:type="dxa"/>
        <w:jc w:val="left"/>
        <w:tblInd w:w="0" w:type="dxa"/>
        <w:tblLayout w:type="fixed"/>
        <w:tblCellMar>
          <w:top w:w="28" w:type="dxa"/>
          <w:left w:w="28" w:type="dxa"/>
          <w:bottom w:w="28" w:type="dxa"/>
          <w:right w:w="28" w:type="dxa"/>
        </w:tblCellMar>
      </w:tblPr>
      <w:tblGrid>
        <w:gridCol w:w="2873"/>
        <w:gridCol w:w="2528"/>
        <w:gridCol w:w="2533"/>
        <w:gridCol w:w="109"/>
        <w:gridCol w:w="109"/>
        <w:gridCol w:w="154"/>
      </w:tblGrid>
      <w:tr>
        <w:trPr/>
        <w:tc>
          <w:tcPr>
            <w:tcW w:w="2873"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db52edfbba42eca8f02d2a3bf21317">
              <w:r>
                <w:rPr>
                  <w:rStyle w:val="InternetLink"/>
                  <w:rFonts w:ascii="Arial;sans-serif" w:hAnsi="Arial;sans-serif"/>
                  <w:b w:val="false"/>
                  <w:color w:val="0E32E1"/>
                  <w:sz w:val="18"/>
                  <w:u w:val="single"/>
                </w:rPr>
                <w:t>Special Note Regarding 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db52edfbba42eca8f02d2a3bf21317">
              <w:r>
                <w:rPr>
                  <w:rStyle w:val="InternetLink"/>
                  <w:rFonts w:ascii="Arial;sans-serif" w:hAnsi="Arial;sans-serif"/>
                  <w:b w:val="false"/>
                  <w:color w:val="0E32E1"/>
                  <w:sz w:val="18"/>
                  <w:u w:val="single"/>
                </w:rPr>
                <w:t>2</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71ce8f1323543af9e37582b3ce4de73">
              <w:r>
                <w:rPr>
                  <w:rStyle w:val="InternetLink"/>
                  <w:rFonts w:ascii="Arial;sans-serif" w:hAnsi="Arial;sans-serif"/>
                  <w:b w:val="false"/>
                  <w:color w:val="0E32E1"/>
                  <w:sz w:val="18"/>
                  <w:u w:val="single"/>
                </w:rPr>
                <w:t>Special Note Regarding Key Operating Metrics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71ce8f1323543af9e37582b3ce4de73">
              <w:r>
                <w:rPr>
                  <w:rStyle w:val="InternetLink"/>
                  <w:rFonts w:ascii="Arial;sans-serif" w:hAnsi="Arial;sans-serif"/>
                  <w:b w:val="false"/>
                  <w:color w:val="0E32E1"/>
                  <w:sz w:val="18"/>
                  <w:u w:val="single"/>
                </w:rPr>
                <w:t>4</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9f66efd8ff4f69b6a84b2d4e87c1b2">
              <w:r>
                <w:rPr>
                  <w:rStyle w:val="InternetLink"/>
                  <w:rFonts w:ascii="Arial;sans-serif" w:hAnsi="Arial;sans-serif"/>
                  <w:b w:val="false"/>
                  <w:color w:val="0E32E1"/>
                  <w:sz w:val="18"/>
                  <w:u w:val="single"/>
                </w:rPr>
                <w:t>Part I 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9f66efd8ff4f69b6a84b2d4e87c1b2">
              <w:r>
                <w:rPr>
                  <w:rStyle w:val="InternetLink"/>
                  <w:rFonts w:ascii="Arial;sans-serif" w:hAnsi="Arial;sans-serif"/>
                  <w:b w:val="false"/>
                  <w:color w:val="0E32E1"/>
                  <w:sz w:val="18"/>
                  <w:u w:val="single"/>
                </w:rPr>
                <w:t>5</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b09228ad0b04e5da1be07e8f93b3d3a">
              <w:r>
                <w:rPr>
                  <w:rStyle w:val="InternetLink"/>
                  <w:rFonts w:ascii="Arial;sans-serif" w:hAnsi="Arial;sans-serif"/>
                  <w:b w:val="false"/>
                  <w:color w:val="0E32E1"/>
                  <w:sz w:val="18"/>
                  <w:u w:val="single"/>
                </w:rPr>
                <w:t>Item 1. 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b09228ad0b04e5da1be07e8f93b3d3a">
              <w:r>
                <w:rPr>
                  <w:rStyle w:val="InternetLink"/>
                  <w:rFonts w:ascii="Arial;sans-serif" w:hAnsi="Arial;sans-serif"/>
                  <w:b w:val="false"/>
                  <w:color w:val="0E32E1"/>
                  <w:sz w:val="18"/>
                  <w:u w:val="single"/>
                </w:rPr>
                <w:t>5</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b21ca3098e6400391a055ebdd246a01">
              <w:r>
                <w:rPr>
                  <w:rStyle w:val="InternetLink"/>
                  <w:rFonts w:ascii="Arial;sans-serif" w:hAnsi="Arial;sans-serif"/>
                  <w:b w:val="false"/>
                  <w:color w:val="0E32E1"/>
                  <w:sz w:val="18"/>
                  <w:u w:val="singl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b21ca3098e6400391a055ebdd246a01">
              <w:r>
                <w:rPr>
                  <w:rStyle w:val="InternetLink"/>
                  <w:rFonts w:ascii="Arial;sans-serif" w:hAnsi="Arial;sans-serif"/>
                  <w:b w:val="false"/>
                  <w:color w:val="0E32E1"/>
                  <w:sz w:val="18"/>
                  <w:u w:val="single"/>
                </w:rPr>
                <w:t>24</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f0dfc2889dd462a8eddc98d7d6505e9">
              <w:r>
                <w:rPr>
                  <w:rStyle w:val="InternetLink"/>
                  <w:rFonts w:ascii="Arial;sans-serif" w:hAnsi="Arial;sans-serif"/>
                  <w:b w:val="false"/>
                  <w:color w:val="0E32E1"/>
                  <w:sz w:val="18"/>
                  <w:u w:val="single"/>
                </w:rPr>
                <w:t>Item 3.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f0dfc2889dd462a8eddc98d7d6505e9">
              <w:r>
                <w:rPr>
                  <w:rStyle w:val="InternetLink"/>
                  <w:rFonts w:ascii="Arial;sans-serif" w:hAnsi="Arial;sans-serif"/>
                  <w:b w:val="false"/>
                  <w:color w:val="0E32E1"/>
                  <w:sz w:val="18"/>
                  <w:u w:val="single"/>
                </w:rPr>
                <w:t>37</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8743a8563df4529aa3d6bd63bd64951">
              <w:r>
                <w:rPr>
                  <w:rStyle w:val="InternetLink"/>
                  <w:rFonts w:ascii="Arial;sans-serif" w:hAnsi="Arial;sans-serif"/>
                  <w:b w:val="false"/>
                  <w:color w:val="0E32E1"/>
                  <w:sz w:val="18"/>
                  <w:u w:val="singl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8743a8563df4529aa3d6bd63bd64951">
              <w:r>
                <w:rPr>
                  <w:rStyle w:val="InternetLink"/>
                  <w:rFonts w:ascii="Arial;sans-serif" w:hAnsi="Arial;sans-serif"/>
                  <w:b w:val="false"/>
                  <w:color w:val="0E32E1"/>
                  <w:sz w:val="18"/>
                  <w:u w:val="single"/>
                </w:rPr>
                <w:t>38</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a2ebce85904a6fb7101c8580340f38">
              <w:r>
                <w:rPr>
                  <w:rStyle w:val="InternetLink"/>
                  <w:rFonts w:ascii="Arial;sans-serif" w:hAnsi="Arial;sans-serif"/>
                  <w:b w:val="false"/>
                  <w:color w:val="0E32E1"/>
                  <w:sz w:val="18"/>
                  <w:u w:val="single"/>
                </w:rPr>
                <w:t>Part II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aa2ebce85904a6fb7101c8580340f38">
              <w:r>
                <w:rPr>
                  <w:rStyle w:val="InternetLink"/>
                  <w:rFonts w:ascii="Arial;sans-serif" w:hAnsi="Arial;sans-serif"/>
                  <w:b w:val="false"/>
                  <w:color w:val="0E32E1"/>
                  <w:sz w:val="18"/>
                  <w:u w:val="single"/>
                </w:rPr>
                <w:t>39</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900f970fc74548bf36473949017cf4">
              <w:r>
                <w:rPr>
                  <w:rStyle w:val="InternetLink"/>
                  <w:rFonts w:ascii="Arial;sans-serif" w:hAnsi="Arial;sans-serif"/>
                  <w:b w:val="false"/>
                  <w:color w:val="0E32E1"/>
                  <w:sz w:val="18"/>
                  <w:u w:val="single"/>
                </w:rPr>
                <w:t>Item 1.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900f970fc74548bf36473949017cf4">
              <w:r>
                <w:rPr>
                  <w:rStyle w:val="InternetLink"/>
                  <w:rFonts w:ascii="Arial;sans-serif" w:hAnsi="Arial;sans-serif"/>
                  <w:b w:val="false"/>
                  <w:color w:val="0E32E1"/>
                  <w:sz w:val="18"/>
                  <w:u w:val="single"/>
                </w:rPr>
                <w:t>39</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3ca2772e5114614b995930a82efdf2c">
              <w:r>
                <w:rPr>
                  <w:rStyle w:val="InternetLink"/>
                  <w:rFonts w:ascii="Arial;sans-serif" w:hAnsi="Arial;sans-serif"/>
                  <w:b w:val="false"/>
                  <w:color w:val="0E32E1"/>
                  <w:sz w:val="18"/>
                  <w:u w:val="single"/>
                </w:rPr>
                <w:t>Item 1A.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3ca2772e5114614b995930a82efdf2c">
              <w:r>
                <w:rPr>
                  <w:rStyle w:val="InternetLink"/>
                  <w:rFonts w:ascii="Arial;sans-serif" w:hAnsi="Arial;sans-serif"/>
                  <w:b w:val="false"/>
                  <w:color w:val="0E32E1"/>
                  <w:sz w:val="18"/>
                  <w:u w:val="single"/>
                </w:rPr>
                <w:t>39</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1c90d52794464b9a1d0d8c0ae9729a">
              <w:r>
                <w:rPr>
                  <w:rStyle w:val="InternetLink"/>
                  <w:rFonts w:ascii="Arial;sans-serif" w:hAnsi="Arial;sans-serif"/>
                  <w:b w:val="false"/>
                  <w:color w:val="0E32E1"/>
                  <w:sz w:val="18"/>
                  <w:u w:val="single"/>
                </w:rPr>
                <w:t>Item 2. 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11c90d52794464b9a1d0d8c0ae9729a">
              <w:r>
                <w:rPr>
                  <w:rStyle w:val="InternetLink"/>
                  <w:rFonts w:ascii="Arial;sans-serif" w:hAnsi="Arial;sans-serif"/>
                  <w:b w:val="false"/>
                  <w:color w:val="0E32E1"/>
                  <w:sz w:val="18"/>
                  <w:u w:val="single"/>
                </w:rPr>
                <w:t>39</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63fda1534f4bd08cf216107774aaf0">
              <w:r>
                <w:rPr>
                  <w:rStyle w:val="InternetLink"/>
                  <w:rFonts w:ascii="Arial;sans-serif" w:hAnsi="Arial;sans-serif"/>
                  <w:b w:val="false"/>
                  <w:color w:val="0E32E1"/>
                  <w:sz w:val="18"/>
                  <w:u w:val="single"/>
                </w:rPr>
                <w:t>Item 3. 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d63fda1534f4bd08cf216107774aaf0">
              <w:r>
                <w:rPr>
                  <w:rStyle w:val="InternetLink"/>
                  <w:rFonts w:ascii="Arial;sans-serif" w:hAnsi="Arial;sans-serif"/>
                  <w:b w:val="false"/>
                  <w:color w:val="0E32E1"/>
                  <w:sz w:val="18"/>
                  <w:u w:val="single"/>
                </w:rPr>
                <w:t>39</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bb263b031f44d1a8ff114ddea7cc129">
              <w:r>
                <w:rPr>
                  <w:rStyle w:val="InternetLink"/>
                  <w:rFonts w:ascii="Arial;sans-serif" w:hAnsi="Arial;sans-serif"/>
                  <w:b w:val="false"/>
                  <w:color w:val="0E32E1"/>
                  <w:sz w:val="18"/>
                  <w:u w:val="single"/>
                </w:rPr>
                <w:t>Item 4. 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bb263b031f44d1a8ff114ddea7cc129">
              <w:r>
                <w:rPr>
                  <w:rStyle w:val="InternetLink"/>
                  <w:rFonts w:ascii="Arial;sans-serif" w:hAnsi="Arial;sans-serif"/>
                  <w:b w:val="false"/>
                  <w:color w:val="0E32E1"/>
                  <w:sz w:val="18"/>
                  <w:u w:val="single"/>
                </w:rPr>
                <w:t>39</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d9f2188d2ab42c5bb9ecc44a15acd87">
              <w:r>
                <w:rPr>
                  <w:rStyle w:val="InternetLink"/>
                  <w:rFonts w:ascii="Arial;sans-serif" w:hAnsi="Arial;sans-serif"/>
                  <w:b w:val="false"/>
                  <w:color w:val="0E32E1"/>
                  <w:sz w:val="18"/>
                  <w:u w:val="single"/>
                </w:rPr>
                <w:t>Item 5.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d9f2188d2ab42c5bb9ecc44a15acd87">
              <w:r>
                <w:rPr>
                  <w:rStyle w:val="InternetLink"/>
                  <w:rFonts w:ascii="Arial;sans-serif" w:hAnsi="Arial;sans-serif"/>
                  <w:b w:val="false"/>
                  <w:color w:val="0E32E1"/>
                  <w:sz w:val="18"/>
                  <w:u w:val="single"/>
                </w:rPr>
                <w:t>39</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15984aca8a14a0c9e6feb3142ad9088">
              <w:r>
                <w:rPr>
                  <w:rStyle w:val="InternetLink"/>
                  <w:rFonts w:ascii="Arial;sans-serif" w:hAnsi="Arial;sans-serif"/>
                  <w:b w:val="false"/>
                  <w:color w:val="0E32E1"/>
                  <w:sz w:val="18"/>
                  <w:u w:val="single"/>
                </w:rPr>
                <w:t>Item 6. 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15984aca8a14a0c9e6feb3142ad9088">
              <w:r>
                <w:rPr>
                  <w:rStyle w:val="InternetLink"/>
                  <w:rFonts w:ascii="Arial;sans-serif" w:hAnsi="Arial;sans-serif"/>
                  <w:b w:val="false"/>
                  <w:color w:val="0E32E1"/>
                  <w:sz w:val="18"/>
                  <w:u w:val="single"/>
                </w:rPr>
                <w:t>41</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82f0cacc3384d728b1e8fd3188adb26">
              <w:r>
                <w:rPr>
                  <w:rStyle w:val="InternetLink"/>
                  <w:rFonts w:ascii="Arial;sans-serif" w:hAnsi="Arial;sans-serif"/>
                  <w:b w:val="false"/>
                  <w:color w:val="0E32E1"/>
                  <w:sz w:val="18"/>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82f0cacc3384d728b1e8fd3188adb26">
              <w:r>
                <w:rPr>
                  <w:rStyle w:val="InternetLink"/>
                  <w:rFonts w:ascii="Arial;sans-serif" w:hAnsi="Arial;sans-serif"/>
                  <w:b w:val="false"/>
                  <w:color w:val="0E32E1"/>
                  <w:sz w:val="18"/>
                  <w:u w:val="single"/>
                </w:rPr>
                <w:t>42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left"/>
        <w:rPr>
          <w:rFonts w:ascii="Arial;sans-serif" w:hAnsi="Arial;sans-serif"/>
          <w:b/>
          <w:color w:val="000000"/>
          <w:sz w:val="20"/>
        </w:rPr>
      </w:pPr>
      <w:bookmarkStart w:id="1" w:name="i84db52edfbba42eca8f02d2a3bf21317"/>
      <w:bookmarkEnd w:id="1"/>
      <w:r>
        <w:rPr>
          <w:rFonts w:ascii="Arial;sans-serif" w:hAnsi="Arial;sans-serif"/>
          <w:b/>
          <w:color w:val="000000"/>
          <w:sz w:val="20"/>
        </w:rPr>
        <w:t>Special Note Regarding Forward-Looking Statements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including without limitation, statements regarding our business model and strategic plans, including the introduction of new products, and our implementation thereof; statements regarding our expectations, beliefs, plans, objectives, prospects, assumptions, future events or expected performance, including our ability to compete in our industry; the sufficiency of our cash, cash equivalents and investments; and the plans and objectives of management for future operations and capital expenditures are forward-looking statements. We caution you that the foregoing list does not contain all of the forward-looking statements made in this Quarterly Report on Form 10-Q.</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Without limiting the generality of the foregoing,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Such forward-looking statements are neither promises nor guarantees, but involve a number of known and unknown risks, uncertainties and assumptions that may cause our actual results, performance or achievements to differ materially from those expressed or implied in the forward-looking statements due to various factors, including, but not limited to:</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our ability to retain and grow our users and sustain their engagement with our products;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competition in the online language learning industry;</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our ability to maintain profitability;</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our ability to manage our growth and operate at such scale;</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the success of our investments;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our ability to accurately predict our quarterly operating results and other operating metrics;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our ability to accurately measure our user metrics and other operating metrics;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our reliance on third-party platforms to store and distribute our products and collect revenue;</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the success of our development, implementation and use of artificial intelligence and machine learning technologies;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our reliance on third-party hosting and cloud computing providers;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our ability to compete for advertisements;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acceptance by educational organizations of technology-based education;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changes in our business and macroeconomic conditions;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the accuracy of market research published about the Company by third-party data scraping services;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those identified in Part I, Item 2. “Management’s Discussion and Analysis of Financial Condition and Results of Operations in this Quarterly Report on Form 10-Q;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those identified in Part I, Item 1A. “Risk Factors” and Part II, Item 7. “Management’s Discussion and Analysis of Financial Condition and Results of Operations” in our Annual Report on Form 10-K for the fiscal year ended December 31, 2024 (the “Annual Report on Form 10-K”).</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financial condition, results of operations and prospects. These statements are based upon information available to us as of the date of this Quarterly Report on Form 10-Q and, although we believe that we have a reasonable basis for each forward-looking statement contained in this Quarterly Report on Form 10-Q, such information may be limited or incomplete, and our statements should not be read to indicate that we have conducted an exhaustive inquiry into, or review of, all potentially available relevant information. We cannot guarantee that the future results, levels of activity, performance, or events and circumstances reflected in the forward-looking statements will be achieved or occur at all. Moreover, we operate in a very competitive and rapidly changing environment. The results, events, and circumstances reflected in the forward-looking statements may not be achieved or occur, and actual results, events, or circumstances could differ materially from those described in the forward-looking statements. You should not place undue reliance on our forward-looking statements.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The forward-looking statements made in this Quarterly Report on Form 10-Q relate only to events as of the date on which the statements are made. While we may elect to update such forward-looking statements at some point in the future, unless required by applicable law, we disclaim any obligation to do so, even if subsequent events cause our views to change.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You should read this Quarterly Report on Form 10-Q and the documents that we reference in this Quarterly Report on Form 10-Q completely and with the understanding that our actual future results may be materially different from what we expect. We qualify all of the forward-looking statements in this Quarterly Report on Form 10-Q by these cautionary statements.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Unless the context otherwise requires, all references in this Quarterly Report on Form 10-Q to “Duolingo,” the “Company”, “we,” “our,” “us,” or similar terms refer to Duolingo, Inc.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left"/>
        <w:rPr>
          <w:rFonts w:ascii="Arial;sans-serif" w:hAnsi="Arial;sans-serif"/>
          <w:b/>
          <w:color w:val="000000"/>
          <w:sz w:val="20"/>
        </w:rPr>
      </w:pPr>
      <w:bookmarkStart w:id="2" w:name="i771ce8f1323543af9e37582b3ce4de73"/>
      <w:bookmarkEnd w:id="2"/>
      <w:r>
        <w:rPr>
          <w:rFonts w:ascii="Arial;sans-serif" w:hAnsi="Arial;sans-serif"/>
          <w:b/>
          <w:color w:val="000000"/>
          <w:sz w:val="20"/>
        </w:rPr>
        <w:t>Special Note Regarding Key Operating Metrics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We manage our business by tracking several operating metrics, including monthly active users (MAUs), daily active users (DAUs), paid subscribers, subscription bookings, and total bookings. We believe each of these operating metrics provides useful information to investors and others. For information concerning these metrics as measured by us, see Part I, Item 2. “Management’s Discussion and Analysis of Financial Condition and Results of Operations - Key Operating Metrics and Non-GAAP Financial Measures.”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While these metrics are based on what we believe to be reasonable estimates of our user base for the applicable period of measurement, there are inherent challenges in measuring how our platform is used. These metrics are determined by using internal data gathered on an analytics platform that we developed and operate and have not been validated by an independent third party. This platform tracks user account and session activity. If we fail to maintain an effective analytics platform, our metrics calculations may be inaccurate.</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We believe that these metrics are reasonable estimates of our user base for the applicable period of measurement, and that the methodologies we employ and update from time-to-time to create these metrics are reasonable bases to identify trends in user behavior. Because we update the methodologies we employ to create metrics, our operating metrics may not be comparable to those in prior periods. See “Risk Factors—Our user metrics and other operating metrics are subject to inherent challenges in measurement, and real or perceived inaccuracies in those metrics may negatively affect our reputation and our business” included in the Annual Report on Form 10-K. Other companies, including companies in our industry, may calculate these metrics differently.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left"/>
        <w:rPr>
          <w:rFonts w:ascii="Arial;sans-serif" w:hAnsi="Arial;sans-serif"/>
          <w:b/>
          <w:color w:val="000000"/>
          <w:sz w:val="20"/>
        </w:rPr>
      </w:pPr>
      <w:bookmarkStart w:id="3" w:name="iab9f66efd8ff4f69b6a84b2d4e87c1b2"/>
      <w:bookmarkEnd w:id="3"/>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bookmarkStart w:id="4" w:name="i5b09228ad0b04e5da1be07e8f93b3d3a"/>
      <w:bookmarkEnd w:id="4"/>
      <w:r>
        <w:rPr>
          <w:rFonts w:ascii="Arial;sans-serif" w:hAnsi="Arial;sans-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DUOLINGO, INC. AND SUBSIDIARIES</w:t>
        <w:br/>
        <w:t>UNAUDITED CONDENSED CONSOLIDATED BALANCE SHEETS</w:t>
      </w:r>
    </w:p>
    <w:p>
      <w:pPr>
        <w:pStyle w:val="TextBody"/>
        <w:bidi w:val="0"/>
        <w:spacing w:lineRule="auto" w:line="288" w:before="0" w:after="180"/>
        <w:jc w:val="center"/>
        <w:rPr>
          <w:rFonts w:ascii="Arial;sans-serif" w:hAnsi="Arial;sans-serif"/>
          <w:b w:val="false"/>
          <w:i/>
          <w:color w:val="000000"/>
          <w:sz w:val="20"/>
        </w:rPr>
      </w:pPr>
      <w:r>
        <w:rPr>
          <w:rFonts w:ascii="Arial;sans-serif" w:hAnsi="Arial;sans-serif"/>
          <w:b w:val="false"/>
          <w:i/>
          <w:color w:val="000000"/>
          <w:sz w:val="20"/>
        </w:rPr>
        <w:t>(Amounts in thousands, except par value amounts)</w:t>
      </w:r>
    </w:p>
    <w:tbl>
      <w:tblPr>
        <w:tblW w:w="10205" w:type="dxa"/>
        <w:jc w:val="center"/>
        <w:tblInd w:w="0" w:type="dxa"/>
        <w:tblLayout w:type="fixed"/>
        <w:tblCellMar>
          <w:top w:w="28" w:type="dxa"/>
          <w:left w:w="28" w:type="dxa"/>
          <w:bottom w:w="28" w:type="dxa"/>
          <w:right w:w="28" w:type="dxa"/>
        </w:tblCellMar>
      </w:tblPr>
      <w:tblGrid>
        <w:gridCol w:w="2939"/>
        <w:gridCol w:w="2070"/>
        <w:gridCol w:w="2069"/>
        <w:gridCol w:w="211"/>
        <w:gridCol w:w="1021"/>
        <w:gridCol w:w="109"/>
        <w:gridCol w:w="109"/>
        <w:gridCol w:w="109"/>
        <w:gridCol w:w="109"/>
        <w:gridCol w:w="221"/>
        <w:gridCol w:w="1074"/>
        <w:gridCol w:w="164"/>
      </w:tblGrid>
      <w:tr>
        <w:trPr/>
        <w:tc>
          <w:tcPr>
            <w:tcW w:w="2939"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70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3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976,231 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785,791 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91,854 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112,919 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128,923 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cost of revenues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80,162 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70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14,858 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1,323,990 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1,101,588 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80,987 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47,495 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investments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98,292 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19,899 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18,943 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10,538 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 net</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1,542,559</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1,301,728</w:t>
            </w:r>
            <w:r>
              <w:rPr>
                <w:color w:val="000000"/>
              </w:rPr>
              <w:t> </w:t>
            </w:r>
          </w:p>
        </w:tc>
        <w:tc>
          <w:tcPr>
            <w:tcW w:w="1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431,177 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372,884 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payable</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6,591 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36,375 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2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471,383 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422,231 </w:t>
            </w:r>
          </w:p>
        </w:tc>
        <w:tc>
          <w:tcPr>
            <w:tcW w:w="1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obligation under operating leases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54,656 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liabilities, net</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565,528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477,178</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Commitments and contingencies (Note 10)</w:t>
            </w:r>
          </w:p>
        </w:tc>
        <w:tc>
          <w:tcPr>
            <w:tcW w:w="13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Class A common stock, $0.0001 par value; 2,000,000 shares authorized as of June 30, 2025 and December 31, 2024; 39,660 and 38,730 issued and outstanding at June 30, 2025 and December 31, 2024, respectively</w:t>
            </w:r>
          </w:p>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Class B common stock, $0.0001 par value; 30,000 shares authorized as of June 30, 2025 and December 31, 2024; 6,127 and 6,206 issued and outstanding at June 30, 2025 and December 31, 2024, respectively</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1,022,958 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950,393 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70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(45,931)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(125,847)</w:t>
            </w:r>
          </w:p>
        </w:tc>
        <w:tc>
          <w:tcPr>
            <w:tcW w:w="1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977,031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824,550</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1,542,559</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1,301,728</w:t>
            </w:r>
            <w:r>
              <w:rPr>
                <w:color w:val="000000"/>
              </w:rPr>
              <w:t> </w:t>
            </w:r>
          </w:p>
        </w:tc>
        <w:tc>
          <w:tcPr>
            <w:tcW w:w="16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i/>
          <w:color w:val="000000"/>
          <w:sz w:val="20"/>
        </w:rPr>
      </w:pPr>
      <w:r>
        <w:rPr>
          <w:rFonts w:ascii="Arial;sans-serif" w:hAnsi="Arial;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pPr>
      <w:r>
        <w:rPr>
          <w:rFonts w:ascii="Arial;sans-serif" w:hAnsi="Arial;sans-serif"/>
          <w:b/>
          <w:color w:val="000000"/>
          <w:sz w:val="20"/>
        </w:rPr>
        <w:t>DUOLINGO, INC. AND SUBSIDIARIES</w:t>
        <w:br/>
        <w:t>UNAUDITED CONDENSED CONSOLIDATED STATEMENTS OF OPERATIONS AND COMPREHENSIVE INCOME</w:t>
      </w:r>
      <w:r>
        <w:rPr>
          <w:rFonts w:ascii="Arial;sans-serif" w:hAnsi="Arial;sans-serif"/>
          <w:b w:val="false"/>
          <w:color w:val="000000"/>
          <w:sz w:val="20"/>
        </w:rPr>
        <w:br/>
      </w:r>
      <w:r>
        <w:rPr>
          <w:rFonts w:ascii="Arial;sans-serif" w:hAnsi="Arial;sans-serif"/>
          <w:b w:val="false"/>
          <w:i/>
          <w:color w:val="000000"/>
          <w:sz w:val="20"/>
        </w:rPr>
        <w:t>(Amounts in thousands, except per share amounts)</w:t>
      </w:r>
    </w:p>
    <w:tbl>
      <w:tblPr>
        <w:tblW w:w="10205" w:type="dxa"/>
        <w:jc w:val="left"/>
        <w:tblInd w:w="0" w:type="dxa"/>
        <w:tblLayout w:type="fixed"/>
        <w:tblCellMar>
          <w:top w:w="28" w:type="dxa"/>
          <w:left w:w="28" w:type="dxa"/>
          <w:bottom w:w="28" w:type="dxa"/>
          <w:right w:w="28" w:type="dxa"/>
        </w:tblCellMar>
      </w:tblPr>
      <w:tblGrid>
        <w:gridCol w:w="1806"/>
        <w:gridCol w:w="1383"/>
        <w:gridCol w:w="1393"/>
        <w:gridCol w:w="211"/>
        <w:gridCol w:w="856"/>
        <w:gridCol w:w="109"/>
        <w:gridCol w:w="109"/>
        <w:gridCol w:w="109"/>
        <w:gridCol w:w="109"/>
        <w:gridCol w:w="211"/>
        <w:gridCol w:w="856"/>
        <w:gridCol w:w="109"/>
        <w:gridCol w:w="211"/>
        <w:gridCol w:w="856"/>
        <w:gridCol w:w="109"/>
        <w:gridCol w:w="109"/>
        <w:gridCol w:w="109"/>
        <w:gridCol w:w="109"/>
        <w:gridCol w:w="211"/>
        <w:gridCol w:w="856"/>
        <w:gridCol w:w="109"/>
        <w:gridCol w:w="109"/>
        <w:gridCol w:w="156"/>
      </w:tblGrid>
      <w:tr>
        <w:trPr/>
        <w:tc>
          <w:tcPr>
            <w:tcW w:w="1806"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4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252,265 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178,327 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483,008 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345,880 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182,581 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130,978 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346,677 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253,340 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73,670 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144,060 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106,025 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36,957 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89,435 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72,071 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33,363 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18,700 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56,957 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35,139 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interest income and income taxes</w:t>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35,023 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17,993 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59,618 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33,811 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46,450 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28,714 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81,460 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54,565 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and comprehensive income</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44,781 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24,351 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79,916 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51,307 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per share attributable to Class A and Class B common stockholders, basic</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per share attributable to Class A and Class B common stockholders, diluted</w:t>
            </w:r>
          </w:p>
        </w:tc>
        <w:tc>
          <w:tcPr>
            <w:tcW w:w="211"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0.91 </w:t>
            </w:r>
          </w:p>
        </w:tc>
        <w:tc>
          <w:tcPr>
            <w:tcW w:w="109"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0.51 </w:t>
            </w:r>
          </w:p>
        </w:tc>
        <w:tc>
          <w:tcPr>
            <w:tcW w:w="109"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09"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i/>
          <w:color w:val="000000"/>
          <w:sz w:val="20"/>
        </w:rPr>
      </w:pPr>
      <w:r>
        <w:rPr>
          <w:rFonts w:ascii="Arial;sans-serif" w:hAnsi="Arial;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pPr>
      <w:r>
        <w:rPr>
          <w:rFonts w:ascii="Arial;sans-serif" w:hAnsi="Arial;sans-serif"/>
          <w:b/>
          <w:color w:val="000000"/>
          <w:sz w:val="20"/>
        </w:rPr>
        <w:t>DUOLINGO, INC. AND SUBSIDIARIES</w:t>
        <w:br/>
        <w:t>UNAUDITED CONDENSED CONSOLIDATED STATEMENTS OF STOCKHOLDERS’ EQUITY</w:t>
        <w:br/>
        <w:t>THREE MONTHS ENDED JUNE 30, 2025 AND 2024</w:t>
      </w:r>
      <w:r>
        <w:rPr>
          <w:rFonts w:ascii="Arial;sans-serif" w:hAnsi="Arial;sans-serif"/>
          <w:b w:val="false"/>
          <w:color w:val="000000"/>
          <w:sz w:val="20"/>
        </w:rPr>
        <w:br/>
      </w:r>
      <w:r>
        <w:rPr>
          <w:rFonts w:ascii="Arial;sans-serif" w:hAnsi="Arial;sans-serif"/>
          <w:b w:val="false"/>
          <w:i/>
          <w:color w:val="000000"/>
          <w:sz w:val="20"/>
        </w:rPr>
        <w:t>(Amounts in thousands)</w:t>
      </w:r>
    </w:p>
    <w:tbl>
      <w:tblPr>
        <w:tblW w:w="10205" w:type="dxa"/>
        <w:jc w:val="left"/>
        <w:tblInd w:w="0" w:type="dxa"/>
        <w:tblLayout w:type="fixed"/>
        <w:tblCellMar>
          <w:top w:w="28" w:type="dxa"/>
          <w:left w:w="28" w:type="dxa"/>
          <w:bottom w:w="28" w:type="dxa"/>
          <w:right w:w="28" w:type="dxa"/>
        </w:tblCellMar>
      </w:tblPr>
      <w:tblGrid>
        <w:gridCol w:w="1094"/>
        <w:gridCol w:w="948"/>
        <w:gridCol w:w="951"/>
        <w:gridCol w:w="375"/>
        <w:gridCol w:w="376"/>
        <w:gridCol w:w="216"/>
        <w:gridCol w:w="114"/>
        <w:gridCol w:w="114"/>
        <w:gridCol w:w="114"/>
        <w:gridCol w:w="268"/>
        <w:gridCol w:w="344"/>
        <w:gridCol w:w="139"/>
        <w:gridCol w:w="109"/>
        <w:gridCol w:w="109"/>
        <w:gridCol w:w="109"/>
        <w:gridCol w:w="235"/>
        <w:gridCol w:w="1143"/>
        <w:gridCol w:w="121"/>
        <w:gridCol w:w="109"/>
        <w:gridCol w:w="109"/>
        <w:gridCol w:w="109"/>
        <w:gridCol w:w="109"/>
        <w:gridCol w:w="109"/>
        <w:gridCol w:w="211"/>
        <w:gridCol w:w="907"/>
        <w:gridCol w:w="109"/>
        <w:gridCol w:w="109"/>
        <w:gridCol w:w="109"/>
        <w:gridCol w:w="109"/>
        <w:gridCol w:w="211"/>
        <w:gridCol w:w="856"/>
        <w:gridCol w:w="160"/>
      </w:tblGrid>
      <w:tr>
        <w:trPr/>
        <w:tc>
          <w:tcPr>
            <w:tcW w:w="109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99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BALANCE—April 1, 2024</w:t>
            </w:r>
          </w:p>
        </w:tc>
        <w:tc>
          <w:tcPr>
            <w:tcW w:w="7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43,057 </w:t>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4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3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898,513 </w:t>
            </w:r>
          </w:p>
        </w:tc>
        <w:tc>
          <w:tcPr>
            <w:tcW w:w="12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(187,465)</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711,052 </w:t>
            </w:r>
          </w:p>
        </w:tc>
        <w:tc>
          <w:tcPr>
            <w:tcW w:w="1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26,746 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26,746 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99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99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options exercised</w:t>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4,795 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4,795 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Release of restricted stock units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24,351 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24,351 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BALANCE—June 30, 2024</w:t>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43,500 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930,054 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(163,114)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766,944 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BALANCE—April 1, 2025</w:t>
            </w:r>
          </w:p>
        </w:tc>
        <w:tc>
          <w:tcPr>
            <w:tcW w:w="751"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45,416 </w:t>
            </w:r>
          </w:p>
        </w:tc>
        <w:tc>
          <w:tcPr>
            <w:tcW w:w="216"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44"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3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3"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984,534 </w:t>
            </w:r>
          </w:p>
        </w:tc>
        <w:tc>
          <w:tcPr>
            <w:tcW w:w="121"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7"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(90,712)</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893,826 </w:t>
            </w:r>
          </w:p>
        </w:tc>
        <w:tc>
          <w:tcPr>
            <w:tcW w:w="160"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34,592 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34,592 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99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99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options exercised</w:t>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3,832 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3,832 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Release of restricted stock units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993"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44,781 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44,781 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BALANCE—June 30, 2025</w:t>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45,787 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1,022,958 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(45,931)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977,031 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i/>
          <w:color w:val="000000"/>
          <w:sz w:val="20"/>
        </w:rPr>
      </w:pPr>
      <w:r>
        <w:rPr>
          <w:rFonts w:ascii="Arial;sans-serif" w:hAnsi="Arial;sans-serif"/>
          <w:b w:val="false"/>
          <w:i/>
          <w:color w:val="000000"/>
          <w:sz w:val="20"/>
        </w:rPr>
        <w:t>See accompanying notes to the Unaudited Condensed Consolidated Financial Statements.</w:t>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pPr>
      <w:r>
        <w:rPr>
          <w:rFonts w:ascii="Arial;sans-serif" w:hAnsi="Arial;sans-serif"/>
          <w:b/>
          <w:color w:val="000000"/>
          <w:sz w:val="20"/>
        </w:rPr>
        <w:t>DUOLINGO, INC. AND SUBSIDIARIES</w:t>
        <w:br/>
        <w:t>UNAUDITED CONDENSED CONSOLIDATED STATEMENTS OF STOCKHOLDERS’ EQUITY</w:t>
      </w:r>
      <w:r>
        <w:rPr>
          <w:rFonts w:ascii="Arial;sans-serif" w:hAnsi="Arial;sans-serif"/>
          <w:b w:val="false"/>
          <w:color w:val="000000"/>
          <w:sz w:val="20"/>
        </w:rPr>
        <w:br/>
      </w:r>
      <w:r>
        <w:rPr>
          <w:rFonts w:ascii="Arial;sans-serif" w:hAnsi="Arial;sans-serif"/>
          <w:b/>
          <w:color w:val="000000"/>
          <w:sz w:val="20"/>
        </w:rPr>
        <w:t>SIX MONTHS ENDED JUNE 30, 2025 AND 2024</w:t>
      </w:r>
    </w:p>
    <w:p>
      <w:pPr>
        <w:pStyle w:val="TextBody"/>
        <w:bidi w:val="0"/>
        <w:spacing w:lineRule="auto" w:line="288" w:before="0" w:after="180"/>
        <w:jc w:val="center"/>
        <w:rPr>
          <w:rFonts w:ascii="Arial;sans-serif" w:hAnsi="Arial;sans-serif"/>
          <w:b w:val="false"/>
          <w:i/>
          <w:color w:val="000000"/>
          <w:sz w:val="20"/>
        </w:rPr>
      </w:pPr>
      <w:r>
        <w:rPr>
          <w:rFonts w:ascii="Arial;sans-serif" w:hAnsi="Arial;sans-serif"/>
          <w:b w:val="false"/>
          <w:i/>
          <w:color w:val="000000"/>
          <w:sz w:val="20"/>
        </w:rPr>
        <w:t>(Amounts in thousands)</w:t>
      </w:r>
    </w:p>
    <w:tbl>
      <w:tblPr>
        <w:tblW w:w="10205" w:type="dxa"/>
        <w:jc w:val="center"/>
        <w:tblInd w:w="0" w:type="dxa"/>
        <w:tblLayout w:type="fixed"/>
        <w:tblCellMar>
          <w:top w:w="28" w:type="dxa"/>
          <w:left w:w="28" w:type="dxa"/>
          <w:bottom w:w="28" w:type="dxa"/>
          <w:right w:w="28" w:type="dxa"/>
        </w:tblCellMar>
      </w:tblPr>
      <w:tblGrid>
        <w:gridCol w:w="1094"/>
        <w:gridCol w:w="948"/>
        <w:gridCol w:w="951"/>
        <w:gridCol w:w="375"/>
        <w:gridCol w:w="376"/>
        <w:gridCol w:w="216"/>
        <w:gridCol w:w="114"/>
        <w:gridCol w:w="114"/>
        <w:gridCol w:w="114"/>
        <w:gridCol w:w="268"/>
        <w:gridCol w:w="344"/>
        <w:gridCol w:w="139"/>
        <w:gridCol w:w="109"/>
        <w:gridCol w:w="109"/>
        <w:gridCol w:w="109"/>
        <w:gridCol w:w="235"/>
        <w:gridCol w:w="1143"/>
        <w:gridCol w:w="121"/>
        <w:gridCol w:w="109"/>
        <w:gridCol w:w="109"/>
        <w:gridCol w:w="109"/>
        <w:gridCol w:w="109"/>
        <w:gridCol w:w="109"/>
        <w:gridCol w:w="211"/>
        <w:gridCol w:w="907"/>
        <w:gridCol w:w="109"/>
        <w:gridCol w:w="109"/>
        <w:gridCol w:w="109"/>
        <w:gridCol w:w="109"/>
        <w:gridCol w:w="211"/>
        <w:gridCol w:w="856"/>
        <w:gridCol w:w="160"/>
      </w:tblGrid>
      <w:tr>
        <w:trPr/>
        <w:tc>
          <w:tcPr>
            <w:tcW w:w="109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w:t>
              <w:br/>
              <w:t>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99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99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99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99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99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99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99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99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9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BALANCE—January 1, 2024</w:t>
            </w:r>
          </w:p>
        </w:tc>
        <w:tc>
          <w:tcPr>
            <w:tcW w:w="7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42,526 </w:t>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4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3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869,918 </w:t>
            </w:r>
          </w:p>
        </w:tc>
        <w:tc>
          <w:tcPr>
            <w:tcW w:w="12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(214,421)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655,501 </w:t>
            </w:r>
          </w:p>
        </w:tc>
        <w:tc>
          <w:tcPr>
            <w:tcW w:w="1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99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9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 exercised</w:t>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8,405 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8,405 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Release of restricted stock units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51,307 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BALANCE—June 30, 2024</w:t>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43,500 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930,054 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(163,114)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766,944 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993" w:type="dxa"/>
            <w:gridSpan w:val="3"/>
            <w:tcBorders/>
            <w:vAlign w:val="center"/>
          </w:tcPr>
          <w:p>
            <w:pPr>
              <w:pStyle w:val="TableContents"/>
              <w:bidi w:val="0"/>
              <w:spacing w:before="0" w:after="283"/>
              <w:jc w:val="left"/>
              <w:rPr>
                <w:sz w:val="4"/>
                <w:szCs w:val="4"/>
              </w:rPr>
            </w:pPr>
            <w:r>
              <w:rPr>
                <w:sz w:val="4"/>
                <w:szCs w:val="4"/>
              </w:rPr>
            </w:r>
          </w:p>
        </w:tc>
        <w:tc>
          <w:tcPr>
            <w:tcW w:w="7212" w:type="dxa"/>
            <w:gridSpan w:val="29"/>
            <w:tcBorders/>
          </w:tcPr>
          <w:p>
            <w:pPr>
              <w:pStyle w:val="TableContents"/>
              <w:bidi w:val="0"/>
              <w:spacing w:before="0" w:after="283"/>
              <w:jc w:val="left"/>
              <w:rPr>
                <w:sz w:val="4"/>
                <w:szCs w:val="4"/>
              </w:rPr>
            </w:pPr>
            <w:r>
              <w:rPr>
                <w:sz w:val="4"/>
                <w:szCs w:val="4"/>
              </w:rPr>
            </w:r>
          </w:p>
        </w:tc>
      </w:tr>
      <w:tr>
        <w:trPr/>
        <w:tc>
          <w:tcPr>
            <w:tcW w:w="299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1554" w:type="dxa"/>
            <w:gridSpan w:val="6"/>
            <w:tcBorders/>
          </w:tcPr>
          <w:p>
            <w:pPr>
              <w:pStyle w:val="TableContents"/>
              <w:bidi w:val="0"/>
              <w:spacing w:before="0" w:after="283"/>
              <w:jc w:val="left"/>
              <w:rPr>
                <w:sz w:val="4"/>
                <w:szCs w:val="4"/>
              </w:rPr>
            </w:pPr>
            <w:r>
              <w:rPr>
                <w:sz w:val="4"/>
                <w:szCs w:val="4"/>
              </w:rPr>
            </w:r>
          </w:p>
        </w:tc>
      </w:tr>
      <w:tr>
        <w:trPr/>
        <w:tc>
          <w:tcPr>
            <w:tcW w:w="299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9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BALANCE—January 1, 2025</w:t>
            </w:r>
          </w:p>
        </w:tc>
        <w:tc>
          <w:tcPr>
            <w:tcW w:w="751"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44,936 </w:t>
            </w:r>
          </w:p>
        </w:tc>
        <w:tc>
          <w:tcPr>
            <w:tcW w:w="216"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44"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3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3"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950,393 </w:t>
            </w:r>
          </w:p>
        </w:tc>
        <w:tc>
          <w:tcPr>
            <w:tcW w:w="121"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7"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(125,847)</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824,550 </w:t>
            </w:r>
          </w:p>
        </w:tc>
        <w:tc>
          <w:tcPr>
            <w:tcW w:w="160"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99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9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 exercised</w:t>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6,955 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6,955 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Release of restricted stock units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299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79,916 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BALANCE—June 30, 2025</w:t>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45,787 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1,022,958 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977,031 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i/>
          <w:color w:val="000000"/>
          <w:sz w:val="20"/>
        </w:rPr>
      </w:pPr>
      <w:r>
        <w:rPr>
          <w:rFonts w:ascii="Arial;sans-serif" w:hAnsi="Arial;sans-serif"/>
          <w:b w:val="false"/>
          <w:i/>
          <w:color w:val="000000"/>
          <w:sz w:val="20"/>
        </w:rPr>
        <w:t>See accompanying notes to the Unaudited Condensed Consolidated Financial Statements.</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pPr>
      <w:r>
        <w:rPr>
          <w:rFonts w:ascii="Arial;sans-serif" w:hAnsi="Arial;sans-serif"/>
          <w:b/>
          <w:color w:val="000000"/>
          <w:sz w:val="20"/>
        </w:rPr>
        <w:t>DUOLINGO, INC. AND SUBSIDIARIES</w:t>
        <w:br/>
        <w:t>UNAUDITED CONDENSED CONSOLIDATED STATEMENTS OF CASH FLOWS</w:t>
      </w:r>
      <w:r>
        <w:rPr>
          <w:rFonts w:ascii="Arial;sans-serif" w:hAnsi="Arial;sans-serif"/>
          <w:b w:val="false"/>
          <w:color w:val="000000"/>
          <w:sz w:val="20"/>
        </w:rPr>
        <w:br/>
      </w:r>
      <w:r>
        <w:rPr>
          <w:rFonts w:ascii="Arial;sans-serif" w:hAnsi="Arial;sans-serif"/>
          <w:b w:val="false"/>
          <w:i/>
          <w:color w:val="000000"/>
          <w:sz w:val="20"/>
        </w:rPr>
        <w:t>(Amounts in thousands)</w:t>
      </w:r>
    </w:p>
    <w:tbl>
      <w:tblPr>
        <w:tblW w:w="10097" w:type="dxa"/>
        <w:jc w:val="center"/>
        <w:tblInd w:w="0" w:type="dxa"/>
        <w:tblLayout w:type="fixed"/>
        <w:tblCellMar>
          <w:top w:w="28" w:type="dxa"/>
          <w:left w:w="28" w:type="dxa"/>
          <w:bottom w:w="28" w:type="dxa"/>
          <w:right w:w="28" w:type="dxa"/>
        </w:tblCellMar>
      </w:tblPr>
      <w:tblGrid>
        <w:gridCol w:w="2593"/>
        <w:gridCol w:w="2272"/>
        <w:gridCol w:w="2290"/>
        <w:gridCol w:w="211"/>
        <w:gridCol w:w="856"/>
        <w:gridCol w:w="109"/>
        <w:gridCol w:w="109"/>
        <w:gridCol w:w="109"/>
        <w:gridCol w:w="109"/>
        <w:gridCol w:w="211"/>
        <w:gridCol w:w="856"/>
        <w:gridCol w:w="109"/>
        <w:gridCol w:w="109"/>
        <w:gridCol w:w="154"/>
      </w:tblGrid>
      <w:tr>
        <w:trPr/>
        <w:tc>
          <w:tcPr>
            <w:tcW w:w="2593"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7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operating activities:</w:t>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to net cash provided by operating activities:</w:t>
            </w:r>
          </w:p>
        </w:tc>
        <w:tc>
          <w:tcPr>
            <w:tcW w:w="11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51,731 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Accretion on marketable securities,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assets and liabilities:</w:t>
            </w:r>
          </w:p>
        </w:tc>
        <w:tc>
          <w:tcPr>
            <w:tcW w:w="11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11,253 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cost of revenues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(10,350)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assets and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196,306</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145,902</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investing activities:</w:t>
            </w:r>
          </w:p>
        </w:tc>
        <w:tc>
          <w:tcPr>
            <w:tcW w:w="11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investments</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(48,321)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Maturities of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7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expense and purchases of intangible assets</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property and equipment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for investing activities</w:t>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(12,821)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(13,677)</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financing activities:</w:t>
            </w:r>
          </w:p>
        </w:tc>
        <w:tc>
          <w:tcPr>
            <w:tcW w:w="11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exercise of stock options</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financing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in cash, cash equivalents and restricted cash</w:t>
            </w:r>
          </w:p>
        </w:tc>
        <w:tc>
          <w:tcPr>
            <w:tcW w:w="1067" w:type="dxa"/>
            <w:gridSpan w:val="2"/>
            <w:tcBorders>
              <w:top w:val="single" w:sz="16"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190,440 </w:t>
            </w:r>
          </w:p>
        </w:tc>
        <w:tc>
          <w:tcPr>
            <w:tcW w:w="109" w:type="dxa"/>
            <w:tcBorders>
              <w:top w:val="single" w:sz="16"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6"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140,630 </w:t>
            </w:r>
          </w:p>
        </w:tc>
        <w:tc>
          <w:tcPr>
            <w:tcW w:w="109" w:type="dxa"/>
            <w:tcBorders>
              <w:top w:val="single" w:sz="16"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 Beginning of period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 End of period</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978,966 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890,975 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i/>
          <w:color w:val="000000"/>
          <w:sz w:val="20"/>
        </w:rPr>
      </w:pPr>
      <w:r>
        <w:rPr>
          <w:rFonts w:ascii="Arial;sans-serif" w:hAnsi="Arial;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pPr>
      <w:r>
        <w:rPr>
          <w:rFonts w:ascii="Arial;sans-serif" w:hAnsi="Arial;sans-serif"/>
          <w:b/>
          <w:color w:val="000000"/>
          <w:sz w:val="20"/>
        </w:rPr>
        <w:t>DUOLINGO, INC. AND SUBSIDIARIES</w:t>
        <w:br/>
        <w:t>SUPPLEMENTAL DISCLOSURE OF CASH FLOW INFORMATION</w:t>
      </w:r>
      <w:r>
        <w:rPr>
          <w:rFonts w:ascii="Arial;sans-serif" w:hAnsi="Arial;sans-serif"/>
          <w:b w:val="false"/>
          <w:color w:val="000000"/>
          <w:sz w:val="20"/>
        </w:rPr>
        <w:br/>
      </w:r>
      <w:r>
        <w:rPr>
          <w:rFonts w:ascii="Arial;sans-serif" w:hAnsi="Arial;sans-serif"/>
          <w:b w:val="false"/>
          <w:i/>
          <w:color w:val="000000"/>
          <w:sz w:val="20"/>
        </w:rPr>
        <w:t>(Amounts in thousands)</w:t>
      </w:r>
    </w:p>
    <w:tbl>
      <w:tblPr>
        <w:tblW w:w="10112" w:type="dxa"/>
        <w:jc w:val="center"/>
        <w:tblInd w:w="0" w:type="dxa"/>
        <w:tblLayout w:type="fixed"/>
        <w:tblCellMar>
          <w:top w:w="28" w:type="dxa"/>
          <w:left w:w="28" w:type="dxa"/>
          <w:bottom w:w="28" w:type="dxa"/>
          <w:right w:w="28" w:type="dxa"/>
        </w:tblCellMar>
      </w:tblPr>
      <w:tblGrid>
        <w:gridCol w:w="2674"/>
        <w:gridCol w:w="2351"/>
        <w:gridCol w:w="2355"/>
        <w:gridCol w:w="211"/>
        <w:gridCol w:w="751"/>
        <w:gridCol w:w="109"/>
        <w:gridCol w:w="109"/>
        <w:gridCol w:w="109"/>
        <w:gridCol w:w="109"/>
        <w:gridCol w:w="211"/>
        <w:gridCol w:w="751"/>
        <w:gridCol w:w="109"/>
        <w:gridCol w:w="109"/>
        <w:gridCol w:w="154"/>
      </w:tblGrid>
      <w:tr>
        <w:trPr/>
        <w:tc>
          <w:tcPr>
            <w:tcW w:w="2674"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7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Supplemental disclosure of cash flow information:</w:t>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8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8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8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Supplemental disclosure of noncash investing activities:</w:t>
            </w:r>
          </w:p>
        </w:tc>
        <w:tc>
          <w:tcPr>
            <w:tcW w:w="10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8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included in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Landlord incentive included in Other Assets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 of use assets obtained in exchange for new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 of use assets disposed of or adjusted for modifying operating leases liabilities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8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8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i/>
          <w:color w:val="000000"/>
          <w:sz w:val="20"/>
        </w:rPr>
      </w:pPr>
      <w:r>
        <w:rPr>
          <w:rFonts w:ascii="Arial;sans-serif" w:hAnsi="Arial;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color w:val="000000"/>
          <w:sz w:val="20"/>
        </w:rPr>
      </w:pPr>
      <w:r>
        <w:rPr>
          <w:rFonts w:ascii="Arial;sans-serif" w:hAnsi="Arial;sans-serif"/>
          <w:b/>
          <w:color w:val="000000"/>
          <w:sz w:val="20"/>
        </w:rPr>
        <w:t>DUOLINGO, INC. AND SUBSIDIARIES</w:t>
      </w:r>
    </w:p>
    <w:p>
      <w:pPr>
        <w:pStyle w:val="TextBody"/>
        <w:bidi w:val="0"/>
        <w:spacing w:lineRule="auto" w:line="312" w:before="0" w:after="180"/>
        <w:jc w:val="left"/>
        <w:rPr>
          <w:rFonts w:ascii="Arial;sans-serif" w:hAnsi="Arial;sans-serif"/>
          <w:b/>
          <w:color w:val="000000"/>
          <w:sz w:val="20"/>
        </w:rPr>
      </w:pPr>
      <w:r>
        <w:rPr>
          <w:rFonts w:ascii="Arial;sans-serif" w:hAnsi="Arial;sans-serif"/>
          <w:b/>
          <w:color w:val="000000"/>
          <w:sz w:val="20"/>
        </w:rPr>
        <w:t>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5" w:name="ib6e73995651b43e3a8c00e5b4161c915"/>
      <w:bookmarkEnd w:id="5"/>
      <w:r>
        <w:rPr>
          <w:rFonts w:ascii="Arial;sans-serif" w:hAnsi="Arial;sans-serif"/>
          <w:b/>
          <w:color w:val="000000"/>
          <w:sz w:val="20"/>
        </w:rPr>
        <w:t>1.     DESCRIPTION OF THE BUSINESS AND BASIS OF PRESENTATION</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Duolingo, Inc. (the “Company” or “Duolingo”) was formed on August 18, 2011, and the Duolingo App was launched to the general public on June 19, 2012. The Company’s headquarters are located in Pittsburgh, Pennsylvania.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Duolingo is a US-based mobile learning platform, as well as a digital English language proficiency assessment exam. The Company has a freemium business model: the app and the website are accessible free of charge, although Duolingo also offers premium services for a subscription fee. As of the date of this filing, Duolingo offers courses in over 40 different languages, including Spanish, English, French, German, Italian, Portuguese, Japanese and Chinese. We have locations in the U.S., China, and Germany. </w:t>
      </w:r>
    </w:p>
    <w:p>
      <w:pPr>
        <w:pStyle w:val="TextBody"/>
        <w:bidi w:val="0"/>
        <w:spacing w:lineRule="auto" w:line="312" w:before="0" w:after="180"/>
        <w:jc w:val="left"/>
        <w:rPr/>
      </w:pPr>
      <w:r>
        <w:rPr>
          <w:rFonts w:ascii="Arial;sans-serif" w:hAnsi="Arial;sans-serif"/>
          <w:b/>
          <w:color w:val="000000"/>
          <w:sz w:val="20"/>
        </w:rPr>
        <w:t>Principles of Consolidation</w:t>
      </w:r>
      <w:r>
        <w:rPr>
          <w:color w:val="000000"/>
        </w:rPr>
        <w:t>—</w:t>
      </w:r>
      <w:r>
        <w:rPr>
          <w:rFonts w:ascii="Arial;sans-serif" w:hAnsi="Arial;sans-serif"/>
          <w:b w:val="false"/>
          <w:color w:val="000000"/>
          <w:sz w:val="20"/>
        </w:rPr>
        <w:t xml:space="preserve">The Unaudited Condensed Consolidated Financial Statements include the accounts of the Company and subsidiaries over which the Company has control. All intercompany transactions and balances have been eliminated. </w:t>
      </w:r>
    </w:p>
    <w:p>
      <w:pPr>
        <w:pStyle w:val="TextBody"/>
        <w:bidi w:val="0"/>
        <w:spacing w:lineRule="auto" w:line="312" w:before="0" w:after="180"/>
        <w:jc w:val="left"/>
        <w:rPr/>
      </w:pPr>
      <w:r>
        <w:rPr>
          <w:rFonts w:ascii="Arial;sans-serif" w:hAnsi="Arial;sans-serif"/>
          <w:b/>
          <w:color w:val="000000"/>
          <w:sz w:val="20"/>
        </w:rPr>
        <w:t>Basis of Presentation</w:t>
      </w:r>
      <w:r>
        <w:rPr>
          <w:color w:val="000000"/>
        </w:rPr>
        <w:t>—</w:t>
      </w:r>
      <w:r>
        <w:rPr>
          <w:rFonts w:ascii="Arial;sans-serif" w:hAnsi="Arial;sans-serif"/>
          <w:b w:val="false"/>
          <w:color w:val="000000"/>
          <w:sz w:val="20"/>
        </w:rPr>
        <w:t xml:space="preserve">The accompanying Unaudited Condensed Consolidated Financial Statements have been prepared in accordance with generally accepted accounting principles in the U.S. (“GAAP”) from the Company’s accounting records and reflect the consolidated financial position and results of operations for the three and six months ended June 30, 2025 and 2024. Unless otherwise specified, all dollar amounts (other than per share amounts) are referred to in thousands.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Unaudited Condensed Consolidated Financial Statements have been prepared pursuant to the rules and regulations of the Securities and Exchange Commission (“SEC”). Certain information and note disclosures normally included in financial statements prepared in accordance with GAAP have been condensed or omitted pursuant to such SEC rules. We believe that the disclosures made are adequate to make the information presented not misleading. In our opinion, all adjustments considered necessary for a fair presentation of the financial statements have been included, and all adjustments are of a normal and recurring nature. We applied the accounting policies consistently with those used in the preparation of the Annual Report on Form 10-K in preparing these Unaudited Condensed Consolidated Financial Statements in this Quarterly Report on Form 10-Q. These Unaudited Condensed Consolidated Financial Statements should be read in conjunction with the audited financial statements and the notes for the fiscal year ended December 31, 2024 included in the Annual Report on Form 10-K and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6" w:name="ia7cf9aca3772441c8c0d32281e74e51b"/>
      <w:bookmarkEnd w:id="6"/>
      <w:r>
        <w:rPr>
          <w:rFonts w:ascii="Arial;sans-serif" w:hAnsi="Arial;sans-serif"/>
          <w:b/>
          <w:color w:val="000000"/>
          <w:sz w:val="20"/>
        </w:rPr>
        <w:t>2.     SUMMARY OF SIGNIFICANT ACCOUNTING POLICIES</w:t>
      </w:r>
    </w:p>
    <w:p>
      <w:pPr>
        <w:pStyle w:val="TextBody"/>
        <w:bidi w:val="0"/>
        <w:spacing w:lineRule="auto" w:line="312" w:before="0" w:after="180"/>
        <w:jc w:val="left"/>
        <w:rPr/>
      </w:pPr>
      <w:r>
        <w:rPr>
          <w:rFonts w:ascii="Arial;sans-serif" w:hAnsi="Arial;sans-serif"/>
          <w:b/>
          <w:color w:val="000000"/>
          <w:sz w:val="20"/>
        </w:rPr>
        <w:t>Accounting Principles</w:t>
      </w:r>
      <w:r>
        <w:rPr>
          <w:color w:val="000000"/>
        </w:rPr>
        <w:t>—</w:t>
      </w:r>
      <w:r>
        <w:rPr>
          <w:rFonts w:ascii="Arial;sans-serif" w:hAnsi="Arial;sans-serif"/>
          <w:b w:val="false"/>
          <w:color w:val="000000"/>
          <w:sz w:val="20"/>
        </w:rPr>
        <w:t>The Unaudited Condensed Consolidated Financial Statements and accompanying notes are prepared in accordance with GAAP.</w:t>
      </w:r>
    </w:p>
    <w:p>
      <w:pPr>
        <w:pStyle w:val="TextBody"/>
        <w:bidi w:val="0"/>
        <w:spacing w:lineRule="auto" w:line="312" w:before="0" w:after="180"/>
        <w:jc w:val="left"/>
        <w:rPr/>
      </w:pPr>
      <w:r>
        <w:rPr>
          <w:rFonts w:ascii="Arial;sans-serif" w:hAnsi="Arial;sans-serif"/>
          <w:b/>
          <w:color w:val="000000"/>
          <w:sz w:val="20"/>
        </w:rPr>
        <w:t>Use of Estimates—</w:t>
      </w:r>
      <w:r>
        <w:rPr>
          <w:rFonts w:ascii="Arial;sans-serif" w:hAnsi="Arial;sans-serif"/>
          <w:b w:val="false"/>
          <w:color w:val="000000"/>
          <w:sz w:val="20"/>
        </w:rPr>
        <w:t xml:space="preserve">The preparation of Unaudited Condensed Consolidated Financial Statements in conformity with GAAP requires management to make estimates and assumptions that affect the amounts reported in the Unaudited Condensed Consolidated Financial Statements and accompanying notes. Significant estimates and assumptions reflected in the Unaudited Condensed Consolidated Financial Statements include, but are not limited to, useful lives of property and equipment, valuation of deferred tax assets and liabilities, stock-based compensation, operating lease right-of-use assets and liabilities, capitalization of internally developed software and associated useful lives, contingent liabilities, and valuation of goodwill and intangible assets from acquisitions. Actual results may differ materially from such estimates. Management believes that the estimates, and judgments upon which they rely,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reasonable based upon information available to them at the time that these estimates and judgments are made. To the extent that there are material differences between these estimates and actual results, the Company’s Unaudited Condensed Consolidated Financial Statements will be affected.</w:t>
      </w:r>
    </w:p>
    <w:p>
      <w:pPr>
        <w:pStyle w:val="TextBody"/>
        <w:bidi w:val="0"/>
        <w:spacing w:lineRule="auto" w:line="312" w:before="0" w:after="180"/>
        <w:jc w:val="left"/>
        <w:rPr/>
      </w:pPr>
      <w:r>
        <w:rPr>
          <w:rFonts w:ascii="Arial;sans-serif" w:hAnsi="Arial;sans-serif"/>
          <w:b/>
          <w:color w:val="000000"/>
          <w:sz w:val="20"/>
        </w:rPr>
        <w:t>Advertising Costs</w:t>
      </w:r>
      <w:r>
        <w:rPr>
          <w:color w:val="000000"/>
        </w:rPr>
        <w:t xml:space="preserve">— </w:t>
      </w:r>
      <w:r>
        <w:rPr>
          <w:rFonts w:ascii="Arial;sans-serif" w:hAnsi="Arial;sans-serif"/>
          <w:b w:val="false"/>
          <w:color w:val="000000"/>
          <w:sz w:val="20"/>
        </w:rPr>
        <w:t>Advertising costs were approximately $19,649 and $37,184 for the three and six months ended June 30, 2025, respectively, and $13,448 and $27,468 for the three and six months ended June 30, 2024, respectively, and are included within Sales and marketing in the Unaudited Condensed Consolidated Statements of Operations and Comprehensive Income.</w:t>
      </w:r>
    </w:p>
    <w:p>
      <w:pPr>
        <w:pStyle w:val="TextBody"/>
        <w:bidi w:val="0"/>
        <w:spacing w:lineRule="auto" w:line="312" w:before="0" w:after="180"/>
        <w:jc w:val="left"/>
        <w:rPr/>
      </w:pPr>
      <w:r>
        <w:rPr>
          <w:rFonts w:ascii="Arial;sans-serif" w:hAnsi="Arial;sans-serif"/>
          <w:b/>
          <w:color w:val="000000"/>
          <w:sz w:val="20"/>
        </w:rPr>
        <w:t>Income Taxes—</w:t>
      </w:r>
      <w:r>
        <w:rPr>
          <w:rFonts w:ascii="Arial;sans-serif" w:hAnsi="Arial;sans-serif"/>
          <w:b w:val="false"/>
          <w:color w:val="000000"/>
          <w:sz w:val="20"/>
        </w:rPr>
        <w:t>The Company’s provision for income taxes is computed by using an estimate of the annual effective tax rate, adjusted for discrete items taken into account in the relevant period, if any. Each quarter, the annual effective income tax rate is recomputed and if there are material changes in the estimate, a cumulative adjustment is made.</w:t>
      </w:r>
    </w:p>
    <w:p>
      <w:pPr>
        <w:pStyle w:val="TextBody"/>
        <w:bidi w:val="0"/>
        <w:spacing w:lineRule="auto" w:line="312" w:before="0" w:after="180"/>
        <w:jc w:val="left"/>
        <w:rPr/>
      </w:pPr>
      <w:r>
        <w:rPr>
          <w:rFonts w:ascii="Arial;sans-serif" w:hAnsi="Arial;sans-serif"/>
          <w:b/>
          <w:color w:val="000000"/>
          <w:sz w:val="20"/>
        </w:rPr>
        <w:t>Concentration of Credit Risk</w:t>
      </w:r>
      <w:r>
        <w:rPr>
          <w:color w:val="000000"/>
        </w:rPr>
        <w:t>—</w:t>
      </w:r>
      <w:r>
        <w:rPr>
          <w:rFonts w:ascii="Arial;sans-serif" w:hAnsi="Arial;sans-serif"/>
          <w:b w:val="false"/>
          <w:color w:val="000000"/>
          <w:sz w:val="20"/>
        </w:rPr>
        <w:t>The Company’s concentration of credit risk relates to financial institutions holding the Company’s cash and cash equivalents and platforms with significant accounts receivable balances and revenue transactions.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The Company maintains deposits and certificates of deposit with banks which exceed the Federal Deposit Insurance Corporation (“FDIC”) insured limit and money market accounts which are not FDIC insured. Management believes that the financial institutions that hold the Company’s deposits are financially credit worthy and, accordingly, minimal credit risk exists with respect to those balances.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The majority of revenue comes through the subscriptions and advertising streams, and payments are made to Duolingo through service providers. Two service providers, Apple and Google, accounted for 71.0% and 15.5%, respectively, of total Accounts receivable as of June 30, 2025. Two service providers, Apple and Google, accounted for 64.7% and 21.2%, respectively, of total Accounts receivable as of December 31, 2024. </w:t>
      </w:r>
    </w:p>
    <w:p>
      <w:pPr>
        <w:pStyle w:val="TextBody"/>
        <w:bidi w:val="0"/>
        <w:spacing w:lineRule="auto" w:line="312" w:before="0" w:after="180"/>
        <w:jc w:val="left"/>
        <w:rPr/>
      </w:pPr>
      <w:r>
        <w:rPr>
          <w:rFonts w:ascii="Arial;sans-serif" w:hAnsi="Arial;sans-serif"/>
          <w:b/>
          <w:color w:val="000000"/>
          <w:sz w:val="20"/>
        </w:rPr>
        <w:t>Segment</w:t>
      </w:r>
      <w:r>
        <w:rPr>
          <w:color w:val="000000"/>
        </w:rPr>
        <w:t>—</w:t>
      </w:r>
      <w:r>
        <w:rPr>
          <w:rFonts w:ascii="Arial;sans-serif" w:hAnsi="Arial;sans-serif"/>
          <w:b w:val="false"/>
          <w:color w:val="000000"/>
          <w:sz w:val="20"/>
        </w:rPr>
        <w:t>The Company operates as a single operating segment and derives revenues from customers through time-based subscriptions, in-app advertising placement by third parties, the Duolingo English Test, and In-App Purchases. The Chief Executive Officer, as the chief operating decision maker, evaluates the Company’s performance and allocates resources based on consolidated net income, as presented in the income statement, supplemented by disaggregated revenue details. Significant segment expenses are those that are presented on the Unaudited Condensed Consolidated Statements of Operations and Comprehensive Income. The measure of segment assets is reported on the balance sheet as total consolidated assets. Accordingly, the Company has determined that it has a single reportable segment and operating segment structure, and operates as one reporting unit.</w:t>
      </w:r>
    </w:p>
    <w:p>
      <w:pPr>
        <w:pStyle w:val="TextBody"/>
        <w:bidi w:val="0"/>
        <w:spacing w:lineRule="auto" w:line="312" w:before="0" w:after="180"/>
        <w:jc w:val="left"/>
        <w:rPr/>
      </w:pPr>
      <w:r>
        <w:rPr>
          <w:rFonts w:ascii="Arial;sans-serif" w:hAnsi="Arial;sans-serif"/>
          <w:b/>
          <w:color w:val="000000"/>
          <w:sz w:val="20"/>
        </w:rPr>
        <w:t xml:space="preserve">Impairment of long-lived assets— </w:t>
      </w:r>
      <w:r>
        <w:rPr>
          <w:rFonts w:ascii="Arial;sans-serif" w:hAnsi="Arial;sans-serif"/>
          <w:b w:val="false"/>
          <w:color w:val="000000"/>
          <w:sz w:val="20"/>
        </w:rPr>
        <w:t>The Company reviews its long-lived assets for impairment whenever events or changes in circumstances indicate that the carrying amount of an asset may not be recoverable. If the sum of the estimated undiscounted future cash flows expected to result from the use and eventual disposition of an asset is less than the carrying amount of the asset, an impairment loss is recognized. Measurement of an impairment loss is based on the fair value of the asset. No assets were impaired during the three and six months ended June 30, 2025 and 2024.</w:t>
      </w:r>
    </w:p>
    <w:p>
      <w:pPr>
        <w:pStyle w:val="TextBody"/>
        <w:bidi w:val="0"/>
        <w:spacing w:lineRule="auto" w:line="312" w:before="0" w:after="180"/>
        <w:jc w:val="left"/>
        <w:rPr/>
      </w:pPr>
      <w:r>
        <w:rPr>
          <w:rFonts w:ascii="Arial;sans-serif" w:hAnsi="Arial;sans-serif"/>
          <w:b/>
          <w:color w:val="000000"/>
          <w:sz w:val="20"/>
        </w:rPr>
        <w:t>Allowance for Credit Losses—</w:t>
      </w:r>
      <w:r>
        <w:rPr>
          <w:rFonts w:ascii="Arial;sans-serif" w:hAnsi="Arial;sans-serif"/>
          <w:b w:val="false"/>
          <w:color w:val="000000"/>
          <w:sz w:val="20"/>
        </w:rPr>
        <w:t>The Company evaluates its cash equivalents, accounts receivable and held-to-maturity marketable securities financial assets for expected credit losses. Expected credit losses represent the portion of the amortized cost basis of a financial asset that an entity does not expect to collect. An allowance for expected credit losses is meant to reflect a risk of loss even if remote, irrespective of the expectation of collection from a particular issuer or debt security. The Company has not historically experienced any credit losses on any of its financial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With respect to cash equivalents and accounts receivable, given consideration of their short maturity, lack of historical losses and the current environment, the Company concluded there is generally no expected credit losses for these financial assets. With respect to held-to-maturity marketable securities which are comprised of debt securities, the Company evaluates expected credit losses on a pooled basis based on issuer-type which have similar credit risk characteristics. There is no allowance for credit losses for all periods presented.</w:t>
      </w:r>
    </w:p>
    <w:p>
      <w:pPr>
        <w:pStyle w:val="TextBody"/>
        <w:bidi w:val="0"/>
        <w:spacing w:lineRule="auto" w:line="312" w:before="0" w:after="180"/>
        <w:jc w:val="left"/>
        <w:rPr>
          <w:rFonts w:ascii="Arial;sans-serif" w:hAnsi="Arial;sans-serif"/>
          <w:b/>
          <w:i/>
          <w:color w:val="000000"/>
          <w:sz w:val="20"/>
        </w:rPr>
      </w:pPr>
      <w:r>
        <w:rPr>
          <w:rFonts w:ascii="Arial;sans-serif" w:hAnsi="Arial;sans-serif"/>
          <w:b/>
          <w:i/>
          <w:color w:val="000000"/>
          <w:sz w:val="20"/>
        </w:rPr>
        <w:t>Recent Accounting Pronouncements</w:t>
      </w:r>
    </w:p>
    <w:p>
      <w:pPr>
        <w:pStyle w:val="TextBody"/>
        <w:bidi w:val="0"/>
        <w:spacing w:lineRule="auto" w:line="312" w:before="0" w:after="180"/>
        <w:jc w:val="left"/>
        <w:rPr>
          <w:rFonts w:ascii="Arial;sans-serif" w:hAnsi="Arial;sans-serif"/>
          <w:b/>
          <w:color w:val="000000"/>
          <w:sz w:val="20"/>
        </w:rPr>
      </w:pPr>
      <w:r>
        <w:rPr>
          <w:rFonts w:ascii="Arial;sans-serif" w:hAnsi="Arial;sans-serif"/>
          <w:b/>
          <w:color w:val="000000"/>
          <w:sz w:val="20"/>
        </w:rPr>
        <w:t>Recently Issued Pronouncements Not Yet Adopted</w:t>
      </w:r>
    </w:p>
    <w:p>
      <w:pPr>
        <w:pStyle w:val="TextBody"/>
        <w:bidi w:val="0"/>
        <w:spacing w:lineRule="auto" w:line="312" w:before="0" w:after="180"/>
        <w:jc w:val="left"/>
        <w:rPr/>
      </w:pPr>
      <w:r>
        <w:rPr>
          <w:rFonts w:ascii="Arial;sans-serif" w:hAnsi="Arial;sans-serif"/>
          <w:b w:val="false"/>
          <w:color w:val="000000"/>
          <w:sz w:val="20"/>
        </w:rPr>
        <w:t xml:space="preserve">In December 2023, the Financial Accounting Standards Board (“FASB”) issued Accounting Standards Update (“ASU”) 2023-09, </w:t>
      </w:r>
      <w:r>
        <w:rPr>
          <w:rFonts w:ascii="Arial;sans-serif" w:hAnsi="Arial;sans-serif"/>
          <w:b w:val="false"/>
          <w:i/>
          <w:color w:val="000000"/>
          <w:sz w:val="20"/>
        </w:rPr>
        <w:t xml:space="preserve">Income Taxes (Topic 740), </w:t>
      </w:r>
      <w:r>
        <w:rPr>
          <w:rFonts w:ascii="Arial;sans-serif" w:hAnsi="Arial;sans-serif"/>
          <w:b w:val="false"/>
          <w:color w:val="000000"/>
          <w:sz w:val="20"/>
        </w:rPr>
        <w:t>which includes improvements to income tax disclosures. The standard is effective for public entities in fiscal years beginning after December 15, 2024. Early adoption is permitted. The Company is in the process of evaluating the effect that the adoption of this standard will have on its consolidated financial statements.</w:t>
      </w:r>
    </w:p>
    <w:p>
      <w:pPr>
        <w:pStyle w:val="TextBody"/>
        <w:bidi w:val="0"/>
        <w:spacing w:lineRule="auto" w:line="312" w:before="0" w:after="180"/>
        <w:jc w:val="left"/>
        <w:rPr/>
      </w:pPr>
      <w:r>
        <w:rPr>
          <w:rFonts w:ascii="Arial;sans-serif" w:hAnsi="Arial;sans-serif"/>
          <w:b w:val="false"/>
          <w:color w:val="000000"/>
          <w:sz w:val="20"/>
        </w:rPr>
        <w:t xml:space="preserve">In November 2024, the FASB issued ASU 2024-03, </w:t>
      </w:r>
      <w:r>
        <w:rPr>
          <w:rFonts w:ascii="Arial;sans-serif" w:hAnsi="Arial;sans-serif"/>
          <w:b w:val="false"/>
          <w:i/>
          <w:color w:val="000000"/>
          <w:sz w:val="20"/>
        </w:rPr>
        <w:t xml:space="preserve">Income Statement-Reporting Comprehensive Income-Expense Disaggregation Disclosures </w:t>
      </w:r>
      <w:r>
        <w:rPr>
          <w:rFonts w:ascii="Arial;sans-serif" w:hAnsi="Arial;sans-serif"/>
          <w:b w:val="false"/>
          <w:color w:val="000000"/>
          <w:sz w:val="20"/>
        </w:rPr>
        <w:t>(Subtopic 220-40): Disaggregation of Income Statement Expenses. The amendment requires new financial statement disclosures to provide disaggregated information for certain types of expenses, including employee compensation, depreciation, and amortization in commonly presented expense captions such as cost of revenue, sales and marketing, and general and administrative expenses. The amendments in this ASU are effective for annual reporting periods beginning after December 15, 2026, and interim periods within fiscal years beginning after December 15, 2027. The Company is in the process of evaluating the effect that the adoption of this standard will have on its consolidated financial statements.</w:t>
      </w:r>
    </w:p>
    <w:p>
      <w:pPr>
        <w:pStyle w:val="TextBody"/>
        <w:bidi w:val="0"/>
        <w:spacing w:lineRule="auto" w:line="312" w:before="0" w:after="180"/>
        <w:jc w:val="left"/>
        <w:rPr>
          <w:rFonts w:ascii="Arial;sans-serif" w:hAnsi="Arial;sans-serif"/>
          <w:b/>
          <w:color w:val="000000"/>
          <w:sz w:val="20"/>
        </w:rPr>
      </w:pPr>
      <w:r>
        <w:rPr>
          <w:rFonts w:ascii="Arial;sans-serif" w:hAnsi="Arial;sans-serif"/>
          <w:b/>
          <w:color w:val="000000"/>
          <w:sz w:val="20"/>
        </w:rPr>
        <w:t>Recently Adopted Accounting Pronouncements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There are no recently adopted accounting pronouncements.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7" w:name="i46a8fb86bb774c038aaf6b2c48b9f4ad"/>
      <w:bookmarkEnd w:id="7"/>
      <w:r>
        <w:rPr>
          <w:rFonts w:ascii="Arial;sans-serif" w:hAnsi="Arial;sans-serif"/>
          <w:b/>
          <w:color w:val="000000"/>
          <w:sz w:val="20"/>
        </w:rPr>
        <w:t>3.    FAIR VALUE</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Company accounts for certain assets and liabilities at fair value in accordance with the accounting guidance applicable to fair value measurements and disclosures. The carrying values of cash, cash equivalents, accounts receivable, accounts payable, and accrued expenses are deemed to be reasonable estimates of their fair values because of their short-term nature.</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Company applies fair value accounting for all financial assets and liabilities and non-financial assets and liabilities that are recognized or disclosed at fair value in the financial statements on a recurring and non-recurring basis. The Company defines fair value as the price that would be received from selling an asset or paid to transfer a liability in an orderly transaction between market participants at the measurement date. When determining the fair value measurements for assets and liabilities, which are required to be recorded at fair value, the Company considers the principal or most advantageous market in which the Company would transact and the market-based risk measurements or assumptions that market participants would use in pricing the asset or liability, such as inherent risk, transfer restrictions, and credit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lineRule="auto" w:line="312" w:before="0" w:after="180"/>
        <w:jc w:val="left"/>
        <w:rPr/>
      </w:pPr>
      <w:r>
        <w:rPr>
          <w:rFonts w:ascii="Arial;sans-serif" w:hAnsi="Arial;sans-serif"/>
          <w:b/>
          <w:i/>
          <w:color w:val="000000"/>
          <w:sz w:val="20"/>
        </w:rPr>
        <w:t>Level 1</w:t>
      </w:r>
      <w:r>
        <w:rPr>
          <w:color w:val="000000"/>
        </w:rPr>
        <w:t>—</w:t>
      </w:r>
      <w:r>
        <w:rPr>
          <w:rFonts w:ascii="Arial;sans-serif" w:hAnsi="Arial;sans-serif"/>
          <w:b w:val="false"/>
          <w:color w:val="000000"/>
          <w:sz w:val="20"/>
        </w:rPr>
        <w:t>Observable inputs such as quoted prices in active markets for identical investments that the Company has the ability to access.</w:t>
      </w:r>
    </w:p>
    <w:p>
      <w:pPr>
        <w:pStyle w:val="TextBody"/>
        <w:bidi w:val="0"/>
        <w:spacing w:lineRule="auto" w:line="312" w:before="0" w:after="180"/>
        <w:jc w:val="left"/>
        <w:rPr/>
      </w:pPr>
      <w:r>
        <w:rPr>
          <w:rFonts w:ascii="Arial;sans-serif" w:hAnsi="Arial;sans-serif"/>
          <w:b/>
          <w:i/>
          <w:color w:val="000000"/>
          <w:sz w:val="20"/>
        </w:rPr>
        <w:t>Level 2</w:t>
      </w:r>
      <w:r>
        <w:rPr>
          <w:color w:val="000000"/>
        </w:rPr>
        <w:t>—</w:t>
      </w:r>
      <w:r>
        <w:rPr>
          <w:rFonts w:ascii="Arial;sans-serif" w:hAnsi="Arial;sans-serif"/>
          <w:b w:val="false"/>
          <w:color w:val="000000"/>
          <w:sz w:val="20"/>
        </w:rPr>
        <w:t>Inputs include:</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Quoted prices for identical or similar assets or liabilities in active markets;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Quoted prices for identical or similar assets or liabilities in inactive markets;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Inputs, other than quoted prices in active markets, which are observable either directly or indirectly;</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Inputs that are derived principally from, or corroborated by, observable market data by correlation or other means.</w:t>
      </w:r>
    </w:p>
    <w:p>
      <w:pPr>
        <w:pStyle w:val="TextBody"/>
        <w:bidi w:val="0"/>
        <w:spacing w:lineRule="auto" w:line="312" w:before="0" w:after="180"/>
        <w:jc w:val="left"/>
        <w:rPr/>
      </w:pPr>
      <w:r>
        <w:rPr>
          <w:rFonts w:ascii="Arial;sans-serif" w:hAnsi="Arial;sans-serif"/>
          <w:b/>
          <w:i/>
          <w:color w:val="000000"/>
          <w:sz w:val="20"/>
        </w:rPr>
        <w:t>Level 3</w:t>
      </w:r>
      <w:r>
        <w:rPr>
          <w:color w:val="000000"/>
        </w:rPr>
        <w:t>—</w:t>
      </w:r>
      <w:r>
        <w:rPr>
          <w:rFonts w:ascii="Arial;sans-serif" w:hAnsi="Arial;sans-serif"/>
          <w:b w:val="false"/>
          <w:color w:val="000000"/>
          <w:sz w:val="20"/>
        </w:rPr>
        <w:t>Unobservable inputs in which there is little or no market activity for the asset or liability, which require the reporting entity to develop its own estimates and assumptions relating to the pricing of the asset or liability including assumptions regarding risk.</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following table presents amortized cost, gross unrealized gains and losses, and fair value by major security type and balance sheet classification as of June 30, 2025 and December 31, 2024:</w:t>
      </w:r>
    </w:p>
    <w:tbl>
      <w:tblPr>
        <w:tblW w:w="11335" w:type="dxa"/>
        <w:jc w:val="left"/>
        <w:tblInd w:w="0" w:type="dxa"/>
        <w:tblLayout w:type="fixed"/>
        <w:tblCellMar>
          <w:top w:w="28" w:type="dxa"/>
          <w:left w:w="28" w:type="dxa"/>
          <w:bottom w:w="28" w:type="dxa"/>
          <w:right w:w="28" w:type="dxa"/>
        </w:tblCellMar>
      </w:tblPr>
      <w:tblGrid>
        <w:gridCol w:w="631"/>
        <w:gridCol w:w="378"/>
        <w:gridCol w:w="312"/>
        <w:gridCol w:w="211"/>
        <w:gridCol w:w="1021"/>
        <w:gridCol w:w="109"/>
        <w:gridCol w:w="109"/>
        <w:gridCol w:w="109"/>
        <w:gridCol w:w="109"/>
        <w:gridCol w:w="249"/>
        <w:gridCol w:w="568"/>
        <w:gridCol w:w="129"/>
        <w:gridCol w:w="109"/>
        <w:gridCol w:w="109"/>
        <w:gridCol w:w="109"/>
        <w:gridCol w:w="249"/>
        <w:gridCol w:w="568"/>
        <w:gridCol w:w="129"/>
        <w:gridCol w:w="109"/>
        <w:gridCol w:w="109"/>
        <w:gridCol w:w="109"/>
        <w:gridCol w:w="211"/>
        <w:gridCol w:w="1021"/>
        <w:gridCol w:w="109"/>
        <w:gridCol w:w="109"/>
        <w:gridCol w:w="109"/>
        <w:gridCol w:w="109"/>
        <w:gridCol w:w="211"/>
        <w:gridCol w:w="856"/>
        <w:gridCol w:w="109"/>
        <w:gridCol w:w="109"/>
        <w:gridCol w:w="109"/>
        <w:gridCol w:w="109"/>
        <w:gridCol w:w="211"/>
        <w:gridCol w:w="856"/>
        <w:gridCol w:w="109"/>
        <w:gridCol w:w="109"/>
        <w:gridCol w:w="109"/>
        <w:gridCol w:w="109"/>
        <w:gridCol w:w="212"/>
        <w:gridCol w:w="757"/>
        <w:gridCol w:w="157"/>
      </w:tblGrid>
      <w:tr>
        <w:trPr/>
        <w:tc>
          <w:tcPr>
            <w:tcW w:w="63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1335" w:type="dxa"/>
            <w:gridSpan w:val="42"/>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As of June 30, 2025</w:t>
            </w:r>
          </w:p>
        </w:tc>
      </w:tr>
      <w:tr>
        <w:trPr/>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Long-Term Investments</w:t>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21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90,505 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90,505 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Level 1</w:t>
            </w:r>
          </w:p>
        </w:tc>
        <w:tc>
          <w:tcPr>
            <w:tcW w:w="134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left w:val="single" w:sz="8"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5E5E5"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12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884,726 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884,726 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884,726 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Subtotal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897,925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897,927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885,726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left w:val="single" w:sz="8"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Level 2</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Asset-backed securities</w:t>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22,361 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22,377 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E5E5E5"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22,209 </w:t>
            </w:r>
          </w:p>
        </w:tc>
        <w:tc>
          <w:tcPr>
            <w:tcW w:w="157" w:type="dxa"/>
            <w:tcBorders/>
            <w:shd w:fill="E5E5E5"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Certificates of deposit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debt securities</w:t>
            </w:r>
          </w:p>
        </w:tc>
        <w:tc>
          <w:tcPr>
            <w:tcW w:w="12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119,444 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w:t>
            </w:r>
          </w:p>
        </w:tc>
        <w:tc>
          <w:tcPr>
            <w:tcW w:w="1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119,367 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E5E5E5"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93,782 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25,662 </w:t>
            </w:r>
          </w:p>
        </w:tc>
        <w:tc>
          <w:tcPr>
            <w:tcW w:w="157" w:type="dxa"/>
            <w:tcBorders/>
            <w:shd w:fill="E5E5E5"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Subtotal</w:t>
            </w:r>
          </w:p>
        </w:tc>
        <w:tc>
          <w:tcPr>
            <w:tcW w:w="21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183,416</w:t>
            </w:r>
            <w:r>
              <w:rPr>
                <w:color w:val="000000"/>
              </w:rPr>
              <w:t>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159</w:t>
            </w:r>
            <w:r>
              <w:rPr>
                <w:color w:val="000000"/>
              </w:rPr>
              <w:t> </w:t>
            </w:r>
          </w:p>
        </w:tc>
        <w:tc>
          <w:tcPr>
            <w:tcW w:w="12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(136)</w:t>
            </w:r>
          </w:p>
        </w:tc>
        <w:tc>
          <w:tcPr>
            <w:tcW w:w="12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183,439</w:t>
            </w:r>
            <w:r>
              <w:rPr>
                <w:color w:val="000000"/>
              </w:rPr>
              <w:t>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109,453</w:t>
            </w:r>
            <w:r>
              <w:rPr>
                <w:color w:val="000000"/>
              </w:rPr>
              <w:t>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7"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73,962</w:t>
            </w:r>
            <w:r>
              <w:rPr>
                <w:color w:val="000000"/>
              </w:rPr>
              <w:t> </w:t>
            </w:r>
          </w:p>
        </w:tc>
        <w:tc>
          <w:tcPr>
            <w:tcW w:w="157"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Level 3</w:t>
            </w:r>
          </w:p>
        </w:tc>
        <w:tc>
          <w:tcPr>
            <w:tcW w:w="134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left w:val="single" w:sz="8"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5E5E5"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SAFE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Subtotal</w:t>
            </w:r>
          </w:p>
        </w:tc>
        <w:tc>
          <w:tcPr>
            <w:tcW w:w="21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1,400</w:t>
            </w:r>
            <w:r>
              <w:rPr>
                <w:color w:val="000000"/>
              </w:rPr>
              <w:t>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7"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1,400</w:t>
            </w:r>
            <w:r>
              <w:rPr>
                <w:color w:val="000000"/>
              </w:rPr>
              <w:t> </w:t>
            </w:r>
          </w:p>
        </w:tc>
        <w:tc>
          <w:tcPr>
            <w:tcW w:w="157"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1,081,341</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161</w:t>
            </w:r>
            <w:r>
              <w:rPr>
                <w:color w:val="000000"/>
              </w:rPr>
              <w:t> </w:t>
            </w:r>
          </w:p>
        </w:tc>
        <w:tc>
          <w:tcPr>
            <w:tcW w:w="1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(136)</w:t>
            </w:r>
          </w:p>
        </w:tc>
        <w:tc>
          <w:tcPr>
            <w:tcW w:w="1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1,173,271</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left w:val="single" w:sz="8"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976,231</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121,652</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75,362</w:t>
            </w:r>
            <w:r>
              <w:rPr>
                <w:color w:val="000000"/>
              </w:rPr>
              <w:t> </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180"/>
        <w:jc w:val="left"/>
        <w:rPr/>
      </w:pPr>
      <w:r>
        <w:rPr/>
      </w:r>
    </w:p>
    <w:tbl>
      <w:tblPr>
        <w:tblW w:w="10910" w:type="dxa"/>
        <w:jc w:val="left"/>
        <w:tblInd w:w="0" w:type="dxa"/>
        <w:tblLayout w:type="fixed"/>
        <w:tblCellMar>
          <w:top w:w="28" w:type="dxa"/>
          <w:left w:w="28" w:type="dxa"/>
          <w:bottom w:w="28" w:type="dxa"/>
          <w:right w:w="28" w:type="dxa"/>
        </w:tblCellMar>
      </w:tblPr>
      <w:tblGrid>
        <w:gridCol w:w="631"/>
        <w:gridCol w:w="378"/>
        <w:gridCol w:w="312"/>
        <w:gridCol w:w="211"/>
        <w:gridCol w:w="856"/>
        <w:gridCol w:w="109"/>
        <w:gridCol w:w="109"/>
        <w:gridCol w:w="109"/>
        <w:gridCol w:w="109"/>
        <w:gridCol w:w="274"/>
        <w:gridCol w:w="529"/>
        <w:gridCol w:w="143"/>
        <w:gridCol w:w="109"/>
        <w:gridCol w:w="109"/>
        <w:gridCol w:w="109"/>
        <w:gridCol w:w="249"/>
        <w:gridCol w:w="568"/>
        <w:gridCol w:w="129"/>
        <w:gridCol w:w="109"/>
        <w:gridCol w:w="109"/>
        <w:gridCol w:w="109"/>
        <w:gridCol w:w="211"/>
        <w:gridCol w:w="856"/>
        <w:gridCol w:w="109"/>
        <w:gridCol w:w="109"/>
        <w:gridCol w:w="109"/>
        <w:gridCol w:w="109"/>
        <w:gridCol w:w="211"/>
        <w:gridCol w:w="856"/>
        <w:gridCol w:w="109"/>
        <w:gridCol w:w="109"/>
        <w:gridCol w:w="109"/>
        <w:gridCol w:w="109"/>
        <w:gridCol w:w="212"/>
        <w:gridCol w:w="758"/>
        <w:gridCol w:w="111"/>
        <w:gridCol w:w="109"/>
        <w:gridCol w:w="109"/>
        <w:gridCol w:w="109"/>
        <w:gridCol w:w="212"/>
        <w:gridCol w:w="757"/>
        <w:gridCol w:w="157"/>
      </w:tblGrid>
      <w:tr>
        <w:trPr/>
        <w:tc>
          <w:tcPr>
            <w:tcW w:w="63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910" w:type="dxa"/>
            <w:gridSpan w:val="42"/>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As of December 31, 2024</w:t>
            </w:r>
          </w:p>
        </w:tc>
      </w:tr>
      <w:tr>
        <w:trPr/>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Long-Term Investments</w:t>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Cash</w:t>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73,351 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E5E5E5"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73,351 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Level 1</w:t>
            </w:r>
          </w:p>
        </w:tc>
        <w:tc>
          <w:tcPr>
            <w:tcW w:w="11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left w:val="single" w:sz="8"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712,440 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712,440 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712,440 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Subtotal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728,099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728,101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712,440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15,659</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Level 2</w:t>
            </w:r>
          </w:p>
        </w:tc>
        <w:tc>
          <w:tcPr>
            <w:tcW w:w="117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left w:val="single" w:sz="8"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Asset-backed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15,583 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Certificates of deposit</w:t>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11,521 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11,507 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E5E5E5"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11,521 </w:t>
            </w:r>
          </w:p>
        </w:tc>
        <w:tc>
          <w:tcPr>
            <w:tcW w:w="1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E5E5E5"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debt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71,018 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19,255 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4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1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19,195 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E5E5E5"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8,964 </w:t>
            </w:r>
          </w:p>
        </w:tc>
        <w:tc>
          <w:tcPr>
            <w:tcW w:w="1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10,291 </w:t>
            </w:r>
          </w:p>
        </w:tc>
        <w:tc>
          <w:tcPr>
            <w:tcW w:w="15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Subtotal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173,087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(570)</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172,534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76,195</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96,892</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left w:val="single" w:sz="8"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Level 3</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SAFE</w:t>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E5E5E5"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1,400 </w:t>
            </w:r>
          </w:p>
        </w:tc>
        <w:tc>
          <w:tcPr>
            <w:tcW w:w="15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Subtotal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901,186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w:t>
            </w:r>
            <w:r>
              <w:rPr>
                <w:color w:val="000000"/>
              </w:rPr>
              <w:t> </w:t>
            </w:r>
          </w:p>
        </w:tc>
        <w:tc>
          <w:tcPr>
            <w:tcW w:w="1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(571)</w:t>
            </w:r>
          </w:p>
        </w:tc>
        <w:tc>
          <w:tcPr>
            <w:tcW w:w="1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975,386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doub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785,791</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91,854</w:t>
            </w:r>
            <w:r>
              <w:rPr>
                <w:color w:val="000000"/>
              </w:rPr>
              <w:t>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98,292</w:t>
            </w:r>
            <w:r>
              <w:rPr>
                <w:color w:val="000000"/>
              </w:rPr>
              <w:t>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As of June 30, 2025 and December 31, 2024, all of the Company’s short-term investments have contractual maturities of one year or less and all of the Company’s long-term investments have contractual maturities between one and four years. The Company has elected to present accrued interest within Prepaid expenses and other current assets in the Unaudited Condensed Consolidated Balance Sheets. Accrued interest was $2,015 and $1,487 as of June 30, 2025 and December 31, 2024, respectively.</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Changes in market interest rates, credit risk of borrowers and overall market liquidity, among other factors, may cause the short-term and long-term debt investments to fall below their amortized cost basis, resulting in unrealized losses. For those debt securities in an unrealized loss position as of June 30, 2025, the Company does not intend to sell, nor is it more likely than not that it will be required to sell, such securities before recovering the amortized cost basis. No allowance for credit losses have been were recognized in the financial statements for held-to-maturity debt securities for the periods ended June 30, 2025 and 2024.</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Cash equivalents consist primarily of money market accounts with maturities of three months or less at the date of acquisition and are classified within Level 1.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The Company’s investments in corporate debt securities, U.S. Treasury securities, certificates of deposit, and asset-backed securities, which collectively are investments in held-to-maturity debt securities, are classified within Level 2, as their valuation requires quoted prices for similar instruments in active markets, quoted prices for identical or similar instruments in markets that are not active and/or model-based valuation techniques for which all significant inputs are observable in the market or can be corroborated by observable market data.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20"/>
        </w:rPr>
      </w:pPr>
      <w:bookmarkStart w:id="8" w:name="i9c27948a9b8f450b9011d39e343bd355"/>
      <w:bookmarkEnd w:id="8"/>
      <w:r>
        <w:rPr>
          <w:rFonts w:ascii="Arial;sans-serif" w:hAnsi="Arial;sans-serif"/>
          <w:b/>
          <w:color w:val="000000"/>
          <w:sz w:val="20"/>
        </w:rPr>
        <w:t>4.      REVENUE</w:t>
      </w:r>
    </w:p>
    <w:p>
      <w:pPr>
        <w:pStyle w:val="TextBody"/>
        <w:bidi w:val="0"/>
        <w:spacing w:lineRule="auto" w:line="312" w:before="0" w:after="180"/>
        <w:jc w:val="left"/>
        <w:rPr>
          <w:rFonts w:ascii="Arial;sans-serif" w:hAnsi="Arial;sans-serif"/>
          <w:b/>
          <w:i/>
          <w:color w:val="000000"/>
          <w:sz w:val="20"/>
        </w:rPr>
      </w:pPr>
      <w:r>
        <w:rPr>
          <w:rFonts w:ascii="Arial;sans-serif" w:hAnsi="Arial;sans-serif"/>
          <w:b/>
          <w:i/>
          <w:color w:val="000000"/>
          <w:sz w:val="20"/>
        </w:rPr>
        <w:t>Disaggregation of Revenue</w:t>
      </w:r>
    </w:p>
    <w:p>
      <w:pPr>
        <w:pStyle w:val="TextBody"/>
        <w:bidi w:val="0"/>
        <w:spacing w:lineRule="auto" w:line="312" w:before="0" w:after="180"/>
        <w:jc w:val="left"/>
        <w:rPr/>
      </w:pPr>
      <w:r>
        <w:rPr>
          <w:rFonts w:ascii="Arial;sans-serif" w:hAnsi="Arial;sans-serif"/>
          <w:b w:val="false"/>
          <w:color w:val="000000"/>
          <w:sz w:val="20"/>
        </w:rPr>
        <w:t xml:space="preserve">In accordance with ASC 606, </w:t>
      </w:r>
      <w:r>
        <w:rPr>
          <w:rFonts w:ascii="Arial;sans-serif" w:hAnsi="Arial;sans-serif"/>
          <w:b w:val="false"/>
          <w:i/>
          <w:color w:val="000000"/>
          <w:sz w:val="20"/>
        </w:rPr>
        <w:t>Revenue from Contracts with Customers</w:t>
      </w:r>
      <w:r>
        <w:rPr>
          <w:rFonts w:ascii="Arial;sans-serif" w:hAnsi="Arial;sans-serif"/>
          <w:b w:val="false"/>
          <w:color w:val="000000"/>
          <w:sz w:val="20"/>
        </w:rPr>
        <w:t>, the Company disaggregates revenue from contracts with customers into revenue streams, which most closely depicts how the nature, amount, timing and uncertainty of revenue and cash flows are affected by economic factors.</w:t>
      </w:r>
    </w:p>
    <w:tbl>
      <w:tblPr>
        <w:tblW w:w="7357" w:type="dxa"/>
        <w:jc w:val="left"/>
        <w:tblInd w:w="0" w:type="dxa"/>
        <w:tblLayout w:type="fixed"/>
        <w:tblCellMar>
          <w:top w:w="28" w:type="dxa"/>
          <w:left w:w="28" w:type="dxa"/>
          <w:bottom w:w="28" w:type="dxa"/>
          <w:right w:w="28" w:type="dxa"/>
        </w:tblCellMar>
      </w:tblPr>
      <w:tblGrid>
        <w:gridCol w:w="510"/>
        <w:gridCol w:w="449"/>
        <w:gridCol w:w="450"/>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09"/>
        <w:gridCol w:w="109"/>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Subscription</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210,678 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143,909 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401,665 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275,597 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revenues</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252,265 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178,327 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483,008 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345,880 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left"/>
        <w:rPr>
          <w:rFonts w:ascii="Arial;sans-serif" w:hAnsi="Arial;sans-serif"/>
          <w:b w:val="false"/>
          <w:color w:val="000000"/>
          <w:sz w:val="16"/>
        </w:rPr>
      </w:pPr>
      <w:r>
        <w:rPr>
          <w:rFonts w:ascii="Arial;sans-serif" w:hAnsi="Arial;sans-serif"/>
          <w:b w:val="false"/>
          <w:color w:val="000000"/>
          <w:sz w:val="16"/>
        </w:rPr>
        <w:t>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 Other revenue is comprised of the below.</w:t>
      </w:r>
    </w:p>
    <w:tbl>
      <w:tblPr>
        <w:tblW w:w="6991" w:type="dxa"/>
        <w:jc w:val="left"/>
        <w:tblInd w:w="0" w:type="dxa"/>
        <w:tblLayout w:type="fixed"/>
        <w:tblCellMar>
          <w:top w:w="28" w:type="dxa"/>
          <w:left w:w="28" w:type="dxa"/>
          <w:bottom w:w="28" w:type="dxa"/>
          <w:right w:w="28" w:type="dxa"/>
        </w:tblCellMar>
      </w:tblPr>
      <w:tblGrid>
        <w:gridCol w:w="613"/>
        <w:gridCol w:w="540"/>
        <w:gridCol w:w="542"/>
        <w:gridCol w:w="216"/>
        <w:gridCol w:w="713"/>
        <w:gridCol w:w="120"/>
        <w:gridCol w:w="120"/>
        <w:gridCol w:w="120"/>
        <w:gridCol w:w="120"/>
        <w:gridCol w:w="216"/>
        <w:gridCol w:w="713"/>
        <w:gridCol w:w="120"/>
        <w:gridCol w:w="109"/>
        <w:gridCol w:w="109"/>
        <w:gridCol w:w="109"/>
        <w:gridCol w:w="197"/>
        <w:gridCol w:w="652"/>
        <w:gridCol w:w="110"/>
        <w:gridCol w:w="110"/>
        <w:gridCol w:w="110"/>
        <w:gridCol w:w="110"/>
        <w:gridCol w:w="197"/>
        <w:gridCol w:w="652"/>
        <w:gridCol w:w="110"/>
        <w:gridCol w:w="109"/>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20,603 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13,258 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38,485 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26,210 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D6D6D6"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Duolingo English Test</w:t>
            </w:r>
          </w:p>
        </w:tc>
        <w:tc>
          <w:tcPr>
            <w:tcW w:w="929" w:type="dxa"/>
            <w:gridSpan w:val="2"/>
            <w:tcBorders/>
            <w:shd w:fill="D6D6D6"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10,088 </w:t>
            </w:r>
          </w:p>
        </w:tc>
        <w:tc>
          <w:tcPr>
            <w:tcW w:w="120" w:type="dxa"/>
            <w:tcBorders/>
            <w:shd w:fill="D6D6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6D6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D6D6D6"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10,698 </w:t>
            </w:r>
          </w:p>
        </w:tc>
        <w:tc>
          <w:tcPr>
            <w:tcW w:w="120" w:type="dxa"/>
            <w:tcBorders/>
            <w:shd w:fill="D6D6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6D6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6D6D6"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22,074 </w:t>
            </w:r>
          </w:p>
        </w:tc>
        <w:tc>
          <w:tcPr>
            <w:tcW w:w="110" w:type="dxa"/>
            <w:tcBorders/>
            <w:shd w:fill="D6D6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6D6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6D6D6"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23,453 </w:t>
            </w:r>
          </w:p>
        </w:tc>
        <w:tc>
          <w:tcPr>
            <w:tcW w:w="110" w:type="dxa"/>
            <w:tcBorders/>
            <w:shd w:fill="D6D6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In-App Purchases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D6D6D6"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29" w:type="dxa"/>
            <w:gridSpan w:val="2"/>
            <w:tcBorders/>
            <w:shd w:fill="D6D6D6"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506 </w:t>
            </w:r>
          </w:p>
        </w:tc>
        <w:tc>
          <w:tcPr>
            <w:tcW w:w="120" w:type="dxa"/>
            <w:tcBorders/>
            <w:shd w:fill="D6D6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6D6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D6D6D6"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286 </w:t>
            </w:r>
          </w:p>
        </w:tc>
        <w:tc>
          <w:tcPr>
            <w:tcW w:w="120" w:type="dxa"/>
            <w:tcBorders/>
            <w:shd w:fill="D6D6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6D6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6D6D6"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952 </w:t>
            </w:r>
          </w:p>
        </w:tc>
        <w:tc>
          <w:tcPr>
            <w:tcW w:w="110" w:type="dxa"/>
            <w:tcBorders/>
            <w:shd w:fill="D6D6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6D6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6D6D6"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520 </w:t>
            </w:r>
          </w:p>
        </w:tc>
        <w:tc>
          <w:tcPr>
            <w:tcW w:w="110" w:type="dxa"/>
            <w:tcBorders/>
            <w:shd w:fill="D6D6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revenue</w:t>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41,587 </w:t>
            </w:r>
          </w:p>
        </w:tc>
        <w:tc>
          <w:tcPr>
            <w:tcW w:w="1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34,418 </w:t>
            </w:r>
          </w:p>
        </w:tc>
        <w:tc>
          <w:tcPr>
            <w:tcW w:w="1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81,343 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70,283 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Two service providers, Apple and Google processed 61.6% and 23.9%, and three service providers, Apple, Google and Stripe, processed 61.3%, 23.6%, and 10.4% of total revenues for the three and six months ended June 30, 2025, respectively. Three services providers, Apple, Google, and Stripe processed 60.7%, 23.7%, and 11.2%, and 60.0%, 23.7% and 12.0% of total revenues for the three and six months ended June 30, 2024, respectively.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Deferred revenue mostly consists of payments received in advance of revenue recognition, and is mostly related to time-based subscriptions, which will be recognized into revenue over the course of the upcoming year (recognized over 12 months or less). Additionally, the Duolingo English Test has deferred revenue related to tests that have been purchased, but will not be recognized until the tests have been proctored. Changes in deferred revenues were as follows:</w:t>
      </w:r>
    </w:p>
    <w:tbl>
      <w:tblPr>
        <w:tblW w:w="7718" w:type="dxa"/>
        <w:jc w:val="left"/>
        <w:tblInd w:w="0" w:type="dxa"/>
        <w:tblLayout w:type="fixed"/>
        <w:tblCellMar>
          <w:top w:w="28" w:type="dxa"/>
          <w:left w:w="28" w:type="dxa"/>
          <w:bottom w:w="28" w:type="dxa"/>
          <w:right w:w="28" w:type="dxa"/>
        </w:tblCellMar>
      </w:tblPr>
      <w:tblGrid>
        <w:gridCol w:w="1806"/>
        <w:gridCol w:w="1592"/>
        <w:gridCol w:w="1596"/>
        <w:gridCol w:w="211"/>
        <w:gridCol w:w="856"/>
        <w:gridCol w:w="109"/>
        <w:gridCol w:w="109"/>
        <w:gridCol w:w="109"/>
        <w:gridCol w:w="109"/>
        <w:gridCol w:w="211"/>
        <w:gridCol w:w="856"/>
        <w:gridCol w:w="154"/>
      </w:tblGrid>
      <w:tr>
        <w:trPr/>
        <w:tc>
          <w:tcPr>
            <w:tcW w:w="1806"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balance—January 1</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372,884 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249,192 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from beginning balance recognized into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(176,854)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Recognition of deferred revenue</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(175,701)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(121,625)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Deferral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496,605 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340,764 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balance—June 30</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431,177 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291,477 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9" w:name="if96faef61d284f9ea6f196eb34634db3"/>
      <w:bookmarkEnd w:id="9"/>
      <w:r>
        <w:rPr>
          <w:rFonts w:ascii="Arial;sans-serif" w:hAnsi="Arial;sans-serif"/>
          <w:b/>
          <w:color w:val="000000"/>
          <w:sz w:val="20"/>
        </w:rPr>
        <w:t>5.    PROPERTY and EQUIPMENT,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Property and equipment, net, consists of the following:</w:t>
      </w:r>
    </w:p>
    <w:tbl>
      <w:tblPr>
        <w:tblW w:w="6161" w:type="dxa"/>
        <w:jc w:val="left"/>
        <w:tblInd w:w="0" w:type="dxa"/>
        <w:tblLayout w:type="fixed"/>
        <w:tblCellMar>
          <w:top w:w="28" w:type="dxa"/>
          <w:left w:w="28" w:type="dxa"/>
          <w:bottom w:w="28" w:type="dxa"/>
          <w:right w:w="28" w:type="dxa"/>
        </w:tblCellMar>
      </w:tblPr>
      <w:tblGrid>
        <w:gridCol w:w="1101"/>
        <w:gridCol w:w="969"/>
        <w:gridCol w:w="975"/>
        <w:gridCol w:w="230"/>
        <w:gridCol w:w="821"/>
        <w:gridCol w:w="119"/>
        <w:gridCol w:w="109"/>
        <w:gridCol w:w="109"/>
        <w:gridCol w:w="109"/>
        <w:gridCol w:w="306"/>
        <w:gridCol w:w="1090"/>
        <w:gridCol w:w="223"/>
      </w:tblGrid>
      <w:tr>
        <w:trPr/>
        <w:tc>
          <w:tcPr>
            <w:tcW w:w="110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23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26,918 </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26,938 </w:t>
            </w:r>
          </w:p>
        </w:tc>
        <w:tc>
          <w:tcPr>
            <w:tcW w:w="2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Furniture, fixtures and equipment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and equipment</w:t>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38,687 </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35,353 </w:t>
            </w:r>
          </w:p>
        </w:tc>
        <w:tc>
          <w:tcPr>
            <w:tcW w:w="2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(16,410)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and equipment, net</w:t>
            </w:r>
          </w:p>
        </w:tc>
        <w:tc>
          <w:tcPr>
            <w:tcW w:w="23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19,685 </w:t>
            </w:r>
          </w:p>
        </w:tc>
        <w:tc>
          <w:tcPr>
            <w:tcW w:w="11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18,943 </w:t>
            </w:r>
          </w:p>
        </w:tc>
        <w:tc>
          <w:tcPr>
            <w:tcW w:w="22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Depreciation expense is included within the following financial statement line items within the Company’s Unaudited Condensed Consolidated Statements of Operations and Comprehensive Income.</w:t>
      </w:r>
    </w:p>
    <w:tbl>
      <w:tblPr>
        <w:tblW w:w="7793" w:type="dxa"/>
        <w:jc w:val="left"/>
        <w:tblInd w:w="0" w:type="dxa"/>
        <w:tblLayout w:type="fixed"/>
        <w:tblCellMar>
          <w:top w:w="28" w:type="dxa"/>
          <w:left w:w="28" w:type="dxa"/>
          <w:bottom w:w="28" w:type="dxa"/>
          <w:right w:w="28" w:type="dxa"/>
        </w:tblCellMar>
      </w:tblPr>
      <w:tblGrid>
        <w:gridCol w:w="900"/>
        <w:gridCol w:w="794"/>
        <w:gridCol w:w="796"/>
        <w:gridCol w:w="229"/>
        <w:gridCol w:w="703"/>
        <w:gridCol w:w="118"/>
        <w:gridCol w:w="118"/>
        <w:gridCol w:w="118"/>
        <w:gridCol w:w="118"/>
        <w:gridCol w:w="229"/>
        <w:gridCol w:w="703"/>
        <w:gridCol w:w="118"/>
        <w:gridCol w:w="109"/>
        <w:gridCol w:w="109"/>
        <w:gridCol w:w="109"/>
        <w:gridCol w:w="211"/>
        <w:gridCol w:w="646"/>
        <w:gridCol w:w="109"/>
        <w:gridCol w:w="109"/>
        <w:gridCol w:w="109"/>
        <w:gridCol w:w="109"/>
        <w:gridCol w:w="211"/>
        <w:gridCol w:w="646"/>
        <w:gridCol w:w="109"/>
        <w:gridCol w:w="109"/>
        <w:gridCol w:w="154"/>
      </w:tblGrid>
      <w:tr>
        <w:trPr/>
        <w:tc>
          <w:tcPr>
            <w:tcW w:w="90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2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869 </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1,339 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10" w:name="i1dc36954d2b54c41a7390d3d90465f2f"/>
      <w:bookmarkEnd w:id="10"/>
      <w:r>
        <w:rPr>
          <w:rFonts w:ascii="Arial;sans-serif" w:hAnsi="Arial;sans-serif"/>
          <w:b/>
          <w:color w:val="000000"/>
          <w:sz w:val="20"/>
        </w:rPr>
        <w:t>6.    INTANGIBLE ASSETS AND GOODWILL</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Intangible assets, net, consist of the following:</w:t>
      </w:r>
    </w:p>
    <w:tbl>
      <w:tblPr>
        <w:tblW w:w="6551" w:type="dxa"/>
        <w:jc w:val="left"/>
        <w:tblInd w:w="0" w:type="dxa"/>
        <w:tblLayout w:type="fixed"/>
        <w:tblCellMar>
          <w:top w:w="28" w:type="dxa"/>
          <w:left w:w="28" w:type="dxa"/>
          <w:bottom w:w="28" w:type="dxa"/>
          <w:right w:w="28" w:type="dxa"/>
        </w:tblCellMar>
      </w:tblPr>
      <w:tblGrid>
        <w:gridCol w:w="1241"/>
        <w:gridCol w:w="1096"/>
        <w:gridCol w:w="1098"/>
        <w:gridCol w:w="230"/>
        <w:gridCol w:w="821"/>
        <w:gridCol w:w="119"/>
        <w:gridCol w:w="109"/>
        <w:gridCol w:w="109"/>
        <w:gridCol w:w="109"/>
        <w:gridCol w:w="306"/>
        <w:gridCol w:w="1090"/>
        <w:gridCol w:w="223"/>
      </w:tblGrid>
      <w:tr>
        <w:trPr/>
        <w:tc>
          <w:tcPr>
            <w:tcW w:w="124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343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Capitalized software</w:t>
            </w:r>
          </w:p>
        </w:tc>
        <w:tc>
          <w:tcPr>
            <w:tcW w:w="23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40,009 </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35,681 </w:t>
            </w:r>
          </w:p>
        </w:tc>
        <w:tc>
          <w:tcPr>
            <w:tcW w:w="2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technology</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indefinite-lived intangible assets</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2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intangible assets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41,268 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36,805 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amortization</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(21,344)</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(16,906)</w:t>
            </w:r>
          </w:p>
        </w:tc>
        <w:tc>
          <w:tcPr>
            <w:tcW w:w="2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19,924 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19,899 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Company capitalized $4,328 and $6,700 of software development costs, with the majority of the costs being employee wages, during the six months ended June 30, 2025 and 2024, respectively. Amortization expense is included within the following financial statement line items within the Company’s Unaudited Condensed Consolidated Statements of Operations and Comprehensive Income.</w:t>
      </w:r>
    </w:p>
    <w:tbl>
      <w:tblPr>
        <w:tblW w:w="7208" w:type="dxa"/>
        <w:jc w:val="left"/>
        <w:tblInd w:w="0" w:type="dxa"/>
        <w:tblLayout w:type="fixed"/>
        <w:tblCellMar>
          <w:top w:w="28" w:type="dxa"/>
          <w:left w:w="28" w:type="dxa"/>
          <w:bottom w:w="28" w:type="dxa"/>
          <w:right w:w="28" w:type="dxa"/>
        </w:tblCellMar>
      </w:tblPr>
      <w:tblGrid>
        <w:gridCol w:w="688"/>
        <w:gridCol w:w="608"/>
        <w:gridCol w:w="609"/>
        <w:gridCol w:w="229"/>
        <w:gridCol w:w="703"/>
        <w:gridCol w:w="118"/>
        <w:gridCol w:w="118"/>
        <w:gridCol w:w="118"/>
        <w:gridCol w:w="118"/>
        <w:gridCol w:w="229"/>
        <w:gridCol w:w="703"/>
        <w:gridCol w:w="118"/>
        <w:gridCol w:w="109"/>
        <w:gridCol w:w="109"/>
        <w:gridCol w:w="109"/>
        <w:gridCol w:w="211"/>
        <w:gridCol w:w="646"/>
        <w:gridCol w:w="109"/>
        <w:gridCol w:w="109"/>
        <w:gridCol w:w="109"/>
        <w:gridCol w:w="109"/>
        <w:gridCol w:w="211"/>
        <w:gridCol w:w="646"/>
        <w:gridCol w:w="109"/>
        <w:gridCol w:w="109"/>
        <w:gridCol w:w="154"/>
      </w:tblGrid>
      <w:tr>
        <w:trPr/>
        <w:tc>
          <w:tcPr>
            <w:tcW w:w="68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22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1,957 </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944 </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w:t>
            </w:r>
          </w:p>
        </w:tc>
        <w:tc>
          <w:tcPr>
            <w:tcW w:w="22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2,101 </w:t>
            </w:r>
          </w:p>
        </w:tc>
        <w:tc>
          <w:tcPr>
            <w:tcW w:w="11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1,102 </w:t>
            </w:r>
          </w:p>
        </w:tc>
        <w:tc>
          <w:tcPr>
            <w:tcW w:w="11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4,438 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2,109 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estimated future amortization expense of capitalized software and acquired technology with definite lives as of June 30, 2025 was as follows:</w:t>
      </w:r>
    </w:p>
    <w:tbl>
      <w:tblPr>
        <w:tblW w:w="5849" w:type="dxa"/>
        <w:jc w:val="left"/>
        <w:tblInd w:w="0" w:type="dxa"/>
        <w:tblLayout w:type="fixed"/>
        <w:tblCellMar>
          <w:top w:w="28" w:type="dxa"/>
          <w:left w:w="28" w:type="dxa"/>
          <w:bottom w:w="28" w:type="dxa"/>
          <w:right w:w="28" w:type="dxa"/>
        </w:tblCellMar>
      </w:tblPr>
      <w:tblGrid>
        <w:gridCol w:w="1426"/>
        <w:gridCol w:w="1257"/>
        <w:gridCol w:w="1262"/>
        <w:gridCol w:w="359"/>
        <w:gridCol w:w="1282"/>
        <w:gridCol w:w="263"/>
      </w:tblGrid>
      <w:tr>
        <w:trPr/>
        <w:tc>
          <w:tcPr>
            <w:tcW w:w="142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Amortization Expense</w:t>
            </w:r>
          </w:p>
        </w:tc>
      </w:tr>
      <w:tr>
        <w:trPr/>
        <w:tc>
          <w:tcPr>
            <w:tcW w:w="39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Remainder of 2025</w:t>
            </w:r>
          </w:p>
        </w:tc>
        <w:tc>
          <w:tcPr>
            <w:tcW w:w="35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4,699 </w:t>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16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5,180 </w:t>
            </w:r>
          </w:p>
        </w:tc>
        <w:tc>
          <w:tcPr>
            <w:tcW w:w="2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164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2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estimated future amortization expense</w:t>
            </w:r>
          </w:p>
        </w:tc>
        <w:tc>
          <w:tcPr>
            <w:tcW w:w="35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19,672 </w:t>
            </w:r>
          </w:p>
        </w:tc>
        <w:tc>
          <w:tcPr>
            <w:tcW w:w="26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following table represents the changes to goodwill during the six months ended June 30, 2025:</w:t>
      </w:r>
    </w:p>
    <w:tbl>
      <w:tblPr>
        <w:tblW w:w="4559" w:type="dxa"/>
        <w:jc w:val="left"/>
        <w:tblInd w:w="0" w:type="dxa"/>
        <w:tblLayout w:type="fixed"/>
        <w:tblCellMar>
          <w:top w:w="28" w:type="dxa"/>
          <w:left w:w="28" w:type="dxa"/>
          <w:bottom w:w="28" w:type="dxa"/>
          <w:right w:w="28" w:type="dxa"/>
        </w:tblCellMar>
      </w:tblPr>
      <w:tblGrid>
        <w:gridCol w:w="1114"/>
        <w:gridCol w:w="978"/>
        <w:gridCol w:w="983"/>
        <w:gridCol w:w="280"/>
        <w:gridCol w:w="999"/>
        <w:gridCol w:w="205"/>
      </w:tblGrid>
      <w:tr>
        <w:trPr/>
        <w:tc>
          <w:tcPr>
            <w:tcW w:w="11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Carrying amount</w:t>
            </w:r>
          </w:p>
        </w:tc>
      </w:tr>
      <w:tr>
        <w:trPr/>
        <w:tc>
          <w:tcPr>
            <w:tcW w:w="3075"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as of December 31, 2024</w:t>
            </w:r>
          </w:p>
        </w:tc>
        <w:tc>
          <w:tcPr>
            <w:tcW w:w="280"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9"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10,538 </w:t>
            </w:r>
          </w:p>
        </w:tc>
        <w:tc>
          <w:tcPr>
            <w:tcW w:w="205"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as of June 30, 2025</w:t>
            </w:r>
          </w:p>
        </w:tc>
        <w:tc>
          <w:tcPr>
            <w:tcW w:w="280"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9"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10,538 </w:t>
            </w:r>
          </w:p>
        </w:tc>
        <w:tc>
          <w:tcPr>
            <w:tcW w:w="205" w:type="dxa"/>
            <w:tcBorders>
              <w:top w:val="sing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As of June 30, 2025 and December 31, 2024, $6,668 and $6,923 of goodwill is deductible for tax purposes,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80"/>
        <w:jc w:val="left"/>
        <w:rPr>
          <w:rFonts w:ascii="Arial;sans-serif" w:hAnsi="Arial;sans-serif"/>
          <w:b/>
          <w:color w:val="000000"/>
          <w:sz w:val="20"/>
        </w:rPr>
      </w:pPr>
      <w:r>
        <w:rPr>
          <w:rFonts w:ascii="Arial;sans-serif" w:hAnsi="Arial;sans-serif"/>
          <w:b/>
          <w:color w:val="000000"/>
          <w:sz w:val="20"/>
        </w:rPr>
        <w:t>7. LEASES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Company has entered into various operating leases for its office space expiring between fiscal 2025 and 2036. Certain lease agreements contain an option for the Company to renew a lease for a term of up to five years. The Company considers these options, which may be elected at the Company’s sole discretion, in determining the lease term on a lease-by-lease basis.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In May 2025, the Company entered into an amendment (the “Third Amendment”) to the Office Lease Agreement with 5704 Penn Office, LLC (the "Landlord") for office space located at Liberty East (the “Premise) at 141 South Saint Clair Street, Pittsburgh, Pennsylvania. The Third Amendment grants the Company access to and control of the expansion space to begin tenant improvement work as of the effective date in May 2025.</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As a result of obtaining control of the premises, the lease was recognized on the Company’s balance sheet in the second quarter of 2025 in accordance with ASC 842. $35,592 was recognized as a right-of-use-asset and $38,964 was recognized as a lease liability as part of the amendment on the Company’s Unaudited Condensed Consolidated. Under the terms of the Third Amendment, the Landlord provided the Company with a tenant improvement allowance for costs related to the design, permitting, and construction of improvements to the Premise. As of June 30, 2025, $6,809 related to this allowance was recognized within Unaudited Condensed Consolidated Balance Sheet within Other Assets. The full lease term extends through April 30, 2036, and includes approximately 148,266 square feet of leased space.</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The following represents the components of lease cost for the three and six months ended June 30, 2025 and 2024 along with supplemental disclosures of cash flow information, lease term and discount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1797"/>
        <w:gridCol w:w="1461"/>
        <w:gridCol w:w="1467"/>
        <w:gridCol w:w="215"/>
        <w:gridCol w:w="769"/>
        <w:gridCol w:w="111"/>
        <w:gridCol w:w="111"/>
        <w:gridCol w:w="111"/>
        <w:gridCol w:w="111"/>
        <w:gridCol w:w="215"/>
        <w:gridCol w:w="661"/>
        <w:gridCol w:w="111"/>
        <w:gridCol w:w="109"/>
        <w:gridCol w:w="109"/>
        <w:gridCol w:w="109"/>
        <w:gridCol w:w="211"/>
        <w:gridCol w:w="751"/>
        <w:gridCol w:w="109"/>
        <w:gridCol w:w="109"/>
        <w:gridCol w:w="109"/>
        <w:gridCol w:w="109"/>
        <w:gridCol w:w="211"/>
        <w:gridCol w:w="751"/>
        <w:gridCol w:w="109"/>
        <w:gridCol w:w="109"/>
        <w:gridCol w:w="160"/>
      </w:tblGrid>
      <w:tr>
        <w:trPr/>
        <w:tc>
          <w:tcPr>
            <w:tcW w:w="1797"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269" w:type="dxa"/>
            <w:gridSpan w:val="2"/>
            <w:tcBorders/>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cost</w:t>
            </w:r>
          </w:p>
        </w:tc>
        <w:tc>
          <w:tcPr>
            <w:tcW w:w="21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2,742 </w:t>
            </w:r>
          </w:p>
        </w:tc>
        <w:tc>
          <w:tcPr>
            <w:tcW w:w="1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2,706 </w:t>
            </w:r>
          </w:p>
        </w:tc>
        <w:tc>
          <w:tcPr>
            <w:tcW w:w="1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 term lease cost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Variable lease cost</w:t>
            </w:r>
          </w:p>
        </w:tc>
        <w:tc>
          <w:tcPr>
            <w:tcW w:w="98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lease cost</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amounts included in the measurement of lease liabilities</w:t>
            </w:r>
          </w:p>
        </w:tc>
        <w:tc>
          <w:tcPr>
            <w:tcW w:w="21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1,138 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1,606 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 obtained in exchange for new operating lease liabilities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DBDBDB" w:val="clear"/>
            <w:tcMar>
              <w:top w:w="0" w:type="dxa"/>
              <w:left w:w="0" w:type="dxa"/>
              <w:bottom w:w="0" w:type="dxa"/>
              <w:right w:w="0" w:type="dxa"/>
            </w:tcMar>
            <w:vAlign w:val="center"/>
          </w:tcPr>
          <w:p>
            <w:pPr>
              <w:pStyle w:val="TableContents"/>
              <w:bidi w:val="0"/>
              <w:spacing w:lineRule="auto" w:line="268" w:before="0" w:after="0"/>
              <w:ind w:left="0" w:right="0" w:hanging="180"/>
              <w:jc w:val="left"/>
              <w:rPr>
                <w:rFonts w:ascii="Arial;sans-serif" w:hAnsi="Arial;sans-serif"/>
                <w:b w:val="false"/>
                <w:color w:val="000000"/>
                <w:sz w:val="20"/>
              </w:rPr>
            </w:pPr>
            <w:r>
              <w:rPr>
                <w:rFonts w:ascii="Arial;sans-serif" w:hAnsi="Arial;sans-serif"/>
                <w:b w:val="false"/>
                <w:color w:val="000000"/>
                <w:sz w:val="20"/>
              </w:rPr>
              <w:t>Right of use assets disposed or adjusted, modifying operating leases liabilities</w:t>
            </w:r>
          </w:p>
        </w:tc>
        <w:tc>
          <w:tcPr>
            <w:tcW w:w="21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Gain from termination of leases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6666" w:type="dxa"/>
        <w:jc w:val="left"/>
        <w:tblInd w:w="0" w:type="dxa"/>
        <w:tblLayout w:type="fixed"/>
        <w:tblCellMar>
          <w:top w:w="28" w:type="dxa"/>
          <w:left w:w="28" w:type="dxa"/>
          <w:bottom w:w="28" w:type="dxa"/>
          <w:right w:w="28" w:type="dxa"/>
        </w:tblCellMar>
      </w:tblPr>
      <w:tblGrid>
        <w:gridCol w:w="1288"/>
        <w:gridCol w:w="1131"/>
        <w:gridCol w:w="1135"/>
        <w:gridCol w:w="344"/>
        <w:gridCol w:w="253"/>
        <w:gridCol w:w="664"/>
        <w:gridCol w:w="109"/>
        <w:gridCol w:w="109"/>
        <w:gridCol w:w="109"/>
        <w:gridCol w:w="344"/>
        <w:gridCol w:w="253"/>
        <w:gridCol w:w="664"/>
        <w:gridCol w:w="109"/>
        <w:gridCol w:w="154"/>
      </w:tblGrid>
      <w:tr>
        <w:trPr/>
        <w:tc>
          <w:tcPr>
            <w:tcW w:w="128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remaining lease term</w:t>
            </w:r>
          </w:p>
        </w:tc>
        <w:tc>
          <w:tcPr>
            <w:tcW w:w="1261"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 years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discount rate</w:t>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6.94 </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7.14 </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Sublease income was immaterial for the three and six months ended June 30, 2025 and 2024.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following table reconciles future minimum undiscounted rental commitments for operating leases to operating lease liabilities recorded on the Unaudited Condensed Consolidated Balance Sheet as of June 30, 2025:</w:t>
      </w:r>
    </w:p>
    <w:tbl>
      <w:tblPr>
        <w:tblW w:w="4430" w:type="dxa"/>
        <w:jc w:val="left"/>
        <w:tblInd w:w="0" w:type="dxa"/>
        <w:tblLayout w:type="fixed"/>
        <w:tblCellMar>
          <w:top w:w="28" w:type="dxa"/>
          <w:left w:w="28" w:type="dxa"/>
          <w:bottom w:w="28" w:type="dxa"/>
          <w:right w:w="28" w:type="dxa"/>
        </w:tblCellMar>
      </w:tblPr>
      <w:tblGrid>
        <w:gridCol w:w="1157"/>
        <w:gridCol w:w="1016"/>
        <w:gridCol w:w="1036"/>
        <w:gridCol w:w="211"/>
        <w:gridCol w:w="856"/>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Fiscal year</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2,184 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14,576 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15,053 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undiscounted lease payments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136,847 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Present value adjustment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96,805 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Current lease liabilities of $2,962 and $2,581 are presented within Accrued expenses and other liabilities while non-current lease liabilities of $93,843 and $54,656 are presented within Long-term obligation under operating leases on the Unaudited Condensed Consolidated Balance Sheets as of June 30, 2025 and Audited Consolidated Balance Sheet as of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11" w:name="i2a27b655148b40509a37c4c2f7dc0e01"/>
      <w:bookmarkEnd w:id="11"/>
      <w:r>
        <w:rPr>
          <w:rFonts w:ascii="Arial;sans-serif" w:hAnsi="Arial;sans-serif"/>
          <w:b/>
          <w:color w:val="000000"/>
          <w:sz w:val="20"/>
        </w:rPr>
        <w:t>8.    INCOME TAXES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Year-to-date income tax expense or benefit is the product of the most current projected annual effective tax rate (“PAETR”) and the actual year-to-date pretax income adjusted for any discrete items. The income tax expense or benefit for a particular quarter, is the difference between the year-to-date calculation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income tax expense or benefit and the year-to-date calculation for the prior year period. Items unrelated to current period ordinary income or loss are recognized entirely in the period identified as a discrete item of tax.</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Company’s PAETR differs from the U.S. federal statutory rate of 21.0% during the three and six months ended June 30, 2025 and 2024 primarily due to the impact of maintaining a U.S. valuation allowance provided on U.S. deferred tax assets, the impact of the Foreign-Derived Intangible Income tax regime, and the U.S. R&amp;D credit.</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Company’s income before taxes, income tax provision or benefit and effective tax rates were as follows:</w:t>
      </w:r>
    </w:p>
    <w:tbl>
      <w:tblPr>
        <w:tblW w:w="8942" w:type="dxa"/>
        <w:jc w:val="left"/>
        <w:tblInd w:w="0" w:type="dxa"/>
        <w:tblLayout w:type="fixed"/>
        <w:tblCellMar>
          <w:top w:w="28" w:type="dxa"/>
          <w:left w:w="28" w:type="dxa"/>
          <w:bottom w:w="28" w:type="dxa"/>
          <w:right w:w="28" w:type="dxa"/>
        </w:tblCellMar>
      </w:tblPr>
      <w:tblGrid>
        <w:gridCol w:w="1059"/>
        <w:gridCol w:w="931"/>
        <w:gridCol w:w="934"/>
        <w:gridCol w:w="211"/>
        <w:gridCol w:w="751"/>
        <w:gridCol w:w="286"/>
        <w:gridCol w:w="109"/>
        <w:gridCol w:w="109"/>
        <w:gridCol w:w="109"/>
        <w:gridCol w:w="211"/>
        <w:gridCol w:w="751"/>
        <w:gridCol w:w="286"/>
        <w:gridCol w:w="109"/>
        <w:gridCol w:w="109"/>
        <w:gridCol w:w="109"/>
        <w:gridCol w:w="211"/>
        <w:gridCol w:w="751"/>
        <w:gridCol w:w="286"/>
        <w:gridCol w:w="109"/>
        <w:gridCol w:w="109"/>
        <w:gridCol w:w="109"/>
        <w:gridCol w:w="211"/>
        <w:gridCol w:w="751"/>
        <w:gridCol w:w="331"/>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2024</w:t>
            </w:r>
          </w:p>
        </w:tc>
      </w:tr>
      <w:tr>
        <w:trPr/>
        <w:tc>
          <w:tcPr>
            <w:tcW w:w="29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46,450 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28,714 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81,460 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54,565 </w:t>
            </w:r>
          </w:p>
        </w:tc>
        <w:tc>
          <w:tcPr>
            <w:tcW w:w="3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3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For the three and six months ended June 30, 2025, the Company recorded an income tax provision of $1,669 and $1,544, respectively. For the three and six months ended June 30, 2024, the Company recorded an income tax provision of $4,363 and $3,258, respectively.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For both of the periods ended June 30, 2025 and June 30, 2024, the Company has recognized a year-to-date discrete tax benefit attributable to the excess tax benefits of stock-based compensation activity.</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Company periodically evaluates the realizability of its net deferred tax assets based on all available evidence, both positive and negative. The realization of net deferred tax assets is dependent on the Company’s ability to generate sufficient future taxable income to fully utilize these assets. As of June 30, 2025, the Company continues to maintain a full allowance against its U.S. federal and state net deferred tax assets.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Given the Company’s recent history of earnings, management believes there is a reasonable possibility that, during the year, sufficient positive evidence may become available to support a conclusion that a significant portion of the valuation allowance recorded against the deferred tax assets will be reversed. The reversal would result in an income tax benefit for the quarterly and annual fiscal period in which the Company releases the valuation allowance. However, the exact timing and amount of the valuation allowance release are subject to change on the basis of the level of profitability that the Company actually achieves.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12" w:name="i3e9010ffd6bc470688ee9788b67b40a1"/>
      <w:bookmarkEnd w:id="12"/>
      <w:r>
        <w:rPr>
          <w:rFonts w:ascii="Arial;sans-serif" w:hAnsi="Arial;sans-serif"/>
          <w:b/>
          <w:color w:val="000000"/>
          <w:sz w:val="20"/>
        </w:rPr>
        <w:t>9.    STOCK-BASED COMPENSATION</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Prior to the IPO, the Company granted options to purchase shares of the Company’s common stock and restricted stock units (“RSU”) in respect of shares of the Company’s common stock to employees, directors and consultants under the Company’s 2011 Equity Incentive Plan. In connection with the IPO, the Company adopted the 2021 Incentive Award Plan (“2021 Plan”) and the 2021 Employee Stock Purchase Plan (“ESPP”), both of which became effective on July 26, 2021. The 2021 Plan and ESPP include an annual share increase provision through January 1, 2031, subject to limits and Board discretion. On January 1, 2025, the number of Class A shares available under the 2021 Plan was increased by 2,247 shares of common stock. No grants have been made under the ESPP, and in February 2025, the Board waived all future automatic share increases under the ESPP.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The Company’s stock options generally vest over four years based on continued service to the Company and its subsidiaries. Each option has a term of ten years. Any stock options granted under the 2021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must generally have an exercise price of not less than the estimated fair market value of the underlying Class A common stock at the date of the grant, but as of June 30, 2025 no options had been granted under the 2021 Plan.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A summary of stock option activity as of June 30, 2025 is as follows:</w:t>
      </w:r>
    </w:p>
    <w:tbl>
      <w:tblPr>
        <w:tblW w:w="10205" w:type="dxa"/>
        <w:jc w:val="left"/>
        <w:tblInd w:w="0" w:type="dxa"/>
        <w:tblLayout w:type="fixed"/>
        <w:tblCellMar>
          <w:top w:w="28" w:type="dxa"/>
          <w:left w:w="28" w:type="dxa"/>
          <w:bottom w:w="28" w:type="dxa"/>
          <w:right w:w="28" w:type="dxa"/>
        </w:tblCellMar>
      </w:tblPr>
      <w:tblGrid>
        <w:gridCol w:w="965"/>
        <w:gridCol w:w="811"/>
        <w:gridCol w:w="813"/>
        <w:gridCol w:w="323"/>
        <w:gridCol w:w="323"/>
        <w:gridCol w:w="288"/>
        <w:gridCol w:w="109"/>
        <w:gridCol w:w="109"/>
        <w:gridCol w:w="109"/>
        <w:gridCol w:w="211"/>
        <w:gridCol w:w="646"/>
        <w:gridCol w:w="109"/>
        <w:gridCol w:w="109"/>
        <w:gridCol w:w="109"/>
        <w:gridCol w:w="109"/>
        <w:gridCol w:w="985"/>
        <w:gridCol w:w="985"/>
        <w:gridCol w:w="989"/>
        <w:gridCol w:w="109"/>
        <w:gridCol w:w="109"/>
        <w:gridCol w:w="109"/>
        <w:gridCol w:w="306"/>
        <w:gridCol w:w="1242"/>
        <w:gridCol w:w="228"/>
      </w:tblGrid>
      <w:tr>
        <w:trPr/>
        <w:tc>
          <w:tcPr>
            <w:tcW w:w="96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prices and years)</w:t>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 intrinsic value</w:t>
            </w:r>
          </w:p>
        </w:tc>
      </w:tr>
      <w:tr>
        <w:trPr/>
        <w:tc>
          <w:tcPr>
            <w:tcW w:w="2589"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r>
      <w:tr>
        <w:trPr/>
        <w:tc>
          <w:tcPr>
            <w:tcW w:w="2589"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r>
      <w:tr>
        <w:trPr/>
        <w:tc>
          <w:tcPr>
            <w:tcW w:w="2589"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r>
      <w:tr>
        <w:trPr/>
        <w:tc>
          <w:tcPr>
            <w:tcW w:w="2589"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r>
      <w:tr>
        <w:trPr/>
        <w:tc>
          <w:tcPr>
            <w:tcW w:w="2589"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r>
      <w:tr>
        <w:trPr/>
        <w:tc>
          <w:tcPr>
            <w:tcW w:w="25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Options outstanding at January 1, 2025</w:t>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1,523 </w:t>
            </w:r>
          </w:p>
        </w:tc>
        <w:tc>
          <w:tcPr>
            <w:tcW w:w="28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465,985 </w:t>
            </w:r>
          </w:p>
        </w:tc>
        <w:tc>
          <w:tcPr>
            <w:tcW w:w="2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 (1)</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w:t>
            </w:r>
          </w:p>
        </w:tc>
        <w:tc>
          <w:tcPr>
            <w:tcW w:w="2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9"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r>
      <w:tr>
        <w:trPr/>
        <w:tc>
          <w:tcPr>
            <w:tcW w:w="2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 and expired (2)</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9"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Options outstanding at June 30, 2025</w:t>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1,085 </w:t>
            </w:r>
          </w:p>
        </w:tc>
        <w:tc>
          <w:tcPr>
            <w:tcW w:w="28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424,207 </w:t>
            </w:r>
          </w:p>
        </w:tc>
        <w:tc>
          <w:tcPr>
            <w:tcW w:w="2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Options exercisable at June 30, 2025</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1,085 </w:t>
            </w:r>
          </w:p>
        </w:tc>
        <w:tc>
          <w:tcPr>
            <w:tcW w:w="28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424,207 </w:t>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9"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 There were no stock options granted during the three and six months ended June 30, 2025.</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 There was a nominal amount of forfeitures and expirations during the three and six months ended June 30, 2025.</w:t>
      </w:r>
    </w:p>
    <w:p>
      <w:pPr>
        <w:pStyle w:val="TextBody"/>
        <w:bidi w:val="0"/>
        <w:spacing w:before="0" w:after="0"/>
        <w:ind w:left="0" w:right="0" w:hanging="36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total intrinsic value of options exercised was approximately $160,618 and $110,042 for the periods ended June 30, 2025 and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Company began to grant RSUs in November 2020. The fair value of RSUs is estimated based on the fair value of our Class A common stock on the date of grant. Each RSU vests based upon the satisfaction of length of service. The Company measures and recognizes stock-based compensation expense for all stock-based awards based on the estimated fair value of the award.</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A summary of RSU activity as of June 30, 2025 is as follows:</w:t>
      </w:r>
    </w:p>
    <w:tbl>
      <w:tblPr>
        <w:tblW w:w="7524" w:type="dxa"/>
        <w:jc w:val="left"/>
        <w:tblInd w:w="0" w:type="dxa"/>
        <w:tblLayout w:type="fixed"/>
        <w:tblCellMar>
          <w:top w:w="28" w:type="dxa"/>
          <w:left w:w="28" w:type="dxa"/>
          <w:bottom w:w="28" w:type="dxa"/>
          <w:right w:w="28" w:type="dxa"/>
        </w:tblCellMar>
      </w:tblPr>
      <w:tblGrid>
        <w:gridCol w:w="1032"/>
        <w:gridCol w:w="907"/>
        <w:gridCol w:w="910"/>
        <w:gridCol w:w="614"/>
        <w:gridCol w:w="614"/>
        <w:gridCol w:w="616"/>
        <w:gridCol w:w="109"/>
        <w:gridCol w:w="109"/>
        <w:gridCol w:w="109"/>
        <w:gridCol w:w="473"/>
        <w:gridCol w:w="1686"/>
        <w:gridCol w:w="345"/>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prices)</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grant date fair value per share</w:t>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Outstanding at January 1, 2025</w:t>
            </w:r>
          </w:p>
        </w:tc>
        <w:tc>
          <w:tcPr>
            <w:tcW w:w="122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1,802 </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143.96 </w:t>
            </w:r>
          </w:p>
        </w:tc>
        <w:tc>
          <w:tcPr>
            <w:tcW w:w="34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504.38 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Released</w:t>
            </w:r>
          </w:p>
        </w:tc>
        <w:tc>
          <w:tcPr>
            <w:tcW w:w="12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w:t>
            </w:r>
          </w:p>
        </w:tc>
        <w:tc>
          <w:tcPr>
            <w:tcW w:w="6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116.37 </w:t>
            </w:r>
          </w:p>
        </w:tc>
        <w:tc>
          <w:tcPr>
            <w:tcW w:w="3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178.10 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Outstanding at June 30, 2025</w:t>
            </w:r>
          </w:p>
        </w:tc>
        <w:tc>
          <w:tcPr>
            <w:tcW w:w="1228"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1,638 </w:t>
            </w:r>
          </w:p>
        </w:tc>
        <w:tc>
          <w:tcPr>
            <w:tcW w:w="6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8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216.93 </w:t>
            </w:r>
          </w:p>
        </w:tc>
        <w:tc>
          <w:tcPr>
            <w:tcW w:w="34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As of June 30, 2025, there was no unrecognized stock-based compensation expense related to stock options granted under the plans. The amount of unrecognized stock-based compensation expense for RSUs as of June 30, 2025 was $325,074 with a weighted-average period of approximately three years.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There were 10,949 shares available for grant at June 30, 2025.</w:t>
      </w:r>
    </w:p>
    <w:p>
      <w:pPr>
        <w:pStyle w:val="TextBody"/>
        <w:bidi w:val="0"/>
        <w:spacing w:lineRule="auto" w:line="312" w:before="0" w:after="180"/>
        <w:jc w:val="left"/>
        <w:rPr>
          <w:rFonts w:ascii="Arial;sans-serif" w:hAnsi="Arial;sans-serif"/>
          <w:b w:val="false"/>
          <w:i/>
          <w:color w:val="000000"/>
          <w:sz w:val="20"/>
        </w:rPr>
      </w:pPr>
      <w:r>
        <w:rPr>
          <w:rFonts w:ascii="Arial;sans-serif" w:hAnsi="Arial;sans-serif"/>
          <w:b w:val="false"/>
          <w:i/>
          <w:color w:val="000000"/>
          <w:sz w:val="20"/>
        </w:rPr>
        <w:t xml:space="preserve">Performance-based RSUs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In June 2021, the Company granted an aggregate of 1,800 performance-based RSUs (the “Founder Awards”) to its founders. Vesting is subject to both service- and performance-based conditions, with settlement occurring one year after vesting. The awards vest in 10 tranches based on stock-price hurdles measured over a ten year period from the grant date. The service condition vests 25% annually beginning on the IPO anniversary, July 30, 2021, subject to continued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Company used a Monte Carlo simulation to estimate the fair value of the Founder Awards. The weighted-average grant date fair value was $61.56 per share, and total estimated expense to be recognized over the derived service periods (ranging from 3.58 to 5.92 years) is $110,817. Stock-based compensation expense is recognized over the derived service period, regardless of whether the stock-price hurdles are achieved, and is accelerated if hurdles are met earlier.</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The Company recognized $3,963 and $8,077 of stock-based compensation expense related to the Founder Awards for the three and six months ended June 30, 2025, and $5,557 and $11,097 for the three and six months ended June 30, 2024, respectively. As of June 30, 2025, $8,859 of unrecognized stock-based compensation expense remains.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Total stock-based compensation expense was $34,592 and $65,610 for the three and six months ended June 30, 2025, and $26,746 and $51,731 for the three and six months ended June 30, 2024, respectively.</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Stock-based compensation expense is included in the Unaudited Condensed Consolidated Statements of Operations and Comprehensive Income as shown in the following table: </w:t>
      </w:r>
    </w:p>
    <w:tbl>
      <w:tblPr>
        <w:tblW w:w="7691" w:type="dxa"/>
        <w:jc w:val="left"/>
        <w:tblInd w:w="0" w:type="dxa"/>
        <w:tblLayout w:type="fixed"/>
        <w:tblCellMar>
          <w:top w:w="28" w:type="dxa"/>
          <w:left w:w="28" w:type="dxa"/>
          <w:bottom w:w="28" w:type="dxa"/>
          <w:right w:w="28" w:type="dxa"/>
        </w:tblCellMar>
      </w:tblPr>
      <w:tblGrid>
        <w:gridCol w:w="900"/>
        <w:gridCol w:w="794"/>
        <w:gridCol w:w="796"/>
        <w:gridCol w:w="211"/>
        <w:gridCol w:w="751"/>
        <w:gridCol w:w="109"/>
        <w:gridCol w:w="109"/>
        <w:gridCol w:w="109"/>
        <w:gridCol w:w="109"/>
        <w:gridCol w:w="211"/>
        <w:gridCol w:w="751"/>
        <w:gridCol w:w="109"/>
        <w:gridCol w:w="211"/>
        <w:gridCol w:w="751"/>
        <w:gridCol w:w="109"/>
        <w:gridCol w:w="109"/>
        <w:gridCol w:w="109"/>
        <w:gridCol w:w="109"/>
        <w:gridCol w:w="211"/>
        <w:gridCol w:w="751"/>
        <w:gridCol w:w="109"/>
        <w:gridCol w:w="109"/>
        <w:gridCol w:w="154"/>
      </w:tblGrid>
      <w:tr>
        <w:trPr/>
        <w:tc>
          <w:tcPr>
            <w:tcW w:w="90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34,592 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26,746 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65,610 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51,731 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Nominal amounts of stock-based compensation expense is capitalized into intangible assets for the three and six months ended June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13" w:name="i9e950cc0b842435c828fe5ee536a523b"/>
      <w:bookmarkEnd w:id="13"/>
      <w:r>
        <w:rPr>
          <w:rFonts w:ascii="Arial;sans-serif" w:hAnsi="Arial;sans-serif"/>
          <w:b/>
          <w:color w:val="000000"/>
          <w:sz w:val="20"/>
        </w:rPr>
        <w:t>10.    COMMITMENTS AND CONTINGENCIES</w:t>
      </w:r>
    </w:p>
    <w:p>
      <w:pPr>
        <w:pStyle w:val="TextBody"/>
        <w:bidi w:val="0"/>
        <w:spacing w:lineRule="auto" w:line="312" w:before="0" w:after="180"/>
        <w:jc w:val="left"/>
        <w:rPr/>
      </w:pPr>
      <w:r>
        <w:rPr>
          <w:rFonts w:ascii="Arial;sans-serif" w:hAnsi="Arial;sans-serif"/>
          <w:b/>
          <w:color w:val="000000"/>
          <w:sz w:val="20"/>
        </w:rPr>
        <w:t>Legal Proceedings</w:t>
      </w:r>
      <w:r>
        <w:rPr>
          <w:color w:val="000000"/>
        </w:rPr>
        <w:t xml:space="preserve">— </w:t>
      </w:r>
      <w:r>
        <w:rPr>
          <w:rFonts w:ascii="Arial;sans-serif" w:hAnsi="Arial;sans-serif"/>
          <w:b w:val="false"/>
          <w:color w:val="000000"/>
          <w:sz w:val="20"/>
        </w:rPr>
        <w:t>From time to time, the Company may become involved in various legal proceedings in the ordinary course of its business and may be subject to third-party infringement claims. The outcome of any such claims or proceedings, regardless of the merits, is inherently uncertain. The Company is not currently party to any material legal proceedings.</w:t>
      </w:r>
    </w:p>
    <w:p>
      <w:pPr>
        <w:pStyle w:val="TextBody"/>
        <w:bidi w:val="0"/>
        <w:spacing w:lineRule="auto" w:line="312" w:before="0" w:after="180"/>
        <w:jc w:val="left"/>
        <w:rPr/>
      </w:pPr>
      <w:r>
        <w:rPr>
          <w:rFonts w:ascii="Arial;sans-serif" w:hAnsi="Arial;sans-serif"/>
          <w:b/>
          <w:color w:val="000000"/>
          <w:sz w:val="20"/>
        </w:rPr>
        <w:t>Related Parties</w:t>
      </w:r>
      <w:r>
        <w:rPr>
          <w:color w:val="000000"/>
        </w:rPr>
        <w:t xml:space="preserve">— </w:t>
      </w:r>
      <w:r>
        <w:rPr>
          <w:rFonts w:ascii="Arial;sans-serif" w:hAnsi="Arial;sans-serif"/>
          <w:b w:val="false"/>
          <w:color w:val="000000"/>
          <w:sz w:val="20"/>
        </w:rPr>
        <w:t>The Company has determined that there were no transactions with related parties as of or during the three and six months ended June 30, 2025 and 2024.</w:t>
      </w:r>
    </w:p>
    <w:p>
      <w:pPr>
        <w:pStyle w:val="TextBody"/>
        <w:bidi w:val="0"/>
        <w:spacing w:lineRule="auto" w:line="312" w:before="0" w:after="180"/>
        <w:jc w:val="left"/>
        <w:rPr/>
      </w:pPr>
      <w:r>
        <w:rPr>
          <w:rFonts w:ascii="Arial;sans-serif" w:hAnsi="Arial;sans-serif"/>
          <w:b/>
          <w:color w:val="000000"/>
          <w:sz w:val="20"/>
        </w:rPr>
        <w:t>Letters of Credit</w:t>
      </w:r>
      <w:r>
        <w:rPr>
          <w:color w:val="000000"/>
        </w:rPr>
        <w:t xml:space="preserve">— </w:t>
      </w:r>
      <w:r>
        <w:rPr>
          <w:rFonts w:ascii="Arial;sans-serif" w:hAnsi="Arial;sans-serif"/>
          <w:b w:val="false"/>
          <w:color w:val="000000"/>
          <w:sz w:val="20"/>
        </w:rPr>
        <w:t xml:space="preserve">The Company has a standby letter of credit obtained in connection with an operating lease. This letter of credit acts as security for the faithful performance by us of all terms, covenants and conditions of the lease agreement. The amount of the letter of credit is equal to six months rent of $442, totaling $2,656. The cash collateral for the letter of credit has been recognized as restricted cash in the Unaudited Condensed Consolidated Balance Sheet and is equivalent to 103% of the letter of credit and totaled $2,735.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14" w:name="i98ffc9eb776e44e9a269622f61da7028"/>
      <w:bookmarkEnd w:id="14"/>
      <w:r>
        <w:rPr>
          <w:rFonts w:ascii="Arial;sans-serif" w:hAnsi="Arial;sans-serif"/>
          <w:b/>
          <w:color w:val="000000"/>
          <w:sz w:val="20"/>
        </w:rPr>
        <w:t>11.    EMPLOYEE BENEFIT PLAN</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The Company sponsors a profit sharing plan with a 401(k) feature, the Duolingo Retirement Plan (the “Plan”), for eligible employees. The current Plan, effective January 1, 2021, provides for Company safe harbor matching contributions of 100% of the first 4% of the employees’ elective deferrals and 50% of the next 2%, with vesting starting upon the first day of employment. The Company also has the option to make discretionary matching or profit sharing contributions. The Company made safe harbor matching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contributions of approximately $2,060 and $1,705 during the three months ended June 30, 2025 and 2024, respectively, and $4,029 and $3,288 during the six months ended June 30, 2025 and 2024, respectively. The Company did not make any discretionary matching or profit sharing contributions during the three and six months ended June 30, 2025 or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15" w:name="i522873c190bd4319b28c59480aedacb5"/>
      <w:bookmarkEnd w:id="15"/>
      <w:r>
        <w:rPr>
          <w:rFonts w:ascii="Arial;sans-serif" w:hAnsi="Arial;sans-serif"/>
          <w:b/>
          <w:color w:val="000000"/>
          <w:sz w:val="20"/>
        </w:rPr>
        <w:t>12.    EARNINGS PER SHARE</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Basic and diluted net income per share attributable to common stockholders is presented in conformity with the two-class method required for participating securities.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Basic net income per share attributable to common stockholders is calculated by dividing the net income by the weighted-average number of shares of common stock outstanding during the period, less shares subject to repurchase. The diluted net income per share attributable to common stockholders is calculated by giving effect to all potential dilutive common stock equivalents outstanding for the period. The rights, including the liquidation and dividend rights, of the holders of Class A and Class B common stock are identical, except with respect to voting and conversion. Each share of Class A common stock is entitled to one vote per share and each share of Class B common stock is entitled to 20 votes per share. Each share of Class B common stock is convertible into a share of Class A common stock voluntarily at any time by the holder, and automatically upon certain events. The Class A common stock has no conversion rights. As the liquidation and dividend rights are identical for Class A and Class B common stock, the undistributed earnings are allocated on a proportional basis and the resulting net income per share attributable to common stockholders will, therefore, be the same for both Class A and Class B common stock on an individual or combined basis.</w:t>
      </w:r>
    </w:p>
    <w:tbl>
      <w:tblPr>
        <w:tblW w:w="10205" w:type="dxa"/>
        <w:jc w:val="left"/>
        <w:tblInd w:w="0" w:type="dxa"/>
        <w:tblLayout w:type="fixed"/>
        <w:tblCellMar>
          <w:top w:w="28" w:type="dxa"/>
          <w:left w:w="28" w:type="dxa"/>
          <w:bottom w:w="28" w:type="dxa"/>
          <w:right w:w="28" w:type="dxa"/>
        </w:tblCellMar>
      </w:tblPr>
      <w:tblGrid>
        <w:gridCol w:w="2134"/>
        <w:gridCol w:w="1432"/>
        <w:gridCol w:w="1437"/>
        <w:gridCol w:w="211"/>
        <w:gridCol w:w="751"/>
        <w:gridCol w:w="109"/>
        <w:gridCol w:w="109"/>
        <w:gridCol w:w="109"/>
        <w:gridCol w:w="109"/>
        <w:gridCol w:w="211"/>
        <w:gridCol w:w="751"/>
        <w:gridCol w:w="109"/>
        <w:gridCol w:w="211"/>
        <w:gridCol w:w="751"/>
        <w:gridCol w:w="109"/>
        <w:gridCol w:w="109"/>
        <w:gridCol w:w="109"/>
        <w:gridCol w:w="109"/>
        <w:gridCol w:w="211"/>
        <w:gridCol w:w="751"/>
        <w:gridCol w:w="109"/>
        <w:gridCol w:w="109"/>
        <w:gridCol w:w="155"/>
      </w:tblGrid>
      <w:tr>
        <w:trPr/>
        <w:tc>
          <w:tcPr>
            <w:tcW w:w="2134"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 share data)</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Numerator:</w:t>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Class A and Class B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03"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03"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Denominator:</w:t>
            </w:r>
          </w:p>
        </w:tc>
        <w:tc>
          <w:tcPr>
            <w:tcW w:w="10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in computing net income per share attributable to Class A and Class B common stockholders, basic and diluted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dilutive securities</w:t>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Founder awards where performance has been met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50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stock options outstanding (1)</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RSUs outstanding</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Denominator for dilutive net income per common share - weighted-average shares</w:t>
            </w:r>
          </w:p>
        </w:tc>
        <w:tc>
          <w:tcPr>
            <w:tcW w:w="9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49,000 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47,770 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48,770 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47,530 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income per common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income per common share</w:t>
            </w:r>
          </w:p>
        </w:tc>
        <w:tc>
          <w:tcPr>
            <w:tcW w:w="211"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0.91 </w:t>
            </w:r>
          </w:p>
        </w:tc>
        <w:tc>
          <w:tcPr>
            <w:tcW w:w="109"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0.51 </w:t>
            </w:r>
          </w:p>
        </w:tc>
        <w:tc>
          <w:tcPr>
            <w:tcW w:w="109"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09"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 The Company had 1.1 million options outstanding as of June 30, 2025. The estimated dilutive effect is calculated as the number of shares expected to be issued upon vesting or exercise, adjusted for the strike price proceeds that are received by the Company and assumed to be used to repurchase shares of Duolingo common stock.</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20"/>
        </w:rPr>
      </w:pPr>
      <w:bookmarkStart w:id="16" w:name="if7c8ee3786f5424f922cd678b8ade43c"/>
      <w:bookmarkEnd w:id="16"/>
      <w:r>
        <w:rPr>
          <w:rFonts w:ascii="Arial;sans-serif" w:hAnsi="Arial;sans-serif"/>
          <w:b/>
          <w:color w:val="000000"/>
          <w:sz w:val="20"/>
        </w:rPr>
        <w:t>13.    SUBSEQUENT EVENTS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On July 4, 2025, the One Big Beautiful Bill Act was signed into law in the United States. The Act introduces a broad range of tax reform provisions that may impact businesses, with certain provisions effective in 2025 and others phased in through 2027. The Company is currently evaluating the potential impact of the Act on its consolidated financial statements.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During July 2025, the Company completed the acquisition of the team behind NextBeat through the purchase of Music Learning Services Limited (MLS), a UK-based entity. Total consideration was $34,500, which included cash of $33,100 and contingent consideration of $1,400 that will be paid after one year of continued service of certain of the acquired employees. At the time of this filing, the Company is currently in the process of completing the preliminary purchase price allocation, which will be included in the Company’s Quarterly Report on Form 10-Q for the period ending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bookmarkStart w:id="17" w:name="i3b21ca3098e6400391a055ebdd246a01"/>
      <w:bookmarkEnd w:id="17"/>
      <w:r>
        <w:rPr>
          <w:rFonts w:ascii="Arial;sans-serif" w:hAnsi="Arial;sans-serif"/>
          <w:b/>
          <w:color w:val="000000"/>
          <w:sz w:val="20"/>
        </w:rPr>
        <w:t>Item 2. Management's Discussion and Analysis of Financial Condition and Results of Operations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The following discussion and analysis of our financial condition and results of operations should be read in conjunction with our Unaudited Condensed Consolidated Financial Statements and related notes included elsewhere in this Quarterly Report on Form 10-Q, the audited consolidated financial statements and related notes included in our Annual Report on Form 10-K and in Part II, Item 7. “Management’s Discussion and Analysis of Financial Condition and Results of Operations” of our Annual Report on Form 10-K. The following discussion contains forward-looking statements, such as those relating to our plans, objectives, expectations, intentions, and beliefs, that involve risks, uncertainties and assumptions. Our actual results could differ materially from these forward-looking statements as a result of many factors, including those discussed in “Special Note Regarding Forward-Looking Statements,” and included elsewhere in this Quarterly Report on Form 10-Q, and in Part I, Item 1A. “Risk Factors,” and Part II, Item 7. “Management’s Discussion and Analysis of Financial Condition and Results of Operations” of our Annual Report on Form 10-K. Our historical results are not necessarily indicative of the results that may be expected for any periods in the future.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Amounts reported in millions are rounded based on the amounts in thousands. As a result, the sum of the components reported in millions may not equal the total amount reported in millions due to rounding. In addition, percentages presented are calculated from the underlying numbers in thousands and may not add to their respective totals due to rounding.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18" w:name="ia3d0159a5f3f4c7891de33600995e484"/>
      <w:bookmarkEnd w:id="18"/>
      <w:r>
        <w:rPr>
          <w:rFonts w:ascii="Arial;sans-serif" w:hAnsi="Arial;sans-serif"/>
          <w:b/>
          <w:color w:val="000000"/>
          <w:sz w:val="20"/>
        </w:rPr>
        <w:t>Overview</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Our flagship app has organically become the world’s most popular way to learn languages and the top-grossing Education app in the App Stores, offering courses in over 40 languages to nearly 130 million monthly active users for the three months ended June 30, 2025. We believe that we have become the preeminent online destination for language learning due to our beautifully designed products, exceptional user engagement, and demonstrated learning efficacy.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19" w:name="ie96816c5587d41319adca1518befeb1e"/>
      <w:bookmarkEnd w:id="19"/>
      <w:r>
        <w:rPr>
          <w:rFonts w:ascii="Arial;sans-serif" w:hAnsi="Arial;sans-serif"/>
          <w:b/>
          <w:color w:val="000000"/>
          <w:sz w:val="20"/>
        </w:rPr>
        <w:t>Key Operating Metrics and Non-GAAP Financial Measures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We regularly review a number of key operating metrics and non-GAAP financial measures to evaluate our business, measure our performance, identify trends, prepare financial projections and make business decisions. The measures set forth below should be considered in addition to, not as a substitute for or in isolation from, our financial results prepared in accordance with generally accepted accounting principles in the U.S. (“GAAP”). Monthly active users (MAUs) and daily active users (DAUs), along with paid subscribers, subscription bookings and total bookings, are operating metrics that help inform management about the underlying growth in users of our platform, and are a measure of our monetization efforts. To calculate the year-over-year change in MAUs and DAUs for a given period, we subtract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average for the same period in the previous year from the average for the same period in the current year and divide the result by the average for the same period in the previous year. Other companies, including companies in our industry, may calculate these measures differently or not at all, which reduces their usefulness as comparative measures. </w:t>
      </w:r>
    </w:p>
    <w:tbl>
      <w:tblPr>
        <w:tblW w:w="6167" w:type="dxa"/>
        <w:jc w:val="left"/>
        <w:tblInd w:w="0" w:type="dxa"/>
        <w:tblLayout w:type="fixed"/>
        <w:tblCellMar>
          <w:top w:w="28" w:type="dxa"/>
          <w:left w:w="28" w:type="dxa"/>
          <w:bottom w:w="28" w:type="dxa"/>
          <w:right w:w="28" w:type="dxa"/>
        </w:tblCellMar>
      </w:tblPr>
      <w:tblGrid>
        <w:gridCol w:w="1043"/>
        <w:gridCol w:w="916"/>
        <w:gridCol w:w="920"/>
        <w:gridCol w:w="448"/>
        <w:gridCol w:w="273"/>
        <w:gridCol w:w="273"/>
        <w:gridCol w:w="273"/>
        <w:gridCol w:w="273"/>
        <w:gridCol w:w="273"/>
        <w:gridCol w:w="448"/>
        <w:gridCol w:w="273"/>
        <w:gridCol w:w="273"/>
        <w:gridCol w:w="109"/>
        <w:gridCol w:w="109"/>
        <w:gridCol w:w="109"/>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6"/>
              </w:rPr>
            </w:pPr>
            <w:r>
              <w:rPr>
                <w:rFonts w:ascii="Arial;sans-serif" w:hAnsi="Arial;sans-serif"/>
                <w:b/>
                <w:i/>
                <w:color w:val="000000"/>
                <w:sz w:val="16"/>
              </w:rPr>
              <w:t>(In millions)</w:t>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Operating Metrics </w:t>
            </w:r>
          </w:p>
        </w:tc>
        <w:tc>
          <w:tcPr>
            <w:tcW w:w="99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Monthly active users (MAUs)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Daily active users (DAUs)</w:t>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2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34.1 </w:t>
            </w:r>
          </w:p>
        </w:tc>
        <w:tc>
          <w:tcPr>
            <w:tcW w:w="2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Paid subscribers (at period end)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125" w:type="dxa"/>
        <w:jc w:val="left"/>
        <w:tblInd w:w="0" w:type="dxa"/>
        <w:tblLayout w:type="fixed"/>
        <w:tblCellMar>
          <w:top w:w="28" w:type="dxa"/>
          <w:left w:w="28" w:type="dxa"/>
          <w:bottom w:w="28" w:type="dxa"/>
          <w:right w:w="28" w:type="dxa"/>
        </w:tblCellMar>
      </w:tblPr>
      <w:tblGrid>
        <w:gridCol w:w="1588"/>
        <w:gridCol w:w="1401"/>
        <w:gridCol w:w="1406"/>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1588"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Metrics</w:t>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 bookings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bookings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268,020 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539,668 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387,544 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Non-GAAP Financial Measures</w:t>
            </w:r>
          </w:p>
        </w:tc>
        <w:tc>
          <w:tcPr>
            <w:tcW w:w="11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78,680 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141,484 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92,122 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 (GAAP)</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90,675 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196,306 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145,902 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Free cash flow (1)</w:t>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86,324 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53,732 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189,336 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132,225 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16"/>
        </w:rPr>
      </w:pPr>
      <w:r>
        <w:rPr>
          <w:rFonts w:ascii="Arial;sans-serif" w:hAnsi="Arial;sans-serif"/>
          <w:b w:val="false"/>
          <w:color w:val="000000"/>
          <w:sz w:val="16"/>
        </w:rPr>
        <w:t>________________</w:t>
      </w:r>
    </w:p>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(1)The prior period has been recast to conform to current period presentation.</w:t>
      </w:r>
    </w:p>
    <w:p>
      <w:pPr>
        <w:pStyle w:val="TextBody"/>
        <w:bidi w:val="0"/>
        <w:spacing w:lineRule="auto" w:line="288" w:before="0" w:after="180"/>
        <w:jc w:val="left"/>
        <w:rPr>
          <w:rFonts w:ascii="Arial;sans-serif" w:hAnsi="Arial;sans-serif"/>
          <w:b/>
          <w:i/>
          <w:color w:val="000000"/>
          <w:sz w:val="20"/>
        </w:rPr>
      </w:pPr>
      <w:bookmarkStart w:id="20" w:name="iba8a10cd0a6e463db1161e2e7de9c031"/>
      <w:bookmarkEnd w:id="20"/>
      <w:r>
        <w:rPr>
          <w:rFonts w:ascii="Arial;sans-serif" w:hAnsi="Arial;sans-serif"/>
          <w:b/>
          <w:i/>
          <w:color w:val="000000"/>
          <w:sz w:val="20"/>
        </w:rPr>
        <w:t>Operating Metrics</w:t>
      </w:r>
    </w:p>
    <w:p>
      <w:pPr>
        <w:pStyle w:val="TextBody"/>
        <w:bidi w:val="0"/>
        <w:spacing w:lineRule="auto" w:line="312" w:before="0" w:after="180"/>
        <w:jc w:val="left"/>
        <w:rPr/>
      </w:pPr>
      <w:r>
        <w:rPr>
          <w:rFonts w:ascii="Arial;sans-serif" w:hAnsi="Arial;sans-serif"/>
          <w:b/>
          <w:i/>
          <w:color w:val="000000"/>
          <w:sz w:val="20"/>
        </w:rPr>
        <w:t>Monthly active users (MAUs).</w:t>
      </w:r>
      <w:r>
        <w:rPr>
          <w:color w:val="000000"/>
        </w:rPr>
        <w:t xml:space="preserve"> </w:t>
      </w:r>
      <w:r>
        <w:rPr>
          <w:rFonts w:ascii="Arial;sans-serif" w:hAnsi="Arial;sans-serif"/>
          <w:b w:val="false"/>
          <w:color w:val="000000"/>
          <w:sz w:val="20"/>
        </w:rPr>
        <w:t>MAUs are defined as unique users who engage with our Duolingo App or the learning section of our website each month. MAUs are reported for a measurement period by taking the average of the MAUs for each calendar month in that measurement period. The measurement period for MAUs is the three months ended June 30, 2025 and the same period in the prior year where applicable, and the analysis of results is based on those periods. MAUs are a measure of the size of our global active user community on Duolingo.</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We had approximately 128.3 million and 103.6 million MAUs for the three months ended June 30, 2025 and 2024, respectively, representing an increase of 24% from the prior year period. We grew MAUs through product initiatives designed to make the app more social and engaging, through marketing, and through improving our courses, all of which we believe helped us attract new users, retain existing users, and reengage the millions of former users who return to our Duolingo App.</w:t>
      </w:r>
    </w:p>
    <w:p>
      <w:pPr>
        <w:pStyle w:val="TextBody"/>
        <w:bidi w:val="0"/>
        <w:spacing w:lineRule="auto" w:line="312" w:before="0" w:after="180"/>
        <w:jc w:val="left"/>
        <w:rPr/>
      </w:pPr>
      <w:r>
        <w:rPr>
          <w:rFonts w:ascii="Arial;sans-serif" w:hAnsi="Arial;sans-serif"/>
          <w:b/>
          <w:i/>
          <w:color w:val="000000"/>
          <w:sz w:val="20"/>
        </w:rPr>
        <w:t>Daily active users (DAUs).</w:t>
      </w:r>
      <w:r>
        <w:rPr>
          <w:color w:val="000000"/>
        </w:rPr>
        <w:t xml:space="preserve"> </w:t>
      </w:r>
      <w:r>
        <w:rPr>
          <w:rFonts w:ascii="Arial;sans-serif" w:hAnsi="Arial;sans-serif"/>
          <w:b w:val="false"/>
          <w:color w:val="000000"/>
          <w:sz w:val="20"/>
        </w:rPr>
        <w:t xml:space="preserve">DAUs are defined as unique users who engage with our Duolingo App or the learning section of our website each calendar day. DAUs are reported for a measurement period by taking the average of the DAUs for each day in that measurement period. The measurement period for DAUs is the three months ended June 30, 2025 and the same period in the prior year where applicable,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analysis of results is based on those periods. DAUs are a measure of the consistent engagement of our global user community on Duolingo.</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had approximately 47.7 million and 34.1 million DAUs for the three months ended June 30, 2025 and 2024, respectively, representing an increase of 40% from the prior year period. The DAU / MAU ratio, which we believe is an indicator of user engagement, increased to 37.2% from 32.9% a year ago. We grew DAUs through many of the same marketing and product initiatives as we grew MAUs, such as making the product more fun and engaging.</w:t>
      </w:r>
    </w:p>
    <w:p>
      <w:pPr>
        <w:pStyle w:val="TextBody"/>
        <w:bidi w:val="0"/>
        <w:spacing w:lineRule="auto" w:line="312" w:before="0" w:after="180"/>
        <w:jc w:val="left"/>
        <w:rPr/>
      </w:pPr>
      <w:r>
        <w:rPr>
          <w:rFonts w:ascii="Arial;sans-serif" w:hAnsi="Arial;sans-serif"/>
          <w:b/>
          <w:i/>
          <w:color w:val="000000"/>
          <w:sz w:val="20"/>
        </w:rPr>
        <w:t>Paid Subscribers.</w:t>
      </w:r>
      <w:r>
        <w:rPr>
          <w:color w:val="000000"/>
        </w:rPr>
        <w:t xml:space="preserve"> </w:t>
      </w:r>
      <w:r>
        <w:rPr>
          <w:rFonts w:ascii="Arial;sans-serif" w:hAnsi="Arial;sans-serif"/>
          <w:b w:val="false"/>
          <w:color w:val="000000"/>
          <w:sz w:val="20"/>
        </w:rPr>
        <w:t xml:space="preserve">Paid subscribers are defined as users who pay for access to any Duolingo subscription offering and had an active subscription as of the end of the measurement period. Each unique user account is treated as a single paid subscriber regardless of whether such user purchases multiple subscriptions, and the count of paid subscribers does not include users who are currently on a free trial or who are non-paying members of a family plan.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As of June 30, 2025 and 2024, we had approximately 10.9 million and 8.0 million paid subscribers, respectively, representing an increase of 37% from the prior year period. We grew paid subscribers through product initiatives designed to make Duolingo subscription offerings more appealing, which we believe helped us attract new subscribers and retain existing subscribers. </w:t>
      </w:r>
    </w:p>
    <w:p>
      <w:pPr>
        <w:pStyle w:val="TextBody"/>
        <w:bidi w:val="0"/>
        <w:spacing w:lineRule="auto" w:line="312" w:before="0" w:after="180"/>
        <w:jc w:val="left"/>
        <w:rPr/>
      </w:pPr>
      <w:r>
        <w:rPr>
          <w:rFonts w:ascii="Arial;sans-serif" w:hAnsi="Arial;sans-serif"/>
          <w:b/>
          <w:i/>
          <w:color w:val="000000"/>
          <w:sz w:val="20"/>
        </w:rPr>
        <w:t>Subscription Bookings and Total Bookings.</w:t>
      </w:r>
      <w:r>
        <w:rPr>
          <w:color w:val="000000"/>
        </w:rPr>
        <w:t xml:space="preserve"> </w:t>
      </w:r>
      <w:r>
        <w:rPr>
          <w:rFonts w:ascii="Arial;sans-serif" w:hAnsi="Arial;sans-serif"/>
          <w:b w:val="false"/>
          <w:color w:val="000000"/>
          <w:sz w:val="20"/>
        </w:rPr>
        <w:t>Subscription bookings represent the amounts we receive from a purchase of any Duolingo subscription offering. Total bookings include subscription bookings, income from advertising networks for advertisements served to our users, purchases of the Duolingo English Test, and in-app purchases of virtual goods. We believe bookings provide an indication of trends in our operating results, including cash flows, that are not necessarily reflected in our revenues because we recognize subscription revenues ratably over the lifetime of a subscription, the majority of which are twelve months in duration.</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For the three months ended June 30, 2025 and 2024 we generated $227.3 million and $156.5 million of subscription bookings, respectively, representing an increase of 45% from the prior year period. For the six months ended June 30, 2025 and 2024, we generated $459.4 million and $318.0 million of subscription bookings, respectively, representing an increase of 45% from the prior year period. We grew subscription bookings by selling more first-time and renewal subscriptions.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For the three months ended June 30, 2025 and 2024 we generated $268.0 million and $190.1 million of total bookings, respectively, representing an increase of 41% from the prior year period. For the six months ended June 30, 2025 and 2024, we generated $539.7 million and $387.5 million total bookings, respectively, representing an increase of 39% from the prior year period. We grew total bookings primarily through growth in subscription bookings as noted above.</w:t>
      </w:r>
    </w:p>
    <w:p>
      <w:pPr>
        <w:pStyle w:val="TextBody"/>
        <w:bidi w:val="0"/>
        <w:spacing w:lineRule="auto" w:line="288" w:before="0" w:after="180"/>
        <w:jc w:val="left"/>
        <w:rPr>
          <w:rFonts w:ascii="Arial;sans-serif" w:hAnsi="Arial;sans-serif"/>
          <w:b/>
          <w:color w:val="000000"/>
          <w:sz w:val="20"/>
        </w:rPr>
      </w:pPr>
      <w:bookmarkStart w:id="21" w:name="i15b79d23aa014e6ab3d9e127c9674a4a"/>
      <w:bookmarkEnd w:id="21"/>
      <w:r>
        <w:rPr>
          <w:rFonts w:ascii="Arial;sans-serif" w:hAnsi="Arial;sans-serif"/>
          <w:b/>
          <w:color w:val="000000"/>
          <w:sz w:val="20"/>
        </w:rPr>
        <w:t>Non-GAAP Financial Measures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We use certain non-GAAP financial measures to supplement our Unaudited Condensed Consolidated Financial Statements, which are presented in accordance with GAAP. These non-GAAP financial measures include Adjusted EBITDA, free cash flow and constant currency measures. We use these non-GAAP financial measures for financial and operational decision-making and as a means to evaluate period-to-period comparisons. By excluding certain items that may not be indicative of our recurring core operating results, we believe that Adjusted EBITDA, free cash flow and constant currency provide meaningful supplemental information regarding our performance. The effect of currency exchange rates on our business is an important factor in understanding period to period comparisons. We use non-GAAP constant currency measures and non-GAAP percentage change in constant currency measures for financial and operational decision-making and as a means to evaluate period-to-period comparisons. Accordingly, we believe these non-GAAP financial measures are useful to investors and others because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they allow for additional information with respect to financial measures used by management in its financial and operational decision-making and they may be used by our institutional investors and the analyst community to help them analyze the health of our business. However, there are a number of limitations related to the use of non-GAAP financial measures, and these non-GAAP financial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pStyle w:val="TextBody"/>
        <w:bidi w:val="0"/>
        <w:spacing w:lineRule="auto" w:line="312" w:before="0" w:after="180"/>
        <w:jc w:val="left"/>
        <w:rPr/>
      </w:pPr>
      <w:r>
        <w:rPr>
          <w:rFonts w:ascii="Arial;sans-serif" w:hAnsi="Arial;sans-serif"/>
          <w:b/>
          <w:i/>
          <w:color w:val="000000"/>
          <w:sz w:val="20"/>
        </w:rPr>
        <w:t>Adjusted EBITDA.</w:t>
      </w:r>
      <w:r>
        <w:rPr>
          <w:color w:val="000000"/>
        </w:rPr>
        <w:t xml:space="preserve"> </w:t>
      </w:r>
      <w:r>
        <w:rPr>
          <w:rFonts w:ascii="Arial;sans-serif" w:hAnsi="Arial;sans-serif"/>
          <w:b w:val="false"/>
          <w:color w:val="000000"/>
          <w:sz w:val="20"/>
        </w:rPr>
        <w:t xml:space="preserve">Adjusted EBITDA is defined as net income excluding interest income, income taxes, depreciation and amortization, stock-based compensation expenses related to equity awards, transaction costs related to acquisitions and acquisition earn-out costs. Adjusted EBITDA is used by management to evaluate the financial performance of our business and we present Adjusted EBITDA because we believe it is helpful in highlighting trends in our operating results and that it is frequently used by analysts, investors and other interested parties to evaluate companies in our industry. </w:t>
      </w:r>
      <w:r>
        <w:rPr>
          <w:rFonts w:ascii="Arial;sans-serif" w:hAnsi="Arial;sans-serif"/>
          <w:b w:val="false"/>
          <w:color w:val="000000"/>
          <w:sz w:val="20"/>
          <w:shd w:fill="FFFFFF" w:val="clear"/>
        </w:rPr>
        <w:t>The following table presents a reconciliation of our net income, the most directly comparable financial measure presented in accordance with GAAP, to Adjusted EBITDA.</w:t>
      </w:r>
    </w:p>
    <w:tbl>
      <w:tblPr>
        <w:tblW w:w="10205" w:type="dxa"/>
        <w:jc w:val="left"/>
        <w:tblInd w:w="0" w:type="dxa"/>
        <w:tblLayout w:type="fixed"/>
        <w:tblCellMar>
          <w:top w:w="28" w:type="dxa"/>
          <w:left w:w="28" w:type="dxa"/>
          <w:bottom w:w="28" w:type="dxa"/>
          <w:right w:w="28" w:type="dxa"/>
        </w:tblCellMar>
      </w:tblPr>
      <w:tblGrid>
        <w:gridCol w:w="1782"/>
        <w:gridCol w:w="1501"/>
        <w:gridCol w:w="1506"/>
        <w:gridCol w:w="211"/>
        <w:gridCol w:w="751"/>
        <w:gridCol w:w="109"/>
        <w:gridCol w:w="109"/>
        <w:gridCol w:w="109"/>
        <w:gridCol w:w="109"/>
        <w:gridCol w:w="211"/>
        <w:gridCol w:w="751"/>
        <w:gridCol w:w="109"/>
        <w:gridCol w:w="109"/>
        <w:gridCol w:w="109"/>
        <w:gridCol w:w="109"/>
        <w:gridCol w:w="211"/>
        <w:gridCol w:w="856"/>
        <w:gridCol w:w="109"/>
        <w:gridCol w:w="109"/>
        <w:gridCol w:w="109"/>
        <w:gridCol w:w="109"/>
        <w:gridCol w:w="211"/>
        <w:gridCol w:w="751"/>
        <w:gridCol w:w="155"/>
      </w:tblGrid>
      <w:tr>
        <w:trPr/>
        <w:tc>
          <w:tcPr>
            <w:tcW w:w="1782"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789" w:type="dxa"/>
            <w:gridSpan w:val="3"/>
            <w:tcBorders/>
            <w:tcMar>
              <w:top w:w="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val="false"/>
                <w:color w:val="000000"/>
                <w:sz w:val="18"/>
              </w:rPr>
              <w:t>(</w:t>
            </w:r>
            <w:r>
              <w:rPr>
                <w:rFonts w:ascii="Arial;sans-serif" w:hAnsi="Arial;sans-serif"/>
                <w:b/>
                <w:i/>
                <w:color w:val="000000"/>
                <w:sz w:val="18"/>
              </w:rPr>
              <w:t>In thousands)</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7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44,781 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24,351 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79,916 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51,307 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Add (deduct):</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(11,427)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(10,721)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(21,842)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(20,754)</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4,317 </w:t>
            </w:r>
          </w:p>
        </w:tc>
        <w:tc>
          <w:tcPr>
            <w:tcW w:w="155"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expenses related to equity awards (1)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7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transaction costs (2)</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earn-out costs (3)</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78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78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78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78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7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78,680 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48,117 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141,484 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92,122 </w:t>
            </w:r>
          </w:p>
        </w:tc>
        <w:tc>
          <w:tcPr>
            <w:tcW w:w="15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16"/>
        </w:rPr>
      </w:pPr>
      <w:r>
        <w:rPr>
          <w:rFonts w:ascii="Arial;sans-serif" w:hAnsi="Arial;sans-serif"/>
          <w:b w:val="false"/>
          <w:color w:val="000000"/>
          <w:sz w:val="16"/>
        </w:rPr>
        <w:t>________________</w:t>
      </w:r>
    </w:p>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(1)In addition to stock-based compensation expense of $34.6 million and $26.7 million for the three months ended June 30, 2025 and 2024, respectively, and $65.6 million and $51.7 million for the six months ended June 30, 2025 and 2024, respectively, this includes costs incurred related to taxes paid on equity transactions as follows:</w:t>
      </w:r>
    </w:p>
    <w:tbl>
      <w:tblPr>
        <w:tblW w:w="7206" w:type="dxa"/>
        <w:jc w:val="left"/>
        <w:tblInd w:w="0" w:type="dxa"/>
        <w:tblLayout w:type="fixed"/>
        <w:tblCellMar>
          <w:top w:w="28" w:type="dxa"/>
          <w:left w:w="28" w:type="dxa"/>
          <w:bottom w:w="28" w:type="dxa"/>
          <w:right w:w="28" w:type="dxa"/>
        </w:tblCellMar>
      </w:tblPr>
      <w:tblGrid>
        <w:gridCol w:w="770"/>
        <w:gridCol w:w="679"/>
        <w:gridCol w:w="681"/>
        <w:gridCol w:w="252"/>
        <w:gridCol w:w="714"/>
        <w:gridCol w:w="140"/>
        <w:gridCol w:w="140"/>
        <w:gridCol w:w="140"/>
        <w:gridCol w:w="140"/>
        <w:gridCol w:w="252"/>
        <w:gridCol w:w="541"/>
        <w:gridCol w:w="140"/>
        <w:gridCol w:w="109"/>
        <w:gridCol w:w="109"/>
        <w:gridCol w:w="109"/>
        <w:gridCol w:w="214"/>
        <w:gridCol w:w="609"/>
        <w:gridCol w:w="119"/>
        <w:gridCol w:w="119"/>
        <w:gridCol w:w="119"/>
        <w:gridCol w:w="119"/>
        <w:gridCol w:w="214"/>
        <w:gridCol w:w="609"/>
        <w:gridCol w:w="168"/>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130"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252"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4"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1,605 </w:t>
            </w:r>
          </w:p>
        </w:tc>
        <w:tc>
          <w:tcPr>
            <w:tcW w:w="140"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376 </w:t>
            </w:r>
          </w:p>
        </w:tc>
        <w:tc>
          <w:tcPr>
            <w:tcW w:w="140"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2,764 </w:t>
            </w:r>
          </w:p>
        </w:tc>
        <w:tc>
          <w:tcPr>
            <w:tcW w:w="11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912 </w:t>
            </w:r>
          </w:p>
        </w:tc>
        <w:tc>
          <w:tcPr>
            <w:tcW w:w="168"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Sales and marketing</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r>
      <w:tr>
        <w:trPr/>
        <w:tc>
          <w:tcPr>
            <w:tcW w:w="2130"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9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3,245 </w:t>
            </w:r>
          </w:p>
        </w:tc>
        <w:tc>
          <w:tcPr>
            <w:tcW w:w="14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5,515 </w:t>
            </w:r>
          </w:p>
        </w:tc>
        <w:tc>
          <w:tcPr>
            <w:tcW w:w="11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4,935 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1,926 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(2)Represents costs incurred related to acquisitions, which are included in General and administration expense within our Unaudited Condensed Consolidated Statements of Operations and Comprehensive Income.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(3)Represents costs incurred related to the earn-out payments on an acquisition, which is included within General and administrative expense within our Unaudited Condensed Consolidated Statements of Operations and Comprehensive Income.</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For the three months ended June 30, 2025 and 2024, we generated net income of $44.8 million and $24.4 million, respectively. For the six months ended June 30, 2025 and 2024 we generated net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of $79.9 million and $51.3 million, respectively. The increase in net income as compared to the comparative periods was primarily due to our growth in revenue, offset by an increase in operating expenses driven primarily by headcount growth.</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For the three months ended June 30, 2025 and 2024, we generated Adjusted EBITDA of $78.7 million and $48.1 million, respectively. For the six months ended June 30, 2025 and 2024, we generated Adjusted EBITDA of $141.5 million and $92.1 million, respectively. Adjusted EBITDA increased as compared to the comparative periods as a result of higher revenue, and was partially offset by an increase in operating expenses driven primarily by headcount growth.</w:t>
      </w:r>
    </w:p>
    <w:p>
      <w:pPr>
        <w:pStyle w:val="TextBody"/>
        <w:bidi w:val="0"/>
        <w:spacing w:lineRule="auto" w:line="312" w:before="0" w:after="180"/>
        <w:jc w:val="left"/>
        <w:rPr/>
      </w:pPr>
      <w:r>
        <w:rPr>
          <w:rFonts w:ascii="Arial;sans-serif" w:hAnsi="Arial;sans-serif"/>
          <w:b/>
          <w:i/>
          <w:color w:val="000000"/>
          <w:sz w:val="20"/>
        </w:rPr>
        <w:t>Free Cash Flow</w:t>
      </w:r>
      <w:r>
        <w:rPr>
          <w:rFonts w:ascii="Arial;sans-serif" w:hAnsi="Arial;sans-serif"/>
          <w:b w:val="false"/>
          <w:color w:val="000000"/>
          <w:sz w:val="20"/>
        </w:rPr>
        <w:t>. Free cash flow is defined as net cash provided by operating activities, less capitalized software development costs and purchases of property and equipment. Beginning in the first quarter of 2025, we have aligned our calculation of free cash flow to this definition, and prior periods in this Quarterly Report on Form 10-Q have been recast to conform to this presentation. We believe that free cash flow is a measure of liquidity that provides useful information to our management, investors and others in understanding and evaluating the strength of our liquidity and future ability to generate cash that can be used for strategic opportunities or investing in our business. Free cash flow has certain limitations in that it does not represent our residual cash flow for discretionary expenditures and our non-discretionary commitments. The following table presents a reconciliation of net cash provided by operating activities, the most directly comparable financial measure calculated in accordance with GAAP, to free cash flow:</w:t>
      </w:r>
    </w:p>
    <w:tbl>
      <w:tblPr>
        <w:tblW w:w="10205" w:type="dxa"/>
        <w:jc w:val="left"/>
        <w:tblInd w:w="0" w:type="dxa"/>
        <w:tblLayout w:type="fixed"/>
        <w:tblCellMar>
          <w:top w:w="28" w:type="dxa"/>
          <w:left w:w="28" w:type="dxa"/>
          <w:bottom w:w="28" w:type="dxa"/>
          <w:right w:w="28" w:type="dxa"/>
        </w:tblCellMar>
      </w:tblPr>
      <w:tblGrid>
        <w:gridCol w:w="1755"/>
        <w:gridCol w:w="1462"/>
        <w:gridCol w:w="1466"/>
        <w:gridCol w:w="211"/>
        <w:gridCol w:w="751"/>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56"/>
      </w:tblGrid>
      <w:tr>
        <w:trPr/>
        <w:tc>
          <w:tcPr>
            <w:tcW w:w="1755"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683" w:type="dxa"/>
            <w:gridSpan w:val="3"/>
            <w:tcBorders/>
            <w:tcMar>
              <w:top w:w="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val="false"/>
                <w:color w:val="000000"/>
                <w:sz w:val="18"/>
              </w:rPr>
              <w:t>(</w:t>
            </w:r>
            <w:r>
              <w:rPr>
                <w:rFonts w:ascii="Arial;sans-serif" w:hAnsi="Arial;sans-serif"/>
                <w:b/>
                <w:i/>
                <w:color w:val="000000"/>
                <w:sz w:val="18"/>
              </w:rPr>
              <w:t>In thousands)</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2024</w:t>
            </w:r>
          </w:p>
        </w:tc>
      </w:tr>
      <w:tr>
        <w:trPr/>
        <w:tc>
          <w:tcPr>
            <w:tcW w:w="46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90,675 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62,388 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196,306 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145,902 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Capitalized software development costs and purchases of intangible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(6,700)</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Purchases of property and equipment</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(6,977)</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 (1)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189,336 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132,225 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16"/>
        </w:rPr>
      </w:pPr>
      <w:r>
        <w:rPr>
          <w:rFonts w:ascii="Arial;sans-serif" w:hAnsi="Arial;sans-serif"/>
          <w:b w:val="false"/>
          <w:color w:val="000000"/>
          <w:sz w:val="16"/>
        </w:rPr>
        <w:t>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(1)The prior period has been recast to conform to current period presentation.</w:t>
      </w:r>
    </w:p>
    <w:p>
      <w:pPr>
        <w:pStyle w:val="TextBody"/>
        <w:bidi w:val="0"/>
        <w:spacing w:before="0" w:after="0"/>
        <w:ind w:left="0" w:right="0" w:firstLine="36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For the three months ended June 30, 2025 and 2024 we generated $90.7 million and $62.4 million of net cash provided by operating activities, respectively, which was mainly due to our generation of positive net income as discussed under the heading Adjusted EBITDA above. For the six months ended June 30, 2025 and 2024, we generated $196.3 million and $145.9 million of net cash provided by operating activities, respectively. The increase as compared to the comparative period was primarily due to higher net income adjusted for non-cash items and changes in working capital, including an increase in deferred revenue.</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For the three months ended June 30, 2025 and 2024, we generated $86.3 million and $53.7 million of free cash flow, respectively. For the six months ended June 30, 2025 and 2024, we generated $189.3 million and $132.2 million of free cash flow, respectively. The increases as compared to the comparative periods were primarily due to increases in cash from operations as well as decreases in capex. For the six months ended June 30, 2025 a decrease in capitalized software also contributed to the increase in free cash flow.</w:t>
      </w:r>
    </w:p>
    <w:p>
      <w:pPr>
        <w:pStyle w:val="TextBody"/>
        <w:bidi w:val="0"/>
        <w:spacing w:lineRule="auto" w:line="312" w:before="0" w:after="180"/>
        <w:jc w:val="left"/>
        <w:rPr/>
      </w:pPr>
      <w:r>
        <w:rPr>
          <w:rFonts w:ascii="Arial;sans-serif" w:hAnsi="Arial;sans-serif"/>
          <w:b/>
          <w:color w:val="000000"/>
          <w:sz w:val="20"/>
        </w:rPr>
        <w:t>Constant Currency.</w:t>
      </w:r>
      <w:r>
        <w:rPr>
          <w:color w:val="000000"/>
        </w:rPr>
        <w:t xml:space="preserve"> </w:t>
      </w:r>
      <w:r>
        <w:rPr>
          <w:rFonts w:ascii="Arial;sans-serif" w:hAnsi="Arial;sans-serif"/>
          <w:b w:val="false"/>
          <w:color w:val="000000"/>
          <w:sz w:val="20"/>
        </w:rPr>
        <w:t xml:space="preserve">The effect of currency exchange rates on our business is an important factor in understanding period to period comparisons. We use non-GAAP percentage change in constant currency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revenues and bookings, which exclude the impact of fluctuations in foreign currency exchange rates, for financial and operational decision-making and as a means to evaluate period-to-period comparisons. We believe this information is useful to investors to facilitate comparisons and better identify trends in our business. The impact of changes in foreign currency may vary significantly from period to period, and such changes generally are outside of the control of our management. We calculate constant currency revenues by translating current period foreign currency revenues using prior-year exchange rates applied consistently over the full revenue recognition period. We calculate constant currency bookings by using current period foreign currency bookings and translating them to constant currency using prior year comparable period exchange rates. The constant currency percentage change for revenues and bookings is calculated by dividing the difference between the constant currency amount and the prior year comparable period amount by the prior year comparable period amount.</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following table provides the changes in bookings and revenues on a reported basis and constant currency basis:</w:t>
      </w:r>
    </w:p>
    <w:p>
      <w:pPr>
        <w:pStyle w:val="TextBody"/>
        <w:bidi w:val="0"/>
        <w:spacing w:before="0" w:after="180"/>
        <w:jc w:val="left"/>
        <w:rPr/>
      </w:pPr>
      <w:r>
        <w:rPr/>
      </w:r>
    </w:p>
    <w:tbl>
      <w:tblPr>
        <w:tblW w:w="11033" w:type="dxa"/>
        <w:jc w:val="left"/>
        <w:tblInd w:w="0" w:type="dxa"/>
        <w:tblLayout w:type="fixed"/>
        <w:tblCellMar>
          <w:top w:w="28" w:type="dxa"/>
          <w:left w:w="28" w:type="dxa"/>
          <w:bottom w:w="28" w:type="dxa"/>
          <w:right w:w="28" w:type="dxa"/>
        </w:tblCellMar>
      </w:tblPr>
      <w:tblGrid>
        <w:gridCol w:w="398"/>
        <w:gridCol w:w="311"/>
        <w:gridCol w:w="312"/>
        <w:gridCol w:w="196"/>
        <w:gridCol w:w="736"/>
        <w:gridCol w:w="109"/>
        <w:gridCol w:w="109"/>
        <w:gridCol w:w="109"/>
        <w:gridCol w:w="109"/>
        <w:gridCol w:w="196"/>
        <w:gridCol w:w="736"/>
        <w:gridCol w:w="109"/>
        <w:gridCol w:w="109"/>
        <w:gridCol w:w="109"/>
        <w:gridCol w:w="109"/>
        <w:gridCol w:w="305"/>
        <w:gridCol w:w="305"/>
        <w:gridCol w:w="306"/>
        <w:gridCol w:w="109"/>
        <w:gridCol w:w="109"/>
        <w:gridCol w:w="109"/>
        <w:gridCol w:w="280"/>
        <w:gridCol w:w="280"/>
        <w:gridCol w:w="281"/>
        <w:gridCol w:w="109"/>
        <w:gridCol w:w="109"/>
        <w:gridCol w:w="109"/>
        <w:gridCol w:w="196"/>
        <w:gridCol w:w="736"/>
        <w:gridCol w:w="109"/>
        <w:gridCol w:w="109"/>
        <w:gridCol w:w="109"/>
        <w:gridCol w:w="109"/>
        <w:gridCol w:w="196"/>
        <w:gridCol w:w="736"/>
        <w:gridCol w:w="109"/>
        <w:gridCol w:w="109"/>
        <w:gridCol w:w="109"/>
        <w:gridCol w:w="109"/>
        <w:gridCol w:w="305"/>
        <w:gridCol w:w="305"/>
        <w:gridCol w:w="306"/>
        <w:gridCol w:w="109"/>
        <w:gridCol w:w="109"/>
        <w:gridCol w:w="109"/>
        <w:gridCol w:w="259"/>
        <w:gridCol w:w="259"/>
        <w:gridCol w:w="368"/>
      </w:tblGrid>
      <w:tr>
        <w:trPr/>
        <w:tc>
          <w:tcPr>
            <w:tcW w:w="39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Constant Currency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Constant Currency Change %</w:t>
            </w:r>
          </w:p>
        </w:tc>
      </w:tr>
      <w:tr>
        <w:trPr/>
        <w:tc>
          <w:tcPr>
            <w:tcW w:w="10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w:t>
            </w:r>
          </w:p>
        </w:tc>
        <w:tc>
          <w:tcPr>
            <w:tcW w:w="104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Subscription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w:t>
            </w:r>
          </w:p>
        </w:tc>
      </w:tr>
      <w:tr>
        <w:trPr/>
        <w:tc>
          <w:tcPr>
            <w:tcW w:w="10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252,265 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178,327 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483,008 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345,880 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Bookings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Subscription </w:t>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227,259 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156,484 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459,443 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317,950 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Bookings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22" w:name="if57c7f4ef6664ed5bc100931cb7444a1"/>
      <w:bookmarkEnd w:id="22"/>
      <w:r>
        <w:rPr>
          <w:rFonts w:ascii="Arial;sans-serif" w:hAnsi="Arial;sans-serif"/>
          <w:b/>
          <w:color w:val="000000"/>
          <w:sz w:val="20"/>
        </w:rPr>
        <w:t>Components of Our Results of Operations</w:t>
      </w:r>
    </w:p>
    <w:p>
      <w:pPr>
        <w:pStyle w:val="TextBody"/>
        <w:bidi w:val="0"/>
        <w:spacing w:lineRule="auto" w:line="288" w:before="0" w:after="180"/>
        <w:jc w:val="left"/>
        <w:rPr>
          <w:rFonts w:ascii="Arial;sans-serif" w:hAnsi="Arial;sans-serif"/>
          <w:b/>
          <w:color w:val="000000"/>
          <w:sz w:val="20"/>
        </w:rPr>
      </w:pPr>
      <w:bookmarkStart w:id="23" w:name="if48ee55876824aa1bd0f0fd1d0f1af73"/>
      <w:bookmarkEnd w:id="23"/>
      <w:r>
        <w:rPr>
          <w:rFonts w:ascii="Arial;sans-serif" w:hAnsi="Arial;sans-serif"/>
          <w:b/>
          <w:color w:val="000000"/>
          <w:sz w:val="20"/>
        </w:rPr>
        <w:t>Revenue</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We generate revenues primarily from the sale of subscriptions. The term-length of our subscription agreements are primarily monthly or annual, with the family plan offered as an annual subscription. We also generate revenue from advertising, the in-app sale of virtual goods, and the Duolingo English Test. We may run experiments that result in a different mix of revenue from these levers in the future. Duo’s Taquería also generates a small portion of our revenue.</w:t>
      </w:r>
    </w:p>
    <w:p>
      <w:pPr>
        <w:pStyle w:val="TextBody"/>
        <w:bidi w:val="0"/>
        <w:spacing w:lineRule="auto" w:line="288" w:before="0" w:after="180"/>
        <w:jc w:val="left"/>
        <w:rPr>
          <w:rFonts w:ascii="Arial;sans-serif" w:hAnsi="Arial;sans-serif"/>
          <w:b/>
          <w:color w:val="000000"/>
          <w:sz w:val="20"/>
        </w:rPr>
      </w:pPr>
      <w:bookmarkStart w:id="24" w:name="i6486069f6e624b42b16b6f39304a63b5"/>
      <w:bookmarkEnd w:id="24"/>
      <w:r>
        <w:rPr>
          <w:rFonts w:ascii="Arial;sans-serif" w:hAnsi="Arial;sans-serif"/>
          <w:b/>
          <w:color w:val="000000"/>
          <w:sz w:val="20"/>
        </w:rPr>
        <w:t>Cost of Revenues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Cost of revenues predominantly consists of third-party payment processing fees charged by various distribution channels in addition to hosting fees and generative AI costs. To a much lesser extent, cost of revenues includes customer support costs, such as contractor fees, wages and stock-based compensation for certain employees working in customer support. It also includes the amortization of revenue generating capitalized software, and depreciation of certain property and equipment.</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We intend to continue to invest additional resources in our infrastructure to expand the capabilities of our platform and allow our users to realize the full benefit of our products. The level, timing, and relative investment in these areas could affect our cost of revenues in the future.</w:t>
      </w:r>
    </w:p>
    <w:p>
      <w:pPr>
        <w:pStyle w:val="TextBody"/>
        <w:bidi w:val="0"/>
        <w:spacing w:lineRule="auto" w:line="288" w:before="0" w:after="180"/>
        <w:jc w:val="left"/>
        <w:rPr>
          <w:rFonts w:ascii="Arial;sans-serif" w:hAnsi="Arial;sans-serif"/>
          <w:b/>
          <w:color w:val="000000"/>
          <w:sz w:val="20"/>
        </w:rPr>
      </w:pPr>
      <w:bookmarkStart w:id="25" w:name="i53e18a25b0e74af1a342bc48c25d79f2"/>
      <w:bookmarkEnd w:id="25"/>
      <w:r>
        <w:rPr>
          <w:rFonts w:ascii="Arial;sans-serif" w:hAnsi="Arial;sans-serif"/>
          <w:b/>
          <w:color w:val="000000"/>
          <w:sz w:val="20"/>
        </w:rPr>
        <w:t>Gross Profit and Gross Margin</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Gross profit represents revenues less cost of revenues. Gross margin is gross profit expressed as a percentage of revenues. Our gross profit may fluctuate from period to period as our revenues fluctuate,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and also as a result of the timing and amount of investments we make in items related to cost of revenues.</w:t>
      </w:r>
    </w:p>
    <w:p>
      <w:pPr>
        <w:pStyle w:val="TextBody"/>
        <w:bidi w:val="0"/>
        <w:spacing w:lineRule="auto" w:line="288" w:before="0" w:after="180"/>
        <w:jc w:val="left"/>
        <w:rPr>
          <w:rFonts w:ascii="Arial;sans-serif" w:hAnsi="Arial;sans-serif"/>
          <w:b/>
          <w:color w:val="000000"/>
          <w:sz w:val="20"/>
        </w:rPr>
      </w:pPr>
      <w:bookmarkStart w:id="26" w:name="ie9781278329d44fdbc20e5c817128f44"/>
      <w:bookmarkEnd w:id="26"/>
      <w:r>
        <w:rPr>
          <w:rFonts w:ascii="Arial;sans-serif" w:hAnsi="Arial;sans-serif"/>
          <w:b/>
          <w:color w:val="000000"/>
          <w:sz w:val="20"/>
        </w:rPr>
        <w:t>Operating Expenses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Our operating expenses consist of research and development, sales and marketing, and general and administrative expenses. Personnel costs are the most significant component of operating expenses and consist of salaries, benefits, and stock-based compensation expense. Operating expenses also include overhead costs for facilities, including depreciation expense.</w:t>
      </w:r>
    </w:p>
    <w:p>
      <w:pPr>
        <w:pStyle w:val="TextBody"/>
        <w:bidi w:val="0"/>
        <w:spacing w:lineRule="auto" w:line="312" w:before="0" w:after="180"/>
        <w:jc w:val="left"/>
        <w:rPr/>
      </w:pPr>
      <w:r>
        <w:rPr>
          <w:rFonts w:ascii="Arial;sans-serif" w:hAnsi="Arial;sans-serif"/>
          <w:b/>
          <w:i/>
          <w:color w:val="000000"/>
          <w:sz w:val="20"/>
        </w:rPr>
        <w:t>Research and Development.</w:t>
      </w:r>
      <w:r>
        <w:rPr>
          <w:color w:val="000000"/>
        </w:rPr>
        <w:t xml:space="preserve"> </w:t>
      </w:r>
      <w:r>
        <w:rPr>
          <w:rFonts w:ascii="Arial;sans-serif" w:hAnsi="Arial;sans-serif"/>
          <w:b w:val="false"/>
          <w:color w:val="000000"/>
          <w:sz w:val="20"/>
        </w:rPr>
        <w:t xml:space="preserve">We invest heavily in research and development to create new products and product features that are intended to help us grow our user base, engage our users, monetize our users, and teach our users. This, in turn, can impact the growth in and lifetime value of, our paid subscribers, as well as increased advertising revenue from impressions from our free users. Expenses are primarily made up of costs incurred for the development of new and improved products and features in our applications during the preliminary product development stage. Such expenses include employee-related compensation, including stock-based compensation, of engineers, designers, and product managers, in addition to materials, travel and direct costs associated with the design, required testing of our platform and depreciation of certain property and equipment. We expect engineers, designers, and product managers to represent a significant portion of our employees for the foreseeable future. We typically capitalize a portion of research and development costs once the product has reached application development phase, mostly consisting of wages, each period into capitalized software when the work is specific to launching a new product, or making major upgrades to our existing products or platforms. We regularly test product improvements with our users. Many of these tests start by making small changes in the product that affect small numbers of users. As the tests evolve, they can require increasing investment and can impact more users. This process of constant testing is how we implement many of our new products and improvements to our platform and, in total, require large investments and involve substantial time and risks to develop and launch. Some of these products and product improvements may not be well received or may take a long time for users to adopt. As a result, the impact resulting from our research and development investments may be difficult to forecast. </w:t>
      </w:r>
    </w:p>
    <w:p>
      <w:pPr>
        <w:pStyle w:val="TextBody"/>
        <w:bidi w:val="0"/>
        <w:spacing w:lineRule="auto" w:line="312" w:before="0" w:after="180"/>
        <w:jc w:val="left"/>
        <w:rPr/>
      </w:pPr>
      <w:r>
        <w:rPr>
          <w:rFonts w:ascii="Arial;sans-serif" w:hAnsi="Arial;sans-serif"/>
          <w:b/>
          <w:i/>
          <w:color w:val="000000"/>
          <w:sz w:val="20"/>
        </w:rPr>
        <w:t>Sales and Marketing.</w:t>
      </w:r>
      <w:r>
        <w:rPr>
          <w:color w:val="000000"/>
        </w:rPr>
        <w:t xml:space="preserve"> </w:t>
      </w:r>
      <w:r>
        <w:rPr>
          <w:rFonts w:ascii="Arial;sans-serif" w:hAnsi="Arial;sans-serif"/>
          <w:b w:val="false"/>
          <w:color w:val="000000"/>
          <w:sz w:val="20"/>
        </w:rPr>
        <w:t xml:space="preserve">Sales and marketing expenses are expensed as incurred and consists primarily of new user acquisition, brand marketing, digital and social media content, and employee-related compensation, including stock-based compensation, for personnel engaged in sales and marketing functions, amortization of non-revenue generating capitalized software used to promote Duolingo and depreciation of certain property and equipment. </w:t>
      </w:r>
    </w:p>
    <w:p>
      <w:pPr>
        <w:pStyle w:val="TextBody"/>
        <w:bidi w:val="0"/>
        <w:spacing w:lineRule="auto" w:line="312" w:before="0" w:after="180"/>
        <w:jc w:val="left"/>
        <w:rPr/>
      </w:pPr>
      <w:r>
        <w:rPr>
          <w:rFonts w:ascii="Arial;sans-serif" w:hAnsi="Arial;sans-serif"/>
          <w:b/>
          <w:i/>
          <w:color w:val="000000"/>
          <w:sz w:val="20"/>
        </w:rPr>
        <w:t>General and Administrative.</w:t>
      </w:r>
      <w:r>
        <w:rPr>
          <w:color w:val="000000"/>
        </w:rPr>
        <w:t xml:space="preserve"> </w:t>
      </w:r>
      <w:r>
        <w:rPr>
          <w:rFonts w:ascii="Arial;sans-serif" w:hAnsi="Arial;sans-serif"/>
          <w:b w:val="false"/>
          <w:color w:val="000000"/>
          <w:sz w:val="20"/>
        </w:rPr>
        <w:t xml:space="preserve">General and administrative expenses primarily consist of employee-related compensation, including stock-based compensation, for management and administrative functions, including our finance and accounting, legal, and people teams. General and administrative expenses also include certain professional services fees, general corporate and director and officer insurance, our facilities costs, public company costs to comply with the rules and regulations of the Securities and Exchange Commission (“SEC”) and the Listing Rules of the Nasdaq Global Select Market, and other general overhead costs that support our operations. </w:t>
      </w:r>
    </w:p>
    <w:p>
      <w:pPr>
        <w:pStyle w:val="TextBody"/>
        <w:bidi w:val="0"/>
        <w:spacing w:lineRule="auto" w:line="288" w:before="0" w:after="180"/>
        <w:jc w:val="left"/>
        <w:rPr>
          <w:rFonts w:ascii="Arial;sans-serif" w:hAnsi="Arial;sans-serif"/>
          <w:b/>
          <w:color w:val="000000"/>
          <w:sz w:val="20"/>
        </w:rPr>
      </w:pPr>
      <w:bookmarkStart w:id="27" w:name="ie2bea2f0e2ce47328374d240b8e87af3"/>
      <w:bookmarkEnd w:id="27"/>
      <w:r>
        <w:rPr>
          <w:rFonts w:ascii="Arial;sans-serif" w:hAnsi="Arial;sans-serif"/>
          <w:b/>
          <w:color w:val="000000"/>
          <w:sz w:val="20"/>
        </w:rPr>
        <w:t>Interest Income</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Interest income consists of income earned on our cash and money market funds included in cash and cash equivalents and income earned and net accretion on our marketable securities.</w:t>
      </w:r>
    </w:p>
    <w:p>
      <w:pPr>
        <w:pStyle w:val="TextBody"/>
        <w:bidi w:val="0"/>
        <w:spacing w:lineRule="auto" w:line="288" w:before="0" w:after="180"/>
        <w:jc w:val="left"/>
        <w:rPr>
          <w:rFonts w:ascii="Arial;sans-serif" w:hAnsi="Arial;sans-serif"/>
          <w:b/>
          <w:color w:val="000000"/>
          <w:sz w:val="20"/>
        </w:rPr>
      </w:pPr>
      <w:bookmarkStart w:id="28" w:name="i4b6baed1b8da4351b3ce479413f29434"/>
      <w:bookmarkEnd w:id="28"/>
      <w:r>
        <w:rPr>
          <w:rFonts w:ascii="Arial;sans-serif" w:hAnsi="Arial;sans-serif"/>
          <w:b/>
          <w:color w:val="000000"/>
          <w:sz w:val="20"/>
        </w:rPr>
        <w:t>Other income (expense), net</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Other income (expense), net consists primarily of foreign currency exchange gains and losses.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20"/>
        </w:rPr>
      </w:pPr>
      <w:bookmarkStart w:id="29" w:name="i1af11019660c4a5388174dae99b7206c"/>
      <w:bookmarkEnd w:id="29"/>
      <w:r>
        <w:rPr>
          <w:rFonts w:ascii="Arial;sans-serif" w:hAnsi="Arial;sans-serif"/>
          <w:b/>
          <w:color w:val="000000"/>
          <w:sz w:val="20"/>
        </w:rPr>
        <w:t>Provision for income taxes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provision for income taxes represents the tax impact associated with our operations under the tax laws of the jurisdictions in which we operate. In addition to the U.S., we also operate in foreign jurisdictions that have different statutory rates. Our effective tax rates will vary depending on the relative proportion of foreign to domestic income, changes in the valuation of our deferred tax assets and liabilities, and changes in tax laws.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Given the Company’s recent history of earnings, management believes there is a reasonable possibility that, during the year, sufficient positive evidence may become available to support a conclusion that a significant portion of the valuation allowance recorded against the deferred tax assets will be reversed. The reversal would result in an income tax benefit for the quarterly and annual fiscal period in which the Company releases the valuation allowance. However, the exact timing and amount of the valuation allowance release are subject to change on the basis of the level of profitability that the Company actually achieves.</w:t>
      </w:r>
    </w:p>
    <w:p>
      <w:pPr>
        <w:pStyle w:val="TextBody"/>
        <w:bidi w:val="0"/>
        <w:spacing w:lineRule="auto" w:line="288" w:before="0" w:after="180"/>
        <w:jc w:val="left"/>
        <w:rPr>
          <w:rFonts w:ascii="Arial;sans-serif" w:hAnsi="Arial;sans-serif"/>
          <w:b/>
          <w:color w:val="000000"/>
          <w:sz w:val="20"/>
        </w:rPr>
      </w:pPr>
      <w:bookmarkStart w:id="30" w:name="i82c3133dd96342aa9ba67d87e7765a06"/>
      <w:bookmarkEnd w:id="30"/>
      <w:r>
        <w:rPr>
          <w:rFonts w:ascii="Arial;sans-serif" w:hAnsi="Arial;sans-serif"/>
          <w:b/>
          <w:color w:val="000000"/>
          <w:sz w:val="20"/>
        </w:rPr>
        <w:t>Results of Operations</w:t>
      </w:r>
    </w:p>
    <w:p>
      <w:pPr>
        <w:pStyle w:val="TextBody"/>
        <w:bidi w:val="0"/>
        <w:spacing w:lineRule="auto" w:line="288" w:before="0" w:after="180"/>
        <w:jc w:val="left"/>
        <w:rPr>
          <w:rFonts w:ascii="Arial;sans-serif" w:hAnsi="Arial;sans-serif"/>
          <w:b/>
          <w:i/>
          <w:color w:val="000000"/>
          <w:sz w:val="20"/>
        </w:rPr>
      </w:pPr>
      <w:bookmarkStart w:id="31" w:name="ia30026a14c0147d6b141280924206a75"/>
      <w:bookmarkEnd w:id="31"/>
      <w:r>
        <w:rPr>
          <w:rFonts w:ascii="Arial;sans-serif" w:hAnsi="Arial;sans-serif"/>
          <w:b/>
          <w:i/>
          <w:color w:val="000000"/>
          <w:sz w:val="20"/>
        </w:rPr>
        <w:t>Comparison of the three and six months ended June 30, 2025 and 2024</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following table sets forth our Unaudited Condensed Consolidated Statements of Operations and Comprehensive Income data, including year-over-year change, for the periods indicated:</w:t>
      </w:r>
    </w:p>
    <w:tbl>
      <w:tblPr>
        <w:tblW w:w="10205" w:type="dxa"/>
        <w:jc w:val="left"/>
        <w:tblInd w:w="0" w:type="dxa"/>
        <w:tblLayout w:type="fixed"/>
        <w:tblCellMar>
          <w:top w:w="28" w:type="dxa"/>
          <w:left w:w="28" w:type="dxa"/>
          <w:bottom w:w="28" w:type="dxa"/>
          <w:right w:w="28" w:type="dxa"/>
        </w:tblCellMar>
      </w:tblPr>
      <w:tblGrid>
        <w:gridCol w:w="960"/>
        <w:gridCol w:w="513"/>
        <w:gridCol w:w="515"/>
        <w:gridCol w:w="211"/>
        <w:gridCol w:w="856"/>
        <w:gridCol w:w="109"/>
        <w:gridCol w:w="109"/>
        <w:gridCol w:w="109"/>
        <w:gridCol w:w="109"/>
        <w:gridCol w:w="211"/>
        <w:gridCol w:w="856"/>
        <w:gridCol w:w="109"/>
        <w:gridCol w:w="109"/>
        <w:gridCol w:w="109"/>
        <w:gridCol w:w="109"/>
        <w:gridCol w:w="305"/>
        <w:gridCol w:w="305"/>
        <w:gridCol w:w="306"/>
        <w:gridCol w:w="109"/>
        <w:gridCol w:w="109"/>
        <w:gridCol w:w="109"/>
        <w:gridCol w:w="211"/>
        <w:gridCol w:w="856"/>
        <w:gridCol w:w="109"/>
        <w:gridCol w:w="109"/>
        <w:gridCol w:w="109"/>
        <w:gridCol w:w="109"/>
        <w:gridCol w:w="211"/>
        <w:gridCol w:w="856"/>
        <w:gridCol w:w="109"/>
        <w:gridCol w:w="109"/>
        <w:gridCol w:w="109"/>
        <w:gridCol w:w="109"/>
        <w:gridCol w:w="281"/>
        <w:gridCol w:w="281"/>
        <w:gridCol w:w="400"/>
      </w:tblGrid>
      <w:tr>
        <w:trPr/>
        <w:tc>
          <w:tcPr>
            <w:tcW w:w="96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19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252,265 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178,327 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483,008 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345,880 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w:t>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 (1) (2)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47</w:t>
            </w:r>
          </w:p>
        </w:tc>
      </w:tr>
      <w:tr>
        <w:trPr/>
        <w:tc>
          <w:tcPr>
            <w:tcW w:w="19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182,581 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130,978 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346,677 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253,340 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37</w:t>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(1) (2)</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73,670 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144,060 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106,025 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Arial;sans-serif" w:hAnsi="Arial;sans-serif"/>
                <w:b w:val="false"/>
                <w:color w:val="000000"/>
                <w:sz w:val="20"/>
              </w:rPr>
            </w:pPr>
            <w:r>
              <w:rPr>
                <w:rFonts w:ascii="Arial;sans-serif" w:hAnsi="Arial;sans-serif"/>
                <w:b w:val="false"/>
                <w:color w:val="000000"/>
                <w:sz w:val="20"/>
              </w:rPr>
              <w:t>36</w:t>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 (1) (2)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Arial;sans-serif" w:hAnsi="Arial;sans-serif"/>
                <w:b w:val="false"/>
                <w:color w:val="000000"/>
                <w:sz w:val="20"/>
              </w:rPr>
            </w:pPr>
            <w:r>
              <w:rPr>
                <w:rFonts w:ascii="Arial;sans-serif" w:hAnsi="Arial;sans-serif"/>
                <w:b w:val="false"/>
                <w:color w:val="000000"/>
                <w:sz w:val="20"/>
              </w:rPr>
              <w:t>40</w:t>
            </w:r>
          </w:p>
        </w:tc>
      </w:tr>
      <w:tr>
        <w:trPr/>
        <w:tc>
          <w:tcPr>
            <w:tcW w:w="19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(1) (2)</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36,957 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89,435 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72,071 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w:t>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20"/>
              </w:rPr>
            </w:pPr>
            <w:r>
              <w:rPr>
                <w:rFonts w:ascii="Arial;sans-serif" w:hAnsi="Arial;sans-serif"/>
                <w:b w:val="false"/>
                <w:color w:val="000000"/>
                <w:sz w:val="20"/>
              </w:rPr>
              <w:t>33</w:t>
            </w:r>
          </w:p>
        </w:tc>
      </w:tr>
      <w:tr>
        <w:trPr/>
        <w:tc>
          <w:tcPr>
            <w:tcW w:w="19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33,363 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18,700 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56,957 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35,139 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20"/>
              </w:rPr>
            </w:pPr>
            <w:r>
              <w:rPr>
                <w:rFonts w:ascii="Arial;sans-serif" w:hAnsi="Arial;sans-serif"/>
                <w:b w:val="false"/>
                <w:color w:val="000000"/>
                <w:sz w:val="20"/>
              </w:rPr>
              <w:t>62</w:t>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20"/>
              </w:rPr>
            </w:pPr>
            <w:r>
              <w:rPr>
                <w:rFonts w:ascii="Arial;sans-serif" w:hAnsi="Arial;sans-serif"/>
                <w:b w:val="false"/>
                <w:color w:val="000000"/>
                <w:sz w:val="20"/>
              </w:rPr>
              <w:t>nm</w:t>
            </w:r>
          </w:p>
        </w:tc>
      </w:tr>
      <w:tr>
        <w:trPr/>
        <w:tc>
          <w:tcPr>
            <w:tcW w:w="19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interest income and income taxes</w:t>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35,023 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17,993 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59,618 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33,811 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76</w:t>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20"/>
              </w:rPr>
            </w:pPr>
            <w:r>
              <w:rPr>
                <w:rFonts w:ascii="Arial;sans-serif" w:hAnsi="Arial;sans-serif"/>
                <w:b w:val="false"/>
                <w:color w:val="000000"/>
                <w:sz w:val="20"/>
              </w:rPr>
              <w:t>5</w:t>
            </w:r>
          </w:p>
        </w:tc>
      </w:tr>
      <w:tr>
        <w:trPr/>
        <w:tc>
          <w:tcPr>
            <w:tcW w:w="19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46,450 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28,714 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81,460 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54,565 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20"/>
              </w:rPr>
            </w:pPr>
            <w:r>
              <w:rPr>
                <w:rFonts w:ascii="Arial;sans-serif" w:hAnsi="Arial;sans-serif"/>
                <w:b w:val="false"/>
                <w:color w:val="000000"/>
                <w:sz w:val="20"/>
              </w:rPr>
              <w:t>49</w:t>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20"/>
              </w:rPr>
            </w:pPr>
            <w:r>
              <w:rPr>
                <w:rFonts w:ascii="Arial;sans-serif" w:hAnsi="Arial;sans-serif"/>
                <w:b w:val="false"/>
                <w:color w:val="000000"/>
                <w:sz w:val="20"/>
              </w:rPr>
              <w:t>(53)</w:t>
            </w:r>
          </w:p>
        </w:tc>
      </w:tr>
      <w:tr>
        <w:trPr/>
        <w:tc>
          <w:tcPr>
            <w:tcW w:w="19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and comprehensive income</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44,781 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24,351 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79,916 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51,307 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(1)Includes stock-based compensation expenses as follows:</w:t>
      </w:r>
    </w:p>
    <w:tbl>
      <w:tblPr>
        <w:tblW w:w="7207" w:type="dxa"/>
        <w:jc w:val="left"/>
        <w:tblInd w:w="0" w:type="dxa"/>
        <w:tblLayout w:type="fixed"/>
        <w:tblCellMar>
          <w:top w:w="28" w:type="dxa"/>
          <w:left w:w="28" w:type="dxa"/>
          <w:bottom w:w="28" w:type="dxa"/>
          <w:right w:w="28" w:type="dxa"/>
        </w:tblCellMar>
      </w:tblPr>
      <w:tblGrid>
        <w:gridCol w:w="770"/>
        <w:gridCol w:w="679"/>
        <w:gridCol w:w="680"/>
        <w:gridCol w:w="216"/>
        <w:gridCol w:w="713"/>
        <w:gridCol w:w="120"/>
        <w:gridCol w:w="120"/>
        <w:gridCol w:w="120"/>
        <w:gridCol w:w="120"/>
        <w:gridCol w:w="216"/>
        <w:gridCol w:w="713"/>
        <w:gridCol w:w="120"/>
        <w:gridCol w:w="109"/>
        <w:gridCol w:w="109"/>
        <w:gridCol w:w="109"/>
        <w:gridCol w:w="197"/>
        <w:gridCol w:w="652"/>
        <w:gridCol w:w="110"/>
        <w:gridCol w:w="110"/>
        <w:gridCol w:w="110"/>
        <w:gridCol w:w="110"/>
        <w:gridCol w:w="197"/>
        <w:gridCol w:w="652"/>
        <w:gridCol w:w="155"/>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1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Cost of revenues</w:t>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20,481 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14,095 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Sales and marketing</w:t>
            </w:r>
          </w:p>
        </w:tc>
        <w:tc>
          <w:tcPr>
            <w:tcW w:w="92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1,593 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1,198 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3,024 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2,252 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12,494 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11,435 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2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34,592 </w:t>
            </w:r>
          </w:p>
        </w:tc>
        <w:tc>
          <w:tcPr>
            <w:tcW w:w="12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26,746 </w:t>
            </w:r>
          </w:p>
        </w:tc>
        <w:tc>
          <w:tcPr>
            <w:tcW w:w="12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65,610 </w:t>
            </w:r>
          </w:p>
        </w:tc>
        <w:tc>
          <w:tcPr>
            <w:tcW w:w="11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51,731 </w:t>
            </w:r>
          </w:p>
        </w:tc>
        <w:tc>
          <w:tcPr>
            <w:tcW w:w="15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(2)Includes amortization of capitalized software and depreciation of property and equipment as follows:</w:t>
      </w:r>
    </w:p>
    <w:tbl>
      <w:tblPr>
        <w:tblW w:w="7200" w:type="dxa"/>
        <w:jc w:val="left"/>
        <w:tblInd w:w="0" w:type="dxa"/>
        <w:tblLayout w:type="fixed"/>
        <w:tblCellMar>
          <w:top w:w="28" w:type="dxa"/>
          <w:left w:w="28" w:type="dxa"/>
          <w:bottom w:w="28" w:type="dxa"/>
          <w:right w:w="28" w:type="dxa"/>
        </w:tblCellMar>
      </w:tblPr>
      <w:tblGrid>
        <w:gridCol w:w="770"/>
        <w:gridCol w:w="679"/>
        <w:gridCol w:w="680"/>
        <w:gridCol w:w="235"/>
        <w:gridCol w:w="667"/>
        <w:gridCol w:w="130"/>
        <w:gridCol w:w="130"/>
        <w:gridCol w:w="130"/>
        <w:gridCol w:w="130"/>
        <w:gridCol w:w="235"/>
        <w:gridCol w:w="667"/>
        <w:gridCol w:w="130"/>
        <w:gridCol w:w="109"/>
        <w:gridCol w:w="109"/>
        <w:gridCol w:w="109"/>
        <w:gridCol w:w="214"/>
        <w:gridCol w:w="609"/>
        <w:gridCol w:w="119"/>
        <w:gridCol w:w="119"/>
        <w:gridCol w:w="119"/>
        <w:gridCol w:w="119"/>
        <w:gridCol w:w="214"/>
        <w:gridCol w:w="609"/>
        <w:gridCol w:w="168"/>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1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Cost of revenues (a)</w:t>
            </w:r>
          </w:p>
        </w:tc>
        <w:tc>
          <w:tcPr>
            <w:tcW w:w="23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1,957 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944 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4,168 </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1,792 </w:t>
            </w:r>
          </w:p>
        </w:tc>
        <w:tc>
          <w:tcPr>
            <w:tcW w:w="1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Sales and marketing (a)</w:t>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23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3,440 </w:t>
            </w:r>
          </w:p>
        </w:tc>
        <w:tc>
          <w:tcPr>
            <w:tcW w:w="13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2,243 </w:t>
            </w:r>
          </w:p>
        </w:tc>
        <w:tc>
          <w:tcPr>
            <w:tcW w:w="13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7,030 </w:t>
            </w:r>
          </w:p>
        </w:tc>
        <w:tc>
          <w:tcPr>
            <w:tcW w:w="11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4,317 </w:t>
            </w:r>
          </w:p>
        </w:tc>
        <w:tc>
          <w:tcPr>
            <w:tcW w:w="16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 Amortization of capitalized software is recorded to Cost of revenue and Sales and marketing for revenue and non-revenue generating capitalized software, respectively.</w:t>
      </w:r>
    </w:p>
    <w:p>
      <w:pPr>
        <w:pStyle w:val="TextBody"/>
        <w:bidi w:val="0"/>
        <w:spacing w:before="0" w:after="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following table sets forth the components of our Unaudited Condensed Consolidated Statements of Operations and Comprehensive Income for each of the periods presented as a percentage of revenue.</w:t>
      </w:r>
    </w:p>
    <w:tbl>
      <w:tblPr>
        <w:tblW w:w="9837" w:type="dxa"/>
        <w:jc w:val="left"/>
        <w:tblInd w:w="0" w:type="dxa"/>
        <w:tblLayout w:type="fixed"/>
        <w:tblCellMar>
          <w:top w:w="28" w:type="dxa"/>
          <w:left w:w="28" w:type="dxa"/>
          <w:bottom w:w="28" w:type="dxa"/>
          <w:right w:w="28" w:type="dxa"/>
        </w:tblCellMar>
      </w:tblPr>
      <w:tblGrid>
        <w:gridCol w:w="1582"/>
        <w:gridCol w:w="1386"/>
        <w:gridCol w:w="1396"/>
        <w:gridCol w:w="262"/>
        <w:gridCol w:w="219"/>
        <w:gridCol w:w="527"/>
        <w:gridCol w:w="200"/>
        <w:gridCol w:w="200"/>
        <w:gridCol w:w="200"/>
        <w:gridCol w:w="262"/>
        <w:gridCol w:w="219"/>
        <w:gridCol w:w="527"/>
        <w:gridCol w:w="109"/>
        <w:gridCol w:w="109"/>
        <w:gridCol w:w="109"/>
        <w:gridCol w:w="240"/>
        <w:gridCol w:w="241"/>
        <w:gridCol w:w="475"/>
        <w:gridCol w:w="181"/>
        <w:gridCol w:w="181"/>
        <w:gridCol w:w="181"/>
        <w:gridCol w:w="240"/>
        <w:gridCol w:w="241"/>
        <w:gridCol w:w="550"/>
      </w:tblGrid>
      <w:tr>
        <w:trPr/>
        <w:tc>
          <w:tcPr>
            <w:tcW w:w="1582"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52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52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4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55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5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5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47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55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5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5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4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5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5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5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4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5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5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5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47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55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interest income and income taxes</w:t>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5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5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47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55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5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5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47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55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5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and comprehensive income</w:t>
            </w:r>
          </w:p>
        </w:tc>
        <w:tc>
          <w:tcPr>
            <w:tcW w:w="481"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52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52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47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55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312" w:before="0" w:after="180"/>
        <w:jc w:val="left"/>
        <w:rPr/>
      </w:pPr>
      <w:r>
        <w:rPr>
          <w:rFonts w:ascii="Arial;sans-serif" w:hAnsi="Arial;sans-serif"/>
          <w:b/>
          <w:i/>
          <w:color w:val="000000"/>
          <w:sz w:val="20"/>
        </w:rPr>
        <w:t>Revenues</w:t>
      </w:r>
      <w:r>
        <w:rPr>
          <w:color w:val="000000"/>
        </w:rPr>
        <w:t xml:space="preserve">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Revenues increased by $73.9 million, or 41%, to $252.3 million during the three months ended June 30, 2025, from revenues of $178.3 million during the three months ended June 30, 2024. Revenues increased $137.1 million, or 40%, to $483.0 million during the six months ended June 30, 2025,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revenues of $345.9 million during the six months ended June 30, 2024. The main drivers of the increases were: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Subscription revenue increased by $66.8 million, or 46%, to $210.7 million during the three months ended June 30, 2025 and $126.1 million, or 46%, to $401.7 million during the six months ended June 30, 2025, primarily due to an increase in the average number of paid subscribers during each period;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Other revenue increased by $7.2 million, or 21%, to $41.6 million during the three months ended June 30, 2025 and $11.1 million, or 16%, to $81.3 million during the six months ended June 30, 2025, primarily due to increased advertising revenue, resulting from an increase in DAUs, which resulted in increased advertisements served.</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following table provides the changes in revenues by product type:</w:t>
      </w:r>
    </w:p>
    <w:tbl>
      <w:tblPr>
        <w:tblW w:w="11343" w:type="dxa"/>
        <w:jc w:val="left"/>
        <w:tblInd w:w="0" w:type="dxa"/>
        <w:tblLayout w:type="fixed"/>
        <w:tblCellMar>
          <w:top w:w="28" w:type="dxa"/>
          <w:left w:w="28" w:type="dxa"/>
          <w:bottom w:w="28" w:type="dxa"/>
          <w:right w:w="28" w:type="dxa"/>
        </w:tblCellMar>
      </w:tblPr>
      <w:tblGrid>
        <w:gridCol w:w="398"/>
        <w:gridCol w:w="311"/>
        <w:gridCol w:w="312"/>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305"/>
        <w:gridCol w:w="305"/>
        <w:gridCol w:w="306"/>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81"/>
        <w:gridCol w:w="281"/>
        <w:gridCol w:w="399"/>
      </w:tblGrid>
      <w:tr>
        <w:trPr/>
        <w:tc>
          <w:tcPr>
            <w:tcW w:w="39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10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Subscription</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210,678 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143,909 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66,769 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401,665 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275,597 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126,068 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w:t>
            </w:r>
          </w:p>
        </w:tc>
      </w:tr>
      <w:tr>
        <w:trPr/>
        <w:tc>
          <w:tcPr>
            <w:tcW w:w="10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252,265 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178,327 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73,938 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483,008 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345,880 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137,128 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w:t>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 Other revenue is comprised mainly of Advertising, Duolingo English Test, and In-App Purchases.</w:t>
      </w:r>
    </w:p>
    <w:p>
      <w:pPr>
        <w:pStyle w:val="TextBody"/>
        <w:bidi w:val="0"/>
        <w:spacing w:before="0" w:after="0"/>
        <w:ind w:left="0" w:right="0" w:hanging="360"/>
        <w:jc w:val="left"/>
        <w:rPr/>
      </w:pPr>
      <w:r>
        <w:rPr/>
      </w:r>
    </w:p>
    <w:p>
      <w:pPr>
        <w:pStyle w:val="TextBody"/>
        <w:bidi w:val="0"/>
        <w:spacing w:lineRule="auto" w:line="312" w:before="0" w:after="180"/>
        <w:jc w:val="left"/>
        <w:rPr/>
      </w:pPr>
      <w:r>
        <w:rPr>
          <w:rFonts w:ascii="Arial;sans-serif" w:hAnsi="Arial;sans-serif"/>
          <w:b/>
          <w:color w:val="000000"/>
          <w:sz w:val="20"/>
        </w:rPr>
        <w:t>Cost of Revenues and Gross Margin.</w:t>
      </w:r>
      <w:r>
        <w:rPr>
          <w:color w:val="000000"/>
        </w:rPr>
        <w:t xml:space="preserve"> </w:t>
      </w:r>
      <w:r>
        <w:rPr>
          <w:rFonts w:ascii="Arial;sans-serif" w:hAnsi="Arial;sans-serif"/>
          <w:b w:val="false"/>
          <w:color w:val="000000"/>
          <w:sz w:val="20"/>
        </w:rPr>
        <w:t>Total gross margin decreased to 72.4% from 73.4% during the three months ended June 30, 2025 and 2024, and to 71.8% from 73.2% during the six months ended June 30, 2025 and 2024. The decrease in both periods was primarily due to lower subscription gross margin, driven by increased generative AI costs year over year related to the expansion of the Duolingo Max subscription tier.</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following table provides the change in cost of revenues, along with related gross margins:</w:t>
      </w:r>
    </w:p>
    <w:tbl>
      <w:tblPr>
        <w:tblW w:w="12830" w:type="dxa"/>
        <w:jc w:val="left"/>
        <w:tblInd w:w="0" w:type="dxa"/>
        <w:tblLayout w:type="fixed"/>
        <w:tblCellMar>
          <w:top w:w="28" w:type="dxa"/>
          <w:left w:w="28" w:type="dxa"/>
          <w:bottom w:w="28" w:type="dxa"/>
          <w:right w:w="28" w:type="dxa"/>
        </w:tblCellMar>
      </w:tblPr>
      <w:tblGrid>
        <w:gridCol w:w="294"/>
        <w:gridCol w:w="258"/>
        <w:gridCol w:w="259"/>
        <w:gridCol w:w="196"/>
        <w:gridCol w:w="646"/>
        <w:gridCol w:w="109"/>
        <w:gridCol w:w="109"/>
        <w:gridCol w:w="109"/>
        <w:gridCol w:w="109"/>
        <w:gridCol w:w="233"/>
        <w:gridCol w:w="233"/>
        <w:gridCol w:w="293"/>
        <w:gridCol w:w="109"/>
        <w:gridCol w:w="109"/>
        <w:gridCol w:w="109"/>
        <w:gridCol w:w="196"/>
        <w:gridCol w:w="646"/>
        <w:gridCol w:w="109"/>
        <w:gridCol w:w="109"/>
        <w:gridCol w:w="109"/>
        <w:gridCol w:w="109"/>
        <w:gridCol w:w="233"/>
        <w:gridCol w:w="233"/>
        <w:gridCol w:w="293"/>
        <w:gridCol w:w="196"/>
        <w:gridCol w:w="646"/>
        <w:gridCol w:w="109"/>
        <w:gridCol w:w="222"/>
        <w:gridCol w:w="169"/>
        <w:gridCol w:w="398"/>
        <w:gridCol w:w="196"/>
        <w:gridCol w:w="736"/>
        <w:gridCol w:w="109"/>
        <w:gridCol w:w="109"/>
        <w:gridCol w:w="109"/>
        <w:gridCol w:w="109"/>
        <w:gridCol w:w="233"/>
        <w:gridCol w:w="233"/>
        <w:gridCol w:w="293"/>
        <w:gridCol w:w="109"/>
        <w:gridCol w:w="109"/>
        <w:gridCol w:w="109"/>
        <w:gridCol w:w="196"/>
        <w:gridCol w:w="646"/>
        <w:gridCol w:w="109"/>
        <w:gridCol w:w="109"/>
        <w:gridCol w:w="109"/>
        <w:gridCol w:w="109"/>
        <w:gridCol w:w="233"/>
        <w:gridCol w:w="233"/>
        <w:gridCol w:w="293"/>
        <w:gridCol w:w="196"/>
        <w:gridCol w:w="646"/>
        <w:gridCol w:w="109"/>
        <w:gridCol w:w="148"/>
        <w:gridCol w:w="118"/>
        <w:gridCol w:w="170"/>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Change</w:t>
            </w:r>
          </w:p>
        </w:tc>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Change</w:t>
            </w:r>
          </w:p>
        </w:tc>
        <w:tc>
          <w:tcPr>
            <w:tcW w:w="21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138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Change</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4"/>
              </w:rPr>
            </w:pPr>
            <w:r>
              <w:rPr>
                <w:rFonts w:ascii="Arial;sans-serif" w:hAnsi="Arial;sans-serif"/>
                <w:b/>
                <w:i/>
                <w:color w:val="000000"/>
                <w:sz w:val="14"/>
              </w:rPr>
              <w:t>(In thousands, except gross margin)</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Margin</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Costs</w:t>
            </w:r>
          </w:p>
        </w:tc>
        <w:tc>
          <w:tcPr>
            <w:tcW w:w="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Margin</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Margin</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Costs</w:t>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4"/>
              </w:rPr>
            </w:pPr>
            <w:r>
              <w:rPr>
                <w:rFonts w:ascii="Arial;sans-serif" w:hAnsi="Arial;sans-serif"/>
                <w:b/>
                <w:color w:val="000000"/>
                <w:sz w:val="14"/>
              </w:rPr>
              <w:t>Gross Margin</w:t>
            </w:r>
          </w:p>
        </w:tc>
      </w:tr>
      <w:tr>
        <w:trPr/>
        <w:tc>
          <w:tcPr>
            <w:tcW w:w="8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cost of revenues</w:t>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69,684 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72.4 </w:t>
            </w:r>
          </w:p>
        </w:tc>
        <w:tc>
          <w:tcPr>
            <w:tcW w:w="29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47,349 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73.4 </w:t>
            </w:r>
          </w:p>
        </w:tc>
        <w:tc>
          <w:tcPr>
            <w:tcW w:w="29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22,335 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39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136,331 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71.8 </w:t>
            </w:r>
          </w:p>
        </w:tc>
        <w:tc>
          <w:tcPr>
            <w:tcW w:w="29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92,540 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73.2 </w:t>
            </w:r>
          </w:p>
        </w:tc>
        <w:tc>
          <w:tcPr>
            <w:tcW w:w="29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43,791 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r>
    </w:tbl>
    <w:p>
      <w:pPr>
        <w:pStyle w:val="TextBody"/>
        <w:bidi w:val="0"/>
        <w:spacing w:lineRule="auto" w:line="288" w:before="0" w:after="180"/>
        <w:jc w:val="left"/>
        <w:rPr>
          <w:rFonts w:ascii="Arial;sans-serif" w:hAnsi="Arial;sans-serif"/>
          <w:b/>
          <w:color w:val="000000"/>
          <w:sz w:val="20"/>
        </w:rPr>
      </w:pPr>
      <w:bookmarkStart w:id="32" w:name="i44f0b1df49304239868d26c6b1f66f88"/>
      <w:bookmarkEnd w:id="32"/>
      <w:r>
        <w:rPr>
          <w:rFonts w:ascii="Arial;sans-serif" w:hAnsi="Arial;sans-serif"/>
          <w:b/>
          <w:color w:val="000000"/>
          <w:sz w:val="20"/>
        </w:rPr>
        <w:t>Operating Expenses</w:t>
      </w:r>
    </w:p>
    <w:p>
      <w:pPr>
        <w:pStyle w:val="TextBody"/>
        <w:bidi w:val="0"/>
        <w:spacing w:lineRule="auto" w:line="312" w:before="0" w:after="180"/>
        <w:jc w:val="left"/>
        <w:rPr/>
      </w:pPr>
      <w:r>
        <w:rPr>
          <w:rFonts w:ascii="Arial;sans-serif" w:hAnsi="Arial;sans-serif"/>
          <w:b/>
          <w:i/>
          <w:color w:val="000000"/>
          <w:sz w:val="20"/>
        </w:rPr>
        <w:t>Research and Development.</w:t>
      </w:r>
      <w:r>
        <w:rPr>
          <w:color w:val="000000"/>
        </w:rPr>
        <w:t xml:space="preserve"> </w:t>
      </w:r>
      <w:r>
        <w:rPr>
          <w:rFonts w:ascii="Arial;sans-serif" w:hAnsi="Arial;sans-serif"/>
          <w:b w:val="false"/>
          <w:color w:val="000000"/>
          <w:sz w:val="20"/>
        </w:rPr>
        <w:t>Research and development expense increased by $18.5 million, or 34%, to $73.7 million during the three months ended June 30, 2025 from $55.1 million during the three months ended June 30, 2024. The increase was mainly due to:</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Increased net personnel costs of $15.0 million, driven primarily by the growth in headcount. Total gross personnel costs increased by $15.2 million, of which $7.6 million of the increase was related to stock-based compensation expense. This increase was reduced by $0.2 million of wages recorded as capitalized software as compared to the same period in the prior year;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Increased web services and technology costs of $1.9 million;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Increased other costs of $1.6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Research and development expense increased by $38.0 million, or 36%, to $144.1 million during the six months ended June 30, 2025 from $106.0 million during the six months ended June 30, 2024. The increase was mainly due to:</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Increased net personnel costs of $31.7 million, driven primarily by the growth in headcount. Total gross personnel costs increased by $29.9 million, including increased stock-based compensation expense of $13.0 million. Additionally, there was an increase of $1.8 million due to a reduction in wages recorded as capitalized software as compared to the same period in the prior year;</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Increased web services and technology costs of $4.2 million;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Increased contractor, travel and other costs of $2.1 million.</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Research and development continues to be our largest operating expense as we test and experiment with new products and product features and improve existing ones to drive engagement and efficacy. Increased engagement and efficacy, we believe, help drive organic growth in MAUs and DAUs, growth in, and better retention of, paid subscribers, as well as increased advertising opportunities with free users.</w:t>
      </w:r>
    </w:p>
    <w:p>
      <w:pPr>
        <w:pStyle w:val="TextBody"/>
        <w:bidi w:val="0"/>
        <w:spacing w:lineRule="auto" w:line="312" w:before="0" w:after="180"/>
        <w:jc w:val="left"/>
        <w:rPr/>
      </w:pPr>
      <w:r>
        <w:rPr>
          <w:rFonts w:ascii="Arial;sans-serif" w:hAnsi="Arial;sans-serif"/>
          <w:b/>
          <w:i/>
          <w:color w:val="000000"/>
          <w:sz w:val="20"/>
        </w:rPr>
        <w:t>Sales and Marketing.</w:t>
      </w:r>
      <w:r>
        <w:rPr>
          <w:color w:val="000000"/>
        </w:rPr>
        <w:t xml:space="preserve"> </w:t>
      </w:r>
      <w:r>
        <w:rPr>
          <w:rFonts w:ascii="Arial;sans-serif" w:hAnsi="Arial;sans-serif"/>
          <w:b w:val="false"/>
          <w:color w:val="000000"/>
          <w:sz w:val="20"/>
        </w:rPr>
        <w:t>Sales and marketing expense increased by $9.4 million, or 47%, to $29.6 million during the three months ended June 30, 2025 from $20.2 million during the three months ended June 30, 2024</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This increase was mainly due to:</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Increased direct marketing and other expenses of $7.4 million;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Increased personnel costs of $2.0 million driven primarily by the growth in headcount, including increased stock-based compensation expense of $0.5 million.</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Sales and marketing expense increased by $16.1 million, or 40%, to $56.2 million during the six months ended June 30, 2025 from $40.1 million during the six months ended June 30, 2024.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This increase was mainly due to:</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Increased direct marketing and other expenses of $12.1 million;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Increased personnel costs of $4.0 million driven primarily by the growth in headcount, including increased stock-based compensation expense of $0.9 million.</w:t>
      </w:r>
    </w:p>
    <w:p>
      <w:pPr>
        <w:pStyle w:val="TextBody"/>
        <w:bidi w:val="0"/>
        <w:spacing w:lineRule="auto" w:line="312" w:before="0" w:after="180"/>
        <w:jc w:val="left"/>
        <w:rPr/>
      </w:pPr>
      <w:r>
        <w:rPr>
          <w:rFonts w:ascii="Arial;sans-serif" w:hAnsi="Arial;sans-serif"/>
          <w:b/>
          <w:i/>
          <w:color w:val="000000"/>
          <w:sz w:val="20"/>
        </w:rPr>
        <w:t>General and Administrative.</w:t>
      </w:r>
      <w:r>
        <w:rPr>
          <w:color w:val="000000"/>
        </w:rPr>
        <w:t xml:space="preserve"> </w:t>
      </w:r>
      <w:r>
        <w:rPr>
          <w:rFonts w:ascii="Arial;sans-serif" w:hAnsi="Arial;sans-serif"/>
          <w:b w:val="false"/>
          <w:color w:val="000000"/>
          <w:sz w:val="20"/>
        </w:rPr>
        <w:t>General and administrative expense increased by $9.0 million, or 24%, to $46.0 million during the three months ended June 30, 2025 from $37.0 million during the three months ended June 30, 2024. This increase was mainly due to:</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Increased personnel costs of $5.9 million, including an increase in stock-based compensation expenses related to equity awards of $3.9 million, which includes costs incurred related to taxes paid on equity transactions for the performance-based RSUs granted to its founders (the “Founder Awards”) of $1.9 million.</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Increased travel, meals and professional fees of $1.3 million;</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Increased office expense of $1.2 million;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Increased web services and technology costs of $1.1 million.</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above increases were partially offset by decreases in insurance costs and other costs of $0.5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General and administrative expense increased by $17.4 million, or 24%, to $89.4 million during the six months ended June 30, 2025 from $72.1 million during the six months ended June 30, 2024. This increase was mainly due to:</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Increased personnel costs of $10.8 million, including an increase of $6.5 million in stock-based compensation expenses related to equity awards, which includes costs incurred related to taxes paid on equity transactions for the Founder Awards of $3.0 million;</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Increased web services and technology costs of $2.5 million;</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Increased travel and meals expenses of $2.3 million;</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Increased office expenses of $1.7 million;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Increased tax, professional, and other expenses of $1.2 million.</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above increases were partially offset by decreases in facility-related costs of $1.1 million.</w:t>
      </w:r>
    </w:p>
    <w:p>
      <w:pPr>
        <w:pStyle w:val="TextBody"/>
        <w:bidi w:val="0"/>
        <w:spacing w:lineRule="auto" w:line="312" w:before="0" w:after="180"/>
        <w:jc w:val="left"/>
        <w:rPr>
          <w:rFonts w:ascii="Arial;sans-serif" w:hAnsi="Arial;sans-serif"/>
          <w:b/>
          <w:color w:val="000000"/>
          <w:sz w:val="20"/>
        </w:rPr>
      </w:pPr>
      <w:r>
        <w:rPr>
          <w:rFonts w:ascii="Arial;sans-serif" w:hAnsi="Arial;sans-serif"/>
          <w:b/>
          <w:color w:val="000000"/>
          <w:sz w:val="20"/>
        </w:rPr>
        <w:t>Interest Income</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Interest income increased by $0.7 million, or 7%, to $11.4 million during the three months ended June 30, 2025, from $10.7 million during the three months ended June 30, 2024. Interest income increased by $1.1 million, or 5%, to $21.8 million during the six months ended June 30, 2025, from $20.8 million during the six months ended June 30, 2024. Both period increases were due to higher average interest-bearing balances partially offset by slightly lower interest rates.</w:t>
      </w:r>
    </w:p>
    <w:p>
      <w:pPr>
        <w:pStyle w:val="TextBody"/>
        <w:bidi w:val="0"/>
        <w:spacing w:lineRule="auto" w:line="288" w:before="0" w:after="180"/>
        <w:jc w:val="left"/>
        <w:rPr>
          <w:rFonts w:ascii="Arial;sans-serif" w:hAnsi="Arial;sans-serif"/>
          <w:b/>
          <w:color w:val="000000"/>
          <w:sz w:val="20"/>
        </w:rPr>
      </w:pPr>
      <w:bookmarkStart w:id="33" w:name="ifd83e7aac82245f8aa7ce6f5a9f772a0"/>
      <w:bookmarkEnd w:id="33"/>
      <w:r>
        <w:rPr>
          <w:rFonts w:ascii="Arial;sans-serif" w:hAnsi="Arial;sans-serif"/>
          <w:b/>
          <w:color w:val="000000"/>
          <w:sz w:val="20"/>
        </w:rPr>
        <w:t>Other income (expense), net</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Other income (expense), net increased by $2.4 million, during the three months ended June 30, 2025, and $4.0 million during the six months ended June 30, 2025, compared to the same respective prior year periods, mainly from the impact from changes in foreign currency rates. </w:t>
      </w:r>
    </w:p>
    <w:p>
      <w:pPr>
        <w:pStyle w:val="TextBody"/>
        <w:bidi w:val="0"/>
        <w:spacing w:lineRule="auto" w:line="288" w:before="0" w:after="180"/>
        <w:jc w:val="left"/>
        <w:rPr>
          <w:rFonts w:ascii="Arial;sans-serif" w:hAnsi="Arial;sans-serif"/>
          <w:b/>
          <w:color w:val="000000"/>
          <w:sz w:val="20"/>
        </w:rPr>
      </w:pPr>
      <w:bookmarkStart w:id="34" w:name="ib88c7c4dc38a45b8a00d6394b9076f21"/>
      <w:bookmarkEnd w:id="34"/>
      <w:r>
        <w:rPr>
          <w:rFonts w:ascii="Arial;sans-serif" w:hAnsi="Arial;sans-serif"/>
          <w:b/>
          <w:color w:val="000000"/>
          <w:sz w:val="20"/>
        </w:rPr>
        <w:t>Provision for income taxes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income tax provision was $1.7 million and $1.5 million during the three and six months ended June 30, 2025, respectively, compared to $4.4 million and $3.3 million during the three and six months ended June 30, 2024, respectively. The net reduction in the tax provision during each period resulted from an increase in the tax provision due to the significant increase in pre-tax book income that was more than offset by a corresponding increase in the discrete tax benefit provided related to 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35" w:name="id79a0b902ef043858f818e794ade04fc"/>
      <w:bookmarkEnd w:id="35"/>
      <w:r>
        <w:rPr>
          <w:rFonts w:ascii="Arial;sans-serif" w:hAnsi="Arial;sans-serif"/>
          <w:b/>
          <w:color w:val="000000"/>
          <w:sz w:val="20"/>
        </w:rPr>
        <w:t>Liquidity and Capital Resources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We finance our operations primarily through revenues and the net proceeds we have received from the issuance of equity.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As of June 30, 2025, we had $976.2 million in cash and cash equivalents and $121.7 million of short-term investments. Our cash and cash equivalents primarily consist of bank deposits and money market funds. Our short-term investments consist mainly of corporate debt securities, certificates of deposit, and commercial paper.</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We believe that our existing cash and cash equivalents, short-term investments and cash flow from operations will be sufficient to support working capital and capital expenditure requirements for at least the next 12 months. Our future capital requirements will depend on many factors, including our subscription growth rate and renewal activity, the timing of cash received from our payment processing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platforms, the expansion and efficacy of our sales and marketing activities, the research and development investment related to the introduction of new products and the enhancements to existing products, and the current uncertainty in the global markets impacting, for example, consumer spending, inflation and foreign currency exchange rates. If we cannot meet our future capital requirements, we may be required to seek additional liquidity. If we are unable to raise additional capital or generate cash flows necessary to expand our operations and invest in continued innovation, we may not be able to compete successfully, which would harm our business and financial condition and results of operations.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A substantial source of our cash from operations comes from deferred revenue, which is included in the liabilities section of our Unaudited Condensed Consolidated Balance Sheet. Deferred revenues consists of the unearned portion of customer billings, which is recognized as revenue in accordance with our revenue recognition policy. As of June 30, 2025, we had deferred revenues of $431.2 million, which is recorded as a current liability and expected to be recognized as revenue in the next 12 months, provided all other revenue recognition criteria have been met.</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following table summarizes our cash flows for the periods presented:</w:t>
      </w:r>
    </w:p>
    <w:tbl>
      <w:tblPr>
        <w:tblW w:w="7944" w:type="dxa"/>
        <w:jc w:val="left"/>
        <w:tblInd w:w="0" w:type="dxa"/>
        <w:tblLayout w:type="fixed"/>
        <w:tblCellMar>
          <w:top w:w="28" w:type="dxa"/>
          <w:left w:w="28" w:type="dxa"/>
          <w:bottom w:w="28" w:type="dxa"/>
          <w:right w:w="28" w:type="dxa"/>
        </w:tblCellMar>
      </w:tblPr>
      <w:tblGrid>
        <w:gridCol w:w="1887"/>
        <w:gridCol w:w="1664"/>
        <w:gridCol w:w="1669"/>
        <w:gridCol w:w="211"/>
        <w:gridCol w:w="856"/>
        <w:gridCol w:w="109"/>
        <w:gridCol w:w="109"/>
        <w:gridCol w:w="109"/>
        <w:gridCol w:w="109"/>
        <w:gridCol w:w="211"/>
        <w:gridCol w:w="856"/>
        <w:gridCol w:w="154"/>
      </w:tblGrid>
      <w:tr>
        <w:trPr/>
        <w:tc>
          <w:tcPr>
            <w:tcW w:w="1887"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52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196,306 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145,902 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for investing activities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190,440 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140,630 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i/>
          <w:color w:val="000000"/>
          <w:sz w:val="20"/>
        </w:rPr>
      </w:pPr>
      <w:bookmarkStart w:id="36" w:name="if8303c5193814f78909d04fba183e2c3"/>
      <w:bookmarkEnd w:id="36"/>
      <w:r>
        <w:rPr>
          <w:rFonts w:ascii="Arial;sans-serif" w:hAnsi="Arial;sans-serif"/>
          <w:b/>
          <w:i/>
          <w:color w:val="000000"/>
          <w:sz w:val="20"/>
        </w:rPr>
        <w:t>Operating Activities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Cash flows from operating activities can fluctuate significantly from period to period due to timing of payments and cash collections. Our largest source of operating cash is cash collection from sales of subscriptions to our users. Our primary uses of cash from operating activities are for personnel expenses, marketing expenses, hosting expenses, and overhead expenses.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Cash provided by operating activities increased by $50.4 million, or 35%, to $196.3 million for the six months ended June 30, 2025 from $145.9 million for the six months ended June 30, 2024. This increase was primarily driven by higher net income during the current period, which included increased non-cash stock-based compensation expense. Additionally, growth in deferred revenue contributed to the increase in cash provided by operating activities.</w:t>
      </w:r>
    </w:p>
    <w:p>
      <w:pPr>
        <w:pStyle w:val="TextBody"/>
        <w:bidi w:val="0"/>
        <w:spacing w:lineRule="auto" w:line="288" w:before="0" w:after="180"/>
        <w:jc w:val="left"/>
        <w:rPr>
          <w:rFonts w:ascii="Arial;sans-serif" w:hAnsi="Arial;sans-serif"/>
          <w:b/>
          <w:i/>
          <w:color w:val="000000"/>
          <w:sz w:val="20"/>
        </w:rPr>
      </w:pPr>
      <w:bookmarkStart w:id="37" w:name="i9ff518a2c7c942a8a2329e197bddb570"/>
      <w:bookmarkEnd w:id="37"/>
      <w:r>
        <w:rPr>
          <w:rFonts w:ascii="Arial;sans-serif" w:hAnsi="Arial;sans-serif"/>
          <w:b/>
          <w:i/>
          <w:color w:val="000000"/>
          <w:sz w:val="20"/>
        </w:rPr>
        <w:t>Investing Activities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Cash used for investing activities decreased by $0.9 million to $12.8 million for the six months ended June 30, 2025, from $13.7 million for the six months ended June 30, 2024. This decrease was driven by purchases of investments of $48.3 million during the current period, partially offset by maturities of investments of $42.5 million, and decreased capitalized software and decreased purchases of property and equipment during the current period. </w:t>
      </w:r>
    </w:p>
    <w:p>
      <w:pPr>
        <w:pStyle w:val="TextBody"/>
        <w:bidi w:val="0"/>
        <w:spacing w:lineRule="auto" w:line="288" w:before="0" w:after="180"/>
        <w:jc w:val="left"/>
        <w:rPr>
          <w:rFonts w:ascii="Arial;sans-serif" w:hAnsi="Arial;sans-serif"/>
          <w:b/>
          <w:i/>
          <w:color w:val="000000"/>
          <w:sz w:val="20"/>
        </w:rPr>
      </w:pPr>
      <w:bookmarkStart w:id="38" w:name="i155c439b28a5491cb23a4db5ec61f014"/>
      <w:bookmarkEnd w:id="38"/>
      <w:r>
        <w:rPr>
          <w:rFonts w:ascii="Arial;sans-serif" w:hAnsi="Arial;sans-serif"/>
          <w:b/>
          <w:i/>
          <w:color w:val="000000"/>
          <w:sz w:val="20"/>
        </w:rPr>
        <w:t>Financing Activities</w:t>
      </w:r>
    </w:p>
    <w:p>
      <w:pPr>
        <w:pStyle w:val="TextBody"/>
        <w:bidi w:val="0"/>
        <w:spacing w:lineRule="auto" w:line="312" w:before="0" w:after="180"/>
        <w:jc w:val="left"/>
        <w:rPr/>
      </w:pPr>
      <w:r>
        <w:rPr>
          <w:rFonts w:ascii="Arial;sans-serif" w:hAnsi="Arial;sans-serif"/>
          <w:b w:val="false"/>
          <w:color w:val="000000"/>
          <w:sz w:val="20"/>
        </w:rPr>
        <w:t>Cash provided by financing decreased by $1.6 million to</w:t>
      </w:r>
      <w:r>
        <w:rPr>
          <w:color w:val="000000"/>
        </w:rPr>
        <w:t xml:space="preserve"> </w:t>
      </w:r>
      <w:r>
        <w:rPr>
          <w:rFonts w:ascii="Arial;sans-serif" w:hAnsi="Arial;sans-serif"/>
          <w:b w:val="false"/>
          <w:color w:val="000000"/>
          <w:sz w:val="20"/>
        </w:rPr>
        <w:t>$7.0 million for the six months ended June 30, 2025, from $8.4 million for the six months ended June 30, 2024. Cash provided by financing activities in both periods is due to proceeds from exercises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39" w:name="i58bbb810a94c4d20be89dd5cb22302a7"/>
      <w:bookmarkEnd w:id="39"/>
      <w:r>
        <w:rPr>
          <w:rFonts w:ascii="Arial;sans-serif" w:hAnsi="Arial;sans-serif"/>
          <w:b/>
          <w:color w:val="000000"/>
          <w:sz w:val="20"/>
        </w:rPr>
        <w:t>Critical Accounting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Our Unaudited Condensed Consolidated Financial Statements and the related notes thereto included elsewhere in this Quarterly Report on Form 10-Q are prepared in accordance with GAAP. The preparation of Unaudited Condensed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operations, and cash flows will be affected.</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There have been no material changes to our critical accounting policies and estimates as compared to those described in “Management’s Discussion and Analysis of Financial Condition and Results of Operations” set forth in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40" w:name="i951f087ac35e4d178a6349847608d0b3"/>
      <w:bookmarkEnd w:id="40"/>
      <w:r>
        <w:rPr>
          <w:rFonts w:ascii="Arial;sans-serif" w:hAnsi="Arial;sans-serif"/>
          <w:b/>
          <w:color w:val="000000"/>
          <w:sz w:val="20"/>
        </w:rPr>
        <w:t>Recent Accounting Pronouncements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See Note 1, “Description of the Business and Basis of Presentation,” and Note 2, “Summary of Significant Accounting Policies,” in the notes to our Unaudited Condensed Consolidated Financial Statements included in Part I, Item I of this Quarterly Report on Form 10-Q for a discussion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bookmarkStart w:id="41" w:name="iaf0dfc2889dd462a8eddc98d7d6505e9"/>
      <w:bookmarkEnd w:id="41"/>
      <w:r>
        <w:rPr>
          <w:rFonts w:ascii="Arial;sans-serif" w:hAnsi="Arial;sans-serif"/>
          <w:b/>
          <w:color w:val="000000"/>
          <w:sz w:val="20"/>
        </w:rPr>
        <w:t>Item 3. Quantitative and Qualitative Disclosures About Market Risk</w:t>
      </w:r>
    </w:p>
    <w:p>
      <w:pPr>
        <w:pStyle w:val="TextBody"/>
        <w:bidi w:val="0"/>
        <w:spacing w:lineRule="auto" w:line="288" w:before="0" w:after="180"/>
        <w:jc w:val="left"/>
        <w:rPr>
          <w:rFonts w:ascii="Arial;sans-serif" w:hAnsi="Arial;sans-serif"/>
          <w:b/>
          <w:i/>
          <w:color w:val="000000"/>
          <w:sz w:val="20"/>
        </w:rPr>
      </w:pPr>
      <w:bookmarkStart w:id="42" w:name="ia4f9cebac43046e1b0c3c8020a7ab51f"/>
      <w:bookmarkEnd w:id="42"/>
      <w:r>
        <w:rPr>
          <w:rFonts w:ascii="Arial;sans-serif" w:hAnsi="Arial;sans-serif"/>
          <w:b/>
          <w:i/>
          <w:color w:val="000000"/>
          <w:sz w:val="20"/>
        </w:rPr>
        <w:t>Interest Rate Risk</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As of June 30, 2025, we had $885.7 million of cash equivalents invested in money market funds and $197.0 million of investments mainly in corporate debt securities, U.S. Treasury securities, certificates of deposit, asset-backed securities and commercial paper. Our cash and cash equivalents are held for working capital purposes in addition to future investments in our product. We do not enter into investments for trading or speculative purposes. Our investments are exposed to market risk due to a fluctuation in interest rates, which may affect our interest income and the fair market value of our investments. As of June 30, 2025, a hypothetical 10% relative change in interest rates would not have a material impact on our Unaudited Condensed Consolidated Financial Statements.</w:t>
      </w:r>
    </w:p>
    <w:p>
      <w:pPr>
        <w:pStyle w:val="TextBody"/>
        <w:bidi w:val="0"/>
        <w:spacing w:lineRule="auto" w:line="288" w:before="0" w:after="180"/>
        <w:jc w:val="left"/>
        <w:rPr>
          <w:rFonts w:ascii="Arial;sans-serif" w:hAnsi="Arial;sans-serif"/>
          <w:b/>
          <w:i/>
          <w:color w:val="000000"/>
          <w:sz w:val="20"/>
        </w:rPr>
      </w:pPr>
      <w:bookmarkStart w:id="43" w:name="ic1bf5e3f222f4c8a8eb88247492bcb45"/>
      <w:bookmarkEnd w:id="43"/>
      <w:r>
        <w:rPr>
          <w:rFonts w:ascii="Arial;sans-serif" w:hAnsi="Arial;sans-serif"/>
          <w:b/>
          <w:i/>
          <w:color w:val="000000"/>
          <w:sz w:val="20"/>
        </w:rPr>
        <w:t>Foreign Currency Exchange Risk</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Our reporting currency and the functional currency of our wholly owned foreign subsidiaries is the U.S. dollar. Certain of our payment providers translate our payments from local currency into USD at time of settlement, which means that during periods of a strengthening U.S. dollar, our international receipts could be reduced. Our operating expenses are denominated in the currencies of the countries in which our operations are located, which are primarily in the U.S., China and Germany. Our consolidated results of operations and cash flows are, therefore, subject to fluctuations due to changes in foreign currency exchange rates and may be adversely affected in the future due to changes in foreign exchange rates. In addition, as foreign currency exchange rates fluctuate, the translation of our international receipts into U.S. dollars affects the period-over-period comparability of our operating results and can result in foreign currency exchange gains and losses.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pStyle w:val="TextBody"/>
        <w:bidi w:val="0"/>
        <w:spacing w:lineRule="auto" w:line="288" w:before="0" w:after="180"/>
        <w:jc w:val="left"/>
        <w:rPr>
          <w:rFonts w:ascii="Arial;sans-serif" w:hAnsi="Arial;sans-serif"/>
          <w:b/>
          <w:i/>
          <w:color w:val="000000"/>
          <w:sz w:val="20"/>
        </w:rPr>
      </w:pPr>
      <w:bookmarkStart w:id="44" w:name="i6e36c791986d4f8aad2b2eb178ee1434"/>
      <w:bookmarkEnd w:id="44"/>
      <w:r>
        <w:rPr>
          <w:rFonts w:ascii="Arial;sans-serif" w:hAnsi="Arial;sans-serif"/>
          <w:b/>
          <w:i/>
          <w:color w:val="000000"/>
          <w:sz w:val="20"/>
        </w:rPr>
        <w:t>Inflation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Inflationary factors such as increases in costs may adversely affect our results of operations. We do not believe that inflation has had a material effect on our business, financial condition or results of operations to date. If our costs were to become subject to significant inflationary pressures, we may not be able to fully offset such higher costs through price increases. Our inability or failure to do so could harm our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bookmarkStart w:id="45" w:name="if8743a8563df4529aa3d6bd63bd64951"/>
      <w:bookmarkEnd w:id="45"/>
      <w:r>
        <w:rPr>
          <w:rFonts w:ascii="Arial;sans-serif" w:hAnsi="Arial;sans-serif"/>
          <w:b/>
          <w:color w:val="000000"/>
          <w:sz w:val="20"/>
        </w:rPr>
        <w:t>Item 4. Controls and Procedures</w:t>
      </w:r>
    </w:p>
    <w:p>
      <w:pPr>
        <w:pStyle w:val="TextBody"/>
        <w:bidi w:val="0"/>
        <w:spacing w:lineRule="auto" w:line="312" w:before="0" w:after="180"/>
        <w:jc w:val="left"/>
        <w:rPr>
          <w:rFonts w:ascii="Arial;sans-serif" w:hAnsi="Arial;sans-serif"/>
          <w:b/>
          <w:color w:val="000000"/>
          <w:sz w:val="20"/>
        </w:rPr>
      </w:pPr>
      <w:r>
        <w:rPr>
          <w:rFonts w:ascii="Arial;sans-serif" w:hAnsi="Arial;sans-serif"/>
          <w:b/>
          <w:color w:val="000000"/>
          <w:sz w:val="20"/>
        </w:rPr>
        <w:t>Limitations on Effectiveness of Controls and Procedures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Our disclosure controls and procedures and internal control over financial reporting are designed to provide reasonable assurance of achieving their desired objectives.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pStyle w:val="TextBody"/>
        <w:bidi w:val="0"/>
        <w:spacing w:lineRule="auto" w:line="288" w:before="0" w:after="180"/>
        <w:jc w:val="left"/>
        <w:rPr>
          <w:rFonts w:ascii="Arial;sans-serif" w:hAnsi="Arial;sans-serif"/>
          <w:b/>
          <w:color w:val="000000"/>
          <w:sz w:val="20"/>
        </w:rPr>
      </w:pPr>
      <w:bookmarkStart w:id="46" w:name="i617ed1f55a9c467abd911b728ace7e37"/>
      <w:bookmarkEnd w:id="46"/>
      <w:r>
        <w:rPr>
          <w:rFonts w:ascii="Arial;sans-serif" w:hAnsi="Arial;sans-serif"/>
          <w:b/>
          <w:color w:val="000000"/>
          <w:sz w:val="20"/>
        </w:rPr>
        <w:t>Evaluation of Disclosure Controls and Procedures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Our management, with the participation of our principal executive officer and principal financial officer, conducted an evaluation of the effectiveness of the design and operation of our disclosure controls and procedures, as defined in Rules 13a-15(e) and 15d-15(e) under the Exchange Act, as of the end of the period covered by this Quarterly Report on Form 10-Q. Based on that evaluation, our principal executive officer and principal financial officer have concluded that our disclosure controls and procedures were effective as of the end of the period covered by this Quarterly Report on Form 10-Q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0" w:after="180"/>
        <w:jc w:val="left"/>
        <w:rPr>
          <w:rFonts w:ascii="Arial;sans-serif" w:hAnsi="Arial;sans-serif"/>
          <w:b/>
          <w:color w:val="000000"/>
          <w:sz w:val="20"/>
        </w:rPr>
      </w:pPr>
      <w:bookmarkStart w:id="47" w:name="i0862de2221b942d9b7cf29beb810319d"/>
      <w:bookmarkEnd w:id="47"/>
      <w:r>
        <w:rPr>
          <w:rFonts w:ascii="Arial;sans-serif" w:hAnsi="Arial;sans-serif"/>
          <w:b/>
          <w:color w:val="000000"/>
          <w:sz w:val="20"/>
        </w:rPr>
        <w:t>Changes in Internal Control Over Financial Reporting</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as defined in Rules 13a-15(f) and 15d-15(f) under the Exchange Act, during the three months ended June 30, 2025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left"/>
        <w:rPr>
          <w:rFonts w:ascii="Arial;sans-serif" w:hAnsi="Arial;sans-serif"/>
          <w:b/>
          <w:color w:val="000000"/>
          <w:sz w:val="20"/>
        </w:rPr>
      </w:pPr>
      <w:bookmarkStart w:id="48" w:name="i4aa2ebce85904a6fb7101c8580340f38"/>
      <w:bookmarkEnd w:id="48"/>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bookmarkStart w:id="49" w:name="i4d900f970fc74548bf36473949017cf4"/>
      <w:bookmarkEnd w:id="49"/>
      <w:r>
        <w:rPr>
          <w:rFonts w:ascii="Arial;sans-serif" w:hAnsi="Arial;sans-serif"/>
          <w:b/>
          <w:color w:val="000000"/>
          <w:sz w:val="20"/>
        </w:rPr>
        <w:t>Item 1. Legal Proceedings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From time to time we may be involved in claims and proceedings arising in the course of our business. The outcome of any such claims or proceedings, regardless of the merits, is inherently uncertain. We are not currently party to any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bookmarkStart w:id="50" w:name="i13ca2772e5114614b995930a82efdf2c"/>
      <w:bookmarkEnd w:id="50"/>
      <w:r>
        <w:rPr>
          <w:rFonts w:ascii="Arial;sans-serif" w:hAnsi="Arial;sans-serif"/>
          <w:b/>
          <w:color w:val="000000"/>
          <w:sz w:val="20"/>
        </w:rPr>
        <w:t>Item 1A. Risk Factors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Company's risk factors are described in Part I, Item 1A, "Risk Factors" of the Annual Report on Form 10-K. These factors could materially adversely affect our business, financial condition, and results of operations, and could cause our actual results to differ materially from our historical results or the results contemplated by any forward-looking statements contained in this Quarterly Report on Form 10-Q. There have been no material changes from the risk factors previously disclosed under the heading “Risk Factors” in the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bookmarkStart w:id="51" w:name="i211c90d52794464b9a1d0d8c0ae9729a"/>
      <w:bookmarkEnd w:id="51"/>
      <w:r>
        <w:rPr>
          <w:rFonts w:ascii="Arial;sans-serif" w:hAnsi="Arial;sans-serif"/>
          <w:b/>
          <w:color w:val="000000"/>
          <w:sz w:val="20"/>
        </w:rPr>
        <w:t>Item 2. Unregistered Sales of Equity Securities and Use of Proceeds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bookmarkStart w:id="52" w:name="i9d63fda1534f4bd08cf216107774aaf0"/>
      <w:bookmarkEnd w:id="52"/>
      <w:r>
        <w:rPr>
          <w:rFonts w:ascii="Arial;sans-serif" w:hAnsi="Arial;sans-serif"/>
          <w:b/>
          <w:color w:val="000000"/>
          <w:sz w:val="20"/>
        </w:rPr>
        <w:t>Item 3. Defaults Upon Senior Securities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bookmarkStart w:id="53" w:name="i5bb263b031f44d1a8ff114ddea7cc129"/>
      <w:bookmarkEnd w:id="53"/>
      <w:r>
        <w:rPr>
          <w:rFonts w:ascii="Arial;sans-serif" w:hAnsi="Arial;sans-serif"/>
          <w:b/>
          <w:color w:val="000000"/>
          <w:sz w:val="20"/>
        </w:rPr>
        <w:t>Item 4. Mine Safety Disclosures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bookmarkStart w:id="54" w:name="i3d9f2188d2ab42c5bb9ecc44a15acd87"/>
      <w:bookmarkEnd w:id="54"/>
      <w:r>
        <w:rPr>
          <w:rFonts w:ascii="Arial;sans-serif" w:hAnsi="Arial;sans-serif"/>
          <w:b/>
          <w:color w:val="000000"/>
          <w:sz w:val="20"/>
        </w:rPr>
        <w:t>Item 5. Other Information</w:t>
      </w:r>
    </w:p>
    <w:p>
      <w:pPr>
        <w:pStyle w:val="TextBody"/>
        <w:bidi w:val="0"/>
        <w:spacing w:lineRule="auto" w:line="288" w:before="0" w:after="180"/>
        <w:jc w:val="left"/>
        <w:rPr>
          <w:rFonts w:ascii="Arial;sans-serif" w:hAnsi="Arial;sans-serif"/>
          <w:b/>
          <w:i/>
          <w:color w:val="000000"/>
          <w:sz w:val="20"/>
        </w:rPr>
      </w:pPr>
      <w:bookmarkStart w:id="55" w:name="ib3235724629a432db08e12cbe60928eb"/>
      <w:bookmarkEnd w:id="55"/>
      <w:r>
        <w:rPr>
          <w:rFonts w:ascii="Arial;sans-serif" w:hAnsi="Arial;sans-serif"/>
          <w:b/>
          <w:i/>
          <w:color w:val="000000"/>
          <w:sz w:val="20"/>
        </w:rPr>
        <w:t>(a) None.</w:t>
      </w:r>
    </w:p>
    <w:p>
      <w:pPr>
        <w:pStyle w:val="TextBody"/>
        <w:bidi w:val="0"/>
        <w:spacing w:lineRule="auto" w:line="288" w:before="0" w:after="180"/>
        <w:jc w:val="left"/>
        <w:rPr>
          <w:rFonts w:ascii="Arial;sans-serif" w:hAnsi="Arial;sans-serif"/>
          <w:b/>
          <w:i/>
          <w:color w:val="000000"/>
          <w:sz w:val="20"/>
        </w:rPr>
      </w:pPr>
      <w:bookmarkStart w:id="56" w:name="if65ac76215e7480dafeb95e11679804a"/>
      <w:bookmarkEnd w:id="56"/>
      <w:r>
        <w:rPr>
          <w:rFonts w:ascii="Arial;sans-serif" w:hAnsi="Arial;sans-serif"/>
          <w:b/>
          <w:i/>
          <w:color w:val="000000"/>
          <w:sz w:val="20"/>
        </w:rPr>
        <w:t>(b) Trading Plans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On May 27, 2025, Stephen Chen, General Counsel, entered into a 10b5-1 sales plan (the “Chen 10b5-1 Sales Plan”) intended to satisfy the affirmative defense of Rule 10b5-1(c) of the Exchange Act and providing for (i) the sale of the net number of shares of Class A common stock underlying 11,187 unvested restricted stock units received after giving effect to the number of shares automatically sold to satisfy tax withholding obligations on each applicable vesting date (such total number of shares covered under clause (i) is not determinable) and (ii) the sale of 10,996 shares of Class A common stock. The Chen 10b5-1 Sales Plan will remain in effect until the earlier of (1) August 14, 2026, (2) the date on which all trades set forth in the Chen 10b5-1 Sales Plan have been executed, or (3) such time as the Chen 10b5-1 Sales Plan is otherwise terminated according to its terms.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On May 27, 2025, Gillian Munson, a member of our Board of Directors, entered into a 10b5-1 sales plan (the “Munson 10b5-1 Sales Plan”) intended to satisfy the affirmative defense of Rule 10b5-1(c) of the Exchange Act and providing for the potential exercise of vested stock options and the associated sale of up to 3,062 shares of the Company’s Class A common stock. The Munson 10b5-1 Sales Plan will remain in effect until the earlier of (1) February 27, 2026, (2) the date on which all trades set forth in the Munson 10b5-1 Sales Plan have been executed, or (3) such time as the Munson 10b5-1 Sales Plan is otherwise terminated according to its terms.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On May 27, 2025, Matthew Skaruppa, Chief Financial Officer, entered into a 10b5-1 sales plan (the “Skaruppa 10b5-1 Sales Plan”) intended to satisfy the affirmative defense of Rule 10b5-1(c)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Exchange Act and providing for (i) the sale of the net number of shares of Class A common stock underlying 23,429 unvested restricted stock units received after giving effect to the number of shares automatically sold to satisfy tax withholding obligations on each applicable vesting date (such total number of shares covered under clause (i) is not determinable), (ii) the sale of 6,500 shares of Class A common stock and (iii) exercise of vested stock options and the associated sale of up to 1,378 shares of the Company’s Class A common stock. The Skaruppa 10b5-1 Sales Plan will remain in effect until the earlier of (1) August 14, 2026, (2) the date on which all trades set forth in the Skaruppa 10b5-1 Sales Plan have been executed, or (3) such time as the Skaruppa 10b5-1 Sales Plan is otherwise terminated according to its terms.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On June 9, 2025, Robert Meese, Chief Business Officer, entered into a 10b5-1 sales plan (the “Meese 10b5-1 Sales Plan”) intended to satisfy the affirmative defense of Rule 10b5-1(c) of the Exchange Act and providing for (i) the sale of the net number of shares of Class A common stock underlying 3,151 unvested restricted stock units received after giving effect to the number of shares automatically sold to satisfy tax withholding obligations on each applicable vesting date (such total number of shares covered under clause (i) is not determinable) and (ii) the sale of 18,296 shares of Class A common stock. The Meese 10b5-1 Sales Plan will remain in effect until the earlier of (1) May 29, 2026, (2) the date on which all trades set forth in the Meese 10b5-1 Sales Plan have been executed, or (3) such time as the Meese 10b5-1 Sales Plan is otherwise terminated according to its terms.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On June 11, 2025, Dr. Luis von Ahn, Chief Executive Officer and member of the Company’s Board of Directors, and the Luis von Ahn Foundation, entered into a 10b5-1 sales plan (the “von Ahn 10b5-1 Sales Plan”) intended to satisfy the affirmative defense of Rule 10b5-1(c) under the Exchange Act, pursuant to which a maximum aggregate of up to 431,000 shares of the Company’s Class A common stock may be sold, consisting of (i) up to 226,000 shares issuable upon the exercise of vested stock options held by Dr. von Ahn, (ii) up to 200,000 shares held by Dr. von Ahn, and (iii) up to 5,000 shares held by the Luis von Ahn Foundation). The von Ahn 10b5-1 Sales Plan will remain in effect until the earlier of (1) September 15, 2026, (2) the date on which all trades set forth in the von Ahn 10b5-1 Sales Plan have been executed, or (3) such time as the von Ahn 10b5-1 Sales Plan is otherwise terminated or expires according to its terms.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On June 13, 2025, William Gordon, a member of our Board of Directors, entered into a 10b5-1 sales plan (the “Gordon 10b5-1 Sales Plan”) intended to satisfy the affirmative defense of Rule 10b5-1(c) of the Exchange Act and providing (i) the exercise of vested stock options and the associated sale of up to 10,000 shares of the Company’s Class A common stock, and (ii) the sale of 30,000 shares of Class A common stock. The Gordon 10b5-1 Sales Plan will remain in effect until the earlier of (1) September 30, 2026, (2) the date on which all trades set forth in the Gordon 10b5-1 Sales Plan have been executed, or (3) such time as the Gordon 10b5-1 Sales Plan is otherwise terminated according to its terms.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No other “officer” (as defined in Rule 16a-1(f) under the Exchange Act) or director of the Company adopted, modified or terminated “Rule 10b5-1 trading arrangements” and/or “non-Rule 10b5-1 trading arrangements” (each as defined in Item 408 of Regulation S-K) during the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left"/>
        <w:rPr>
          <w:rFonts w:ascii="Arial;sans-serif" w:hAnsi="Arial;sans-serif"/>
          <w:b/>
          <w:color w:val="000000"/>
          <w:sz w:val="20"/>
        </w:rPr>
      </w:pPr>
      <w:bookmarkStart w:id="57" w:name="ic15984aca8a14a0c9e6feb3142ad9088"/>
      <w:bookmarkEnd w:id="57"/>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22"/>
        <w:gridCol w:w="282"/>
        <w:gridCol w:w="284"/>
        <w:gridCol w:w="109"/>
        <w:gridCol w:w="109"/>
        <w:gridCol w:w="109"/>
        <w:gridCol w:w="1489"/>
        <w:gridCol w:w="1345"/>
        <w:gridCol w:w="1342"/>
        <w:gridCol w:w="109"/>
        <w:gridCol w:w="109"/>
        <w:gridCol w:w="109"/>
        <w:gridCol w:w="175"/>
        <w:gridCol w:w="175"/>
        <w:gridCol w:w="176"/>
        <w:gridCol w:w="257"/>
        <w:gridCol w:w="257"/>
        <w:gridCol w:w="203"/>
        <w:gridCol w:w="109"/>
        <w:gridCol w:w="109"/>
        <w:gridCol w:w="109"/>
        <w:gridCol w:w="212"/>
        <w:gridCol w:w="212"/>
        <w:gridCol w:w="217"/>
        <w:gridCol w:w="109"/>
        <w:gridCol w:w="109"/>
        <w:gridCol w:w="109"/>
        <w:gridCol w:w="220"/>
        <w:gridCol w:w="220"/>
        <w:gridCol w:w="221"/>
        <w:gridCol w:w="109"/>
        <w:gridCol w:w="109"/>
        <w:gridCol w:w="109"/>
        <w:gridCol w:w="279"/>
        <w:gridCol w:w="279"/>
        <w:gridCol w:w="403"/>
      </w:tblGrid>
      <w:tr>
        <w:trPr/>
        <w:tc>
          <w:tcPr>
            <w:tcW w:w="32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Incorporated by</w:t>
              <w:br/>
              <w:t>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Form</w:t>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Filed Herewith</w:t>
            </w:r>
          </w:p>
        </w:tc>
      </w:tr>
      <w:tr>
        <w:trPr/>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18"/>
                  <w:u w:val="single"/>
                </w:rPr>
                <w:t>Amended and Restated Certificate of Incorporation, as currently in effect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001-40653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7/30/2021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18"/>
                  <w:u w:val="single"/>
                </w:rPr>
                <w:t>Bylaws, as currently in effect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001-40653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12/08/2023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10.5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hirdamendmenttolease-li.htm">
              <w:r>
                <w:rPr>
                  <w:rStyle w:val="InternetLink"/>
                  <w:rFonts w:ascii="Arial;sans-serif" w:hAnsi="Arial;sans-serif"/>
                  <w:b w:val="false"/>
                  <w:color w:val="0000FF"/>
                  <w:sz w:val="18"/>
                  <w:u w:val="single"/>
                </w:rPr>
                <w:t>Third Amendment to Office Lease Agreement, dated May 19, 2025, by and between 5704 Penn Office, LLC and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uolingo-2025q210xqex311.htm">
              <w:r>
                <w:rPr>
                  <w:rStyle w:val="InternetLink"/>
                  <w:rFonts w:ascii="Arial;sans-serif" w:hAnsi="Arial;sans-serif"/>
                  <w:b w:val="false"/>
                  <w:color w:val="0000FF"/>
                  <w:sz w:val="18"/>
                  <w:u w:val="single"/>
                </w:rPr>
                <w:t>Certification of Principal Executive Officer pursuant to Exchange Act Rule 13a-14(a)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uolingo-2025q210xqex312.htm">
              <w:r>
                <w:rPr>
                  <w:rStyle w:val="InternetLink"/>
                  <w:rFonts w:ascii="Arial;sans-serif" w:hAnsi="Arial;sans-serif"/>
                  <w:b w:val="false"/>
                  <w:color w:val="0000FF"/>
                  <w:sz w:val="18"/>
                  <w:u w:val="single"/>
                </w:rPr>
                <w:t>Certification of Principal Financial Officer pursuant to Exchange Act Rule 13a-14(a)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uolingo-2025q210xqex321.htm">
              <w:r>
                <w:rPr>
                  <w:rStyle w:val="InternetLink"/>
                  <w:rFonts w:ascii="Arial;sans-serif" w:hAnsi="Arial;sans-serif"/>
                  <w:b w:val="false"/>
                  <w:color w:val="0000FF"/>
                  <w:sz w:val="18"/>
                  <w:u w:val="single"/>
                </w:rPr>
                <w:t>Certification of Principal Executive Officer and Principal Financial Officer pursuant to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bl>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certification attached as Exhibit 32.1 that accompanies this Quarterly Report on Form 10-Q pursuant to 18 U.S.C. Section 1350, as adopted pursuant to Section 906 of the Sarbanes-Oxley Act of 2002, is not deemed “filed” by the Registrant for purposes of Section 18 of the Securities Exchange Act of 1934,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left"/>
        <w:rPr>
          <w:rFonts w:ascii="Arial;sans-serif" w:hAnsi="Arial;sans-serif"/>
          <w:b/>
          <w:color w:val="000000"/>
          <w:sz w:val="20"/>
        </w:rPr>
      </w:pPr>
      <w:bookmarkStart w:id="58" w:name="i682f0cacc3384d728b1e8fd3188adb26"/>
      <w:bookmarkEnd w:id="58"/>
      <w:r>
        <w:rPr>
          <w:rFonts w:ascii="Arial;sans-serif" w:hAnsi="Arial;sans-serif"/>
          <w:b/>
          <w:color w:val="000000"/>
          <w:sz w:val="20"/>
        </w:rPr>
        <w:t>Signatures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8736" w:type="dxa"/>
        <w:jc w:val="left"/>
        <w:tblInd w:w="0" w:type="dxa"/>
        <w:tblLayout w:type="fixed"/>
        <w:tblCellMar>
          <w:top w:w="28" w:type="dxa"/>
          <w:left w:w="28" w:type="dxa"/>
          <w:bottom w:w="28" w:type="dxa"/>
          <w:right w:w="28" w:type="dxa"/>
        </w:tblCellMar>
      </w:tblPr>
      <w:tblGrid>
        <w:gridCol w:w="711"/>
        <w:gridCol w:w="624"/>
        <w:gridCol w:w="630"/>
        <w:gridCol w:w="109"/>
        <w:gridCol w:w="109"/>
        <w:gridCol w:w="109"/>
        <w:gridCol w:w="179"/>
        <w:gridCol w:w="179"/>
        <w:gridCol w:w="179"/>
        <w:gridCol w:w="179"/>
        <w:gridCol w:w="179"/>
        <w:gridCol w:w="179"/>
        <w:gridCol w:w="1559"/>
        <w:gridCol w:w="1559"/>
        <w:gridCol w:w="2252"/>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DUOLINGO, INC.</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Luis von Ahn</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Luis von Ahn</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Executive Officer</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Executive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Matthew Skaruppa</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Matthew Skaruppa</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Financial Officer</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Financial Officer and Principal Accounting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59" w:name="thirdamendmenttolease-li.htm"/>
      <w:bookmarkStart w:id="60" w:name="ksthirdamendmenttoleaseli"/>
      <w:bookmarkEnd w:id="59"/>
      <w:bookmarkEnd w:id="60"/>
      <w:r>
        <w:rPr/>
        <w:drawing>
          <wp:inline distT="0" distB="0" distL="0" distR="0">
            <wp:extent cx="9191625" cy="13001625"/>
            <wp:effectExtent l="0" t="0" r="0" b="0"/>
            <wp:docPr id="4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 descr=""/>
                    <pic:cNvPicPr>
                      <a:picLocks noChangeAspect="1" noChangeArrowheads="1"/>
                    </pic:cNvPicPr>
                  </pic:nvPicPr>
                  <pic:blipFill>
                    <a:blip r:embed="rId4"/>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jc w:val="center"/>
        <w:rPr>
          <w:color w:val="FFFFFF"/>
          <w:sz w:val="2"/>
        </w:rPr>
      </w:pPr>
      <w:r>
        <w:rPr>
          <w:color w:val="FFFFFF"/>
          <w:sz w:val="2"/>
        </w:rPr>
        <w:t xml:space="preserve">322634342.1 1 AMENDED &amp; RESTATED SECOND AMENDMENT TO LEASE This AMENDED &amp; RESTATED SECOND AMENDMENT TO LEASE (this “Amendment”) entered into as of the date upon which it is fully executed and effective as of May 19, 2025 (the “Effective Date”), is entered into by and between 5704 PENN OFFICE, LLC, a Pennsylvania limited liability company (the “Landlord”), and DUOLINGO, INC., a Delaware corporation (the “Tenant”). WITNESSETH: WHEREAS, Landlord and Tenant are parties to that certain Lease, dated November 16, 2021 (as amended, the “Lease”), as amended by that certain First Amendment to Lease, dated February 28, 2024 (the “First Amendment”), and by that certain Second Amendment to Lease, dated March 15, 2024 (the “Second Amendment”), whereby Landlord leases to Tenant, and Tenant rents from Landlord, certain premises consisting of approximately 38,258 rentable square feet of space consisting of all the office space on the third (3rd) floor (the “Existing Premises”) of the Office Unit (defined in the Lease) in the building known as Liberty East and located at 141 S. St. Clair Street, Pittsburgh, Pennsylvania (the “Building”); WHEREAS, under the terms of the Lease, on August 1, 2025, Tenant will increase the square footage of the Existing Premises, commence the payment of Fixed Basic Rent for such increase, and occupy that certain additional office space consisting of (a) the entire fourth (4th) floor of the Office Unit, consisting of approximately 38,658 rentable square feet, (b) the entire fifth (5th) floor of the Office Unit, consisting of approximately 38,790 rentable square feet, (c) the entire sixth (6th) floor of the Office Unit, consisting of approximately 29,390 rentable square feet, and (d) approximately 3,170 rentable square feet of space on the second (2nd) floor of the Office Unit commonly known as the fitness center (collectively, the “Expansion Space”), for a total additional rentable square footage of 110,008. WHEREAS, Landlord and Tenant desire to amend and restate the Second Amendment to Lease pursuant to the terms of this Amendment. NOW, THEREFORE, in consideration of the mutual covenants of Landlord and Tenant, and other good and valuable consideration, the receipt and sufficiency of which is hereby acknowledged, Landlord and Tenant hereby agree as follows: TERMS OF MODIFICATION 1. Terms and Definitions. Words whose initial letters are capitalized are defined terms. Any defined term that is not defined in this Amendment shall have the same meaning that is ascribed to that term in the Lease. 2. Amendment and Restatement. The Second Amendment is hereby amended and restated and replaced in its entirety by this Amendment. 3. Amendment of Section 12 of the First Amendment. Section 12 of the First Amendment is amended to read in its entirety as follows: “On the Expansion Space Commencement Date, Landlord shall deliver the existing fitness center to Tenant, in a broom-clean condition. Tenant agrees that, on and after the Expansion Space Commencement Date, Landlord shall not be obligated to provide or maintain a fitness center within the Office Unit, and all references to a “Fitness Center” within the Lease are hereby deleted and of no further force or effect. Notwithstanding anything to the contrary in this First Amendment, Tenant shall have no obligation to pay Rent for the fitness Docusign Envelope ID: 56283459-5EAB-4179-BB8C-2FFA0173D247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 descr=""/>
                    <pic:cNvPicPr>
                      <a:picLocks noChangeAspect="1" noChangeArrowheads="1"/>
                    </pic:cNvPicPr>
                  </pic:nvPicPr>
                  <pic:blipFill>
                    <a:blip r:embed="rId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322634342.1 2 center prior to Expansion Space Commencement Date (and thereafter, as abated during the Expansion Space Abatement Period).” 4. Use Prior to Expansion Space Commencement Date. Pursuant to the First Amendment, this Amendment shall constitute Tenant’s written request to Landlord to permit Tenant to access the Expansion Space for the purposes of constructing the Tenant Improvement Work commencing as of the Effective Date. The term “Early Access Period”, as defined in the First Amendment, shall mean the period commencing on the Effective Date and continuing until the Expansion Space Commencement Date. 5. RESTATEMENT OF CONFESSION OF JUDGMENT. AFTER CONSULTATION WITH COUNSEL, TENANT ACKNOWLEDGES THAT (I) SECTION 16.2(vii) OF THE LEASE PROVIDES FOR CONFESSION OF JUDGMENT FOR RECOVERY OF POSSESSION OF THE PREMISES AGAINST TENANT, (II) SUCH PROVISION REMAINS IN FULL FORCE AND EFFECT, AND (III) TENANT SHALL BE BOUND BY SUCH PROVISIONS AS IF SUCH CONFESSION OF JUDGMENT PROVISION WERE SET FORTH IN FULL IN THIS AMENDMENT. DUOLINGO, INC., a Delaware corporation By: Name: Title: 6. Broker Disclosure. With the exception of CBRE, Inc., the broker representing the Landlord, and Rise Agency Group, LLC, the broker representing the Tenant (collectively, the “Brokers”), Landlord and Tenant warrant and represent, each to the other, that each has had no dealings with any other broker or agent in connection with this Amendment, and Landlord and Tenant hereby indemnify each other against, and agree to hold each other harmless from, any liability or claim, and all expenses, including attorneys’ fees, incurred in defending any such claim or in enforcing this indemnity, for a real estate brokerage commission or similar fee or compensation arising out of or in any way connected with any claimed dealings with the indemnitor and relating to this Amendment or the negotiation thereof. Landlord acknowledges that it shall pay the Brokers any fee or commission owed to hereunder pursuant to a separate agreement. 7. Reaffirmation of Lease. The parties reaffirm all provisions of the Lease except for those provisions specifically modified hereinabove. 8. Transfers, Successors and Assigns. This Amendment to Lease shall inure to the benefit of and shall be binding upon Landlord, Tenant and their respective transferees, successors and assigns. 9. Pennsylvania Law. This Amendment shall be construed and interpreted under the laws of the Commonwealth of Pennsylvania. Any disputes arising hereunder shall be brought in the Court of Common Pleas of Allegheny County, Pennsylvania, or the District Court for the Western District of Pennsylvania. 10. Authority. Each signatory of this Amendment represents hereby that he or she has the authority to execute and deliver the same on behalf of the part hereto for which such signatory is acting. Docusign Envelope ID: 56283459-5EAB-4179-BB8C-2FFA0173D247 Matt Skaruppa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 descr=""/>
                    <pic:cNvPicPr>
                      <a:picLocks noChangeAspect="1" noChangeArrowheads="1"/>
                    </pic:cNvPicPr>
                  </pic:nvPicPr>
                  <pic:blipFill>
                    <a:blip r:embed="rId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322634342.1 3 11. Severability. If any provision of this Amendment shall be deemed partially or wholly unenforceable, such unenforceability shall not affect the remaining provisions hereof, and such effective provisions shall be enforced to the fullest extent permitted by law. 12. No Other Modifications. Except as expressly modified herein, the Lease shall remain in full force and effect and is expressly ratified and confirmed by the parties hereto. This Amendment (and the Lease as amended by this Amendment) constitute the entire agreement and understanding of the parties relating to the subject matter hereof, and no representations, promises, understandings or agreements, express or implied, oral or written, not contained herein, shall be of any force or effect. No modification, alteration, change or waiver of any provision of the Lease shall be valid unless it is in writing and signed by the party against whom it is sought to be enforced. No waiver at any time of any provision of this Amendment shall be deemed a waiver of any other provision of this Amendment at any time, or a waiver of that or any other provision at any other time. 13. Counterparts. This Amendment may be executed in multiple counterparts, each of which is to be deemed original for all purposes, but all of which together shall constitute one and the same instrument. This Amendment or any counterpart may be executed and delivered by electronic mail in pdf format and such signatures shall be binding upon the party delivering the same as if they were originals. [signature page to follow] Docusign Envelope ID: 56283459-5EAB-4179-BB8C-2FFA0173D247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 descr=""/>
                    <pic:cNvPicPr>
                      <a:picLocks noChangeAspect="1" noChangeArrowheads="1"/>
                    </pic:cNvPicPr>
                  </pic:nvPicPr>
                  <pic:blipFill>
                    <a:blip r:embed="rId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322634342.1 IN WITNESS WHEREOF, the parties hereto execute this Amendment as of the date first above written. LANDLORD: 5704 PENN OFFICE, LLC, a Pennsylvania limited liability company By: Name: Zachary Gumberg Title: Authorized Signatory TENANT: DUOLINGO, INC., a Delaware corporation By: Name: Matt Skaruppa Title: Chief Financial Officer By: Name: Sean Devlin Title: VP Head of Global Workplace &amp; Real Estate Docusign Envelope ID: 56283459-5EAB-4179-BB8C-2FFA0173D247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33"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I, Luis von Ahn, certify that:</w:t>
      </w:r>
    </w:p>
    <w:p>
      <w:pPr>
        <w:pStyle w:val="TextBody"/>
        <w:bidi w:val="0"/>
        <w:spacing w:before="0" w:after="0"/>
        <w:jc w:val="left"/>
        <w:rPr/>
      </w:pPr>
      <w:r>
        <w:rPr/>
      </w:r>
    </w:p>
    <w:tbl>
      <w:tblPr>
        <w:tblW w:w="6177" w:type="dxa"/>
        <w:jc w:val="left"/>
        <w:tblInd w:w="0" w:type="dxa"/>
        <w:tblLayout w:type="fixed"/>
        <w:tblCellMar>
          <w:top w:w="28" w:type="dxa"/>
          <w:left w:w="28" w:type="dxa"/>
          <w:bottom w:w="28" w:type="dxa"/>
          <w:right w:w="28" w:type="dxa"/>
        </w:tblCellMar>
      </w:tblPr>
      <w:tblGrid>
        <w:gridCol w:w="124"/>
        <w:gridCol w:w="109"/>
        <w:gridCol w:w="109"/>
        <w:gridCol w:w="1704"/>
        <w:gridCol w:w="1704"/>
        <w:gridCol w:w="24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835"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Duolingo,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tbl>
      <w:tblPr>
        <w:tblW w:w="590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973"/>
        <w:gridCol w:w="973"/>
        <w:gridCol w:w="138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53" w:after="283"/>
              <w:jc w:val="left"/>
              <w:rPr/>
            </w:pPr>
            <w:r>
              <w:rPr/>
            </w:r>
          </w:p>
          <w:p>
            <w:pPr>
              <w:pStyle w:val="TableContents"/>
              <w:bidi w:val="0"/>
              <w:spacing w:lineRule="auto" w:line="333" w:before="0" w:after="30"/>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Luis von Ahn</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Luis von Ahn</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20"/>
              </w:rPr>
            </w:pPr>
            <w:r>
              <w:rPr>
                <w:rFonts w:ascii="Times New Roman;serif" w:hAnsi="Times New Roman;serif"/>
                <w:b/>
                <w:color w:val="000000"/>
                <w:sz w:val="20"/>
              </w:rPr>
              <w:t>President and Chief Executive Officer</w:t>
            </w:r>
          </w:p>
          <w:p>
            <w:pPr>
              <w:pStyle w:val="TableContents"/>
              <w:bidi w:val="0"/>
              <w:spacing w:lineRule="auto" w:line="333" w:before="0" w:after="30"/>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33"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I, Matthew Skaruppa, certify that:</w:t>
      </w:r>
    </w:p>
    <w:p>
      <w:pPr>
        <w:pStyle w:val="TextBody"/>
        <w:bidi w:val="0"/>
        <w:spacing w:before="0" w:after="0"/>
        <w:jc w:val="left"/>
        <w:rPr/>
      </w:pPr>
      <w:r>
        <w:rPr/>
      </w:r>
    </w:p>
    <w:tbl>
      <w:tblPr>
        <w:tblW w:w="6177" w:type="dxa"/>
        <w:jc w:val="left"/>
        <w:tblInd w:w="0" w:type="dxa"/>
        <w:tblLayout w:type="fixed"/>
        <w:tblCellMar>
          <w:top w:w="28" w:type="dxa"/>
          <w:left w:w="28" w:type="dxa"/>
          <w:bottom w:w="28" w:type="dxa"/>
          <w:right w:w="28" w:type="dxa"/>
        </w:tblCellMar>
      </w:tblPr>
      <w:tblGrid>
        <w:gridCol w:w="124"/>
        <w:gridCol w:w="109"/>
        <w:gridCol w:w="109"/>
        <w:gridCol w:w="1704"/>
        <w:gridCol w:w="1704"/>
        <w:gridCol w:w="24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835"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Duolingo,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tbl>
      <w:tblPr>
        <w:tblW w:w="7990"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1585"/>
        <w:gridCol w:w="1585"/>
        <w:gridCol w:w="224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53" w:after="283"/>
              <w:jc w:val="left"/>
              <w:rPr/>
            </w:pPr>
            <w:r>
              <w:rPr/>
            </w:r>
          </w:p>
          <w:p>
            <w:pPr>
              <w:pStyle w:val="TableContents"/>
              <w:bidi w:val="0"/>
              <w:spacing w:lineRule="auto" w:line="333" w:before="0" w:after="30"/>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Matthew Skaruppa</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Matthew Skaruppa</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shd w:fill="FFFFFF" w:val="clear"/>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ableContents"/>
              <w:bidi w:val="0"/>
              <w:spacing w:lineRule="auto" w:line="333" w:before="0" w:after="30"/>
              <w:jc w:val="center"/>
              <w:rPr>
                <w:rFonts w:ascii="Times New Roman;serif" w:hAnsi="Times New Roman;serif"/>
                <w:b/>
                <w:color w:val="000000"/>
                <w:sz w:val="20"/>
              </w:rPr>
            </w:pPr>
            <w:r>
              <w:rPr>
                <w:rFonts w:ascii="Times New Roman;serif" w:hAnsi="Times New Roman;serif"/>
                <w:b/>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 AND CHIEF FINANCIAL OFFICER</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333" w:before="240" w:after="283"/>
        <w:jc w:val="both"/>
        <w:rPr/>
      </w:pPr>
      <w:r>
        <w:rPr>
          <w:rFonts w:ascii="Times New Roman;serif" w:hAnsi="Times New Roman;serif"/>
          <w:b w:val="false"/>
          <w:color w:val="000000"/>
          <w:sz w:val="20"/>
        </w:rPr>
        <w:t>In connection with the Quarterly Report on Form 10-Q of Duolingo, Inc. (the “Company”) for the quarter ended</w:t>
      </w:r>
      <w:r>
        <w:rPr>
          <w:color w:val="000000"/>
        </w:rPr>
        <w:t xml:space="preserve"> </w:t>
      </w:r>
      <w:r>
        <w:rPr>
          <w:rFonts w:ascii="Times New Roman;serif" w:hAnsi="Times New Roman;serif"/>
          <w:b w:val="false"/>
          <w:color w:val="000000"/>
          <w:sz w:val="20"/>
        </w:rPr>
        <w:t>June 30, 2025 as filed with the Securities and Exchange Commission on the date hereof (the “Report”), Luis von Ahn, President and Chief Executive Officer of the Company, and Matthew Skaruppa, Chief Financial Officer of the Company, each hereby certifies, pursuant to 18 U.S.C. Section 1350, as adopted pursuant to Section 906 of the Sarbanes-Oxley Act of 2002, that: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Section 15(d) of the Securities Exchange Act of 1934; and</w:t>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before="120" w:after="283"/>
        <w:jc w:val="left"/>
        <w:rPr/>
      </w:pPr>
      <w:r>
        <w:rPr/>
      </w:r>
    </w:p>
    <w:tbl>
      <w:tblPr>
        <w:tblW w:w="7807"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551"/>
        <w:gridCol w:w="1551"/>
        <w:gridCol w:w="220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53" w:after="283"/>
              <w:jc w:val="left"/>
              <w:rPr/>
            </w:pPr>
            <w:r>
              <w:rPr/>
            </w:r>
          </w:p>
          <w:p>
            <w:pPr>
              <w:pStyle w:val="TableContents"/>
              <w:bidi w:val="0"/>
              <w:spacing w:lineRule="auto" w:line="333" w:before="0" w:after="30"/>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Luis von Ahn</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Luis von Ahn</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shd w:fill="FFFFFF" w:val="clear"/>
            <w:tcMar>
              <w:top w:w="0" w:type="dxa"/>
              <w:left w:w="0" w:type="dxa"/>
              <w:bottom w:w="0" w:type="dxa"/>
              <w:right w:w="0" w:type="dxa"/>
            </w:tcMar>
            <w:vAlign w:val="center"/>
          </w:tcPr>
          <w:p>
            <w:pPr>
              <w:pStyle w:val="TableContents"/>
              <w:bidi w:val="0"/>
              <w:spacing w:lineRule="auto" w:line="333" w:before="53"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ableContents"/>
              <w:bidi w:val="0"/>
              <w:spacing w:lineRule="auto" w:line="333" w:before="0" w:after="3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53" w:after="283"/>
              <w:jc w:val="left"/>
              <w:rPr/>
            </w:pPr>
            <w:r>
              <w:rPr/>
            </w:r>
          </w:p>
          <w:p>
            <w:pPr>
              <w:pStyle w:val="TableContents"/>
              <w:bidi w:val="0"/>
              <w:spacing w:lineRule="auto" w:line="333" w:before="0" w:after="30"/>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Skaruppa</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Skaruppa</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shd w:fill="FFFFFF" w:val="clear"/>
            <w:tcMar>
              <w:top w:w="0" w:type="dxa"/>
              <w:left w:w="0" w:type="dxa"/>
              <w:bottom w:w="0" w:type="dxa"/>
              <w:right w:w="0" w:type="dxa"/>
            </w:tcMar>
            <w:vAlign w:val="center"/>
          </w:tcPr>
          <w:p>
            <w:pPr>
              <w:pStyle w:val="TableContents"/>
              <w:bidi w:val="0"/>
              <w:spacing w:lineRule="auto" w:line="333" w:before="53"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3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spacing w:before="120" w:after="283"/>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62088/000162828021015040/exhibit31-8xk.htm" TargetMode="External"/><Relationship Id="rId3" Type="http://schemas.openxmlformats.org/officeDocument/2006/relationships/hyperlink" Target="https://www.sec.gov/Archives/edgar/data/1562088/000156208823000247/duol-bylawsupdatesapprov.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19913</Words>
  <Characters>108619</Characters>
  <CharactersWithSpaces>127095</CharactersWithSpaces>
  <Paragraphs>2634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thirdamendmenttolease-li</dc:title>
</cp:coreProperties>
</file>