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fiscal year ended December 31, 2021</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5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For the transition period from ___ to ___</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Commission file number 001-40653</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8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5"/>
        </w:trPr>
        <w:tc>
          <w:tcPr>
            <w:tcW w:w="3840" w:type="dxa"/>
            <w:vAlign w:val="bottom"/>
          </w:tcPr>
          <w:p>
            <w:pPr>
              <w:spacing w:after="0"/>
              <w:rPr>
                <w:sz w:val="24"/>
                <w:szCs w:val="2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40"/>
                <w:szCs w:val="40"/>
                <w:b w:val="1"/>
                <w:bCs w:val="1"/>
                <w:color w:val="auto"/>
                <w:w w:val="99"/>
              </w:rPr>
              <w:t>Duolingo,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7"/>
              </w:rPr>
              <w:t>(Exact name of registrant as specified in its charter)</w:t>
            </w: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840" w:type="dxa"/>
            <w:vAlign w:val="bottom"/>
          </w:tcPr>
          <w:p>
            <w:pPr>
              <w:jc w:val="center"/>
              <w:ind w:left="517"/>
              <w:spacing w:after="0"/>
              <w:rPr>
                <w:sz w:val="20"/>
                <w:szCs w:val="20"/>
                <w:color w:val="auto"/>
              </w:rPr>
            </w:pPr>
            <w:r>
              <w:rPr>
                <w:rFonts w:ascii="Arial" w:cs="Arial" w:eastAsia="Arial" w:hAnsi="Arial"/>
                <w:sz w:val="13"/>
                <w:szCs w:val="13"/>
                <w:b w:val="1"/>
                <w:bCs w:val="1"/>
                <w:color w:val="auto"/>
                <w:w w:val="94"/>
              </w:rPr>
              <w:t>Delaware</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jc w:val="right"/>
              <w:ind w:right="1917"/>
              <w:spacing w:after="0"/>
              <w:rPr>
                <w:sz w:val="20"/>
                <w:szCs w:val="20"/>
                <w:color w:val="auto"/>
              </w:rPr>
            </w:pPr>
            <w:r>
              <w:rPr>
                <w:rFonts w:ascii="Arial" w:cs="Arial" w:eastAsia="Arial" w:hAnsi="Arial"/>
                <w:sz w:val="13"/>
                <w:szCs w:val="13"/>
                <w:b w:val="1"/>
                <w:bCs w:val="1"/>
                <w:color w:val="auto"/>
              </w:rPr>
              <w:t>45-3055872</w:t>
            </w:r>
          </w:p>
        </w:tc>
        <w:tc>
          <w:tcPr>
            <w:tcW w:w="0" w:type="dxa"/>
            <w:vAlign w:val="bottom"/>
          </w:tcPr>
          <w:p>
            <w:pPr>
              <w:spacing w:after="0"/>
              <w:rPr>
                <w:sz w:val="1"/>
                <w:szCs w:val="1"/>
                <w:color w:val="auto"/>
              </w:rPr>
            </w:pPr>
          </w:p>
        </w:tc>
      </w:tr>
      <w:tr>
        <w:trPr>
          <w:trHeight w:val="203"/>
        </w:trPr>
        <w:tc>
          <w:tcPr>
            <w:tcW w:w="3840" w:type="dxa"/>
            <w:vAlign w:val="bottom"/>
          </w:tcPr>
          <w:p>
            <w:pPr>
              <w:jc w:val="center"/>
              <w:ind w:left="517"/>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20" w:type="dxa"/>
            <w:vAlign w:val="bottom"/>
          </w:tcPr>
          <w:p>
            <w:pPr>
              <w:jc w:val="center"/>
              <w:ind w:right="87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78"/>
        </w:trPr>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7"/>
              </w:rPr>
              <w:t>5900 Penn Avenue</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6"/>
              </w:rPr>
              <w:t>Pittsburgh, Pennsylvania 15206</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96"/>
              </w:rPr>
              <w:t>(412) 567-6602</w:t>
            </w:r>
          </w:p>
        </w:tc>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Area Code, of Registrant’s Principal Executive Offices)</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7"/>
        </w:trPr>
        <w:tc>
          <w:tcPr>
            <w:tcW w:w="38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6"/>
              </w:rPr>
              <w:t>Title of each class</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0" w:type="dxa"/>
            <w:vAlign w:val="bottom"/>
          </w:tcPr>
          <w:p>
            <w:pPr>
              <w:spacing w:after="0"/>
              <w:rPr>
                <w:sz w:val="14"/>
                <w:szCs w:val="14"/>
                <w:color w:val="auto"/>
              </w:rPr>
            </w:pPr>
          </w:p>
        </w:tc>
        <w:tc>
          <w:tcPr>
            <w:tcW w:w="3720" w:type="dxa"/>
            <w:vAlign w:val="bottom"/>
            <w:tcBorders>
              <w:right w:val="single" w:sz="8" w:color="auto"/>
            </w:tcBorders>
          </w:tcPr>
          <w:p>
            <w:pPr>
              <w:jc w:val="center"/>
              <w:ind w:right="75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30"/>
        </w:trPr>
        <w:tc>
          <w:tcPr>
            <w:tcW w:w="38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840" w:type="dxa"/>
            <w:vAlign w:val="bottom"/>
            <w:tcBorders>
              <w:left w:val="single" w:sz="8" w:color="auto"/>
            </w:tcBorders>
            <w:vMerge w:val="restart"/>
          </w:tcPr>
          <w:p>
            <w:pPr>
              <w:jc w:val="center"/>
              <w:ind w:left="497"/>
              <w:spacing w:after="0"/>
              <w:rPr>
                <w:sz w:val="20"/>
                <w:szCs w:val="20"/>
                <w:color w:val="auto"/>
              </w:rPr>
            </w:pPr>
            <w:r>
              <w:rPr>
                <w:rFonts w:ascii="Arial" w:cs="Arial" w:eastAsia="Arial" w:hAnsi="Arial"/>
                <w:sz w:val="13"/>
                <w:szCs w:val="13"/>
                <w:color w:val="auto"/>
                <w:w w:val="96"/>
              </w:rPr>
              <w:t>Class A common stock, $0.0001 per share</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DUOL</w:t>
            </w:r>
          </w:p>
        </w:tc>
        <w:tc>
          <w:tcPr>
            <w:tcW w:w="800" w:type="dxa"/>
            <w:vAlign w:val="bottom"/>
          </w:tcPr>
          <w:p>
            <w:pPr>
              <w:spacing w:after="0"/>
              <w:rPr>
                <w:sz w:val="14"/>
                <w:szCs w:val="14"/>
                <w:color w:val="auto"/>
              </w:rPr>
            </w:pPr>
          </w:p>
        </w:tc>
        <w:tc>
          <w:tcPr>
            <w:tcW w:w="3720" w:type="dxa"/>
            <w:vAlign w:val="bottom"/>
            <w:tcBorders>
              <w:right w:val="single" w:sz="8" w:color="auto"/>
            </w:tcBorders>
          </w:tcPr>
          <w:p>
            <w:pPr>
              <w:jc w:val="center"/>
              <w:ind w:right="737"/>
              <w:spacing w:after="0"/>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r>
        <w:trPr>
          <w:trHeight w:val="81"/>
        </w:trPr>
        <w:tc>
          <w:tcPr>
            <w:tcW w:w="3840" w:type="dxa"/>
            <w:vAlign w:val="bottom"/>
            <w:tcBorders>
              <w:lef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84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7" w:lineRule="exact"/>
        <w:rPr>
          <w:sz w:val="24"/>
          <w:szCs w:val="24"/>
          <w:color w:val="auto"/>
        </w:rPr>
      </w:pPr>
    </w:p>
    <w:p>
      <w:pPr>
        <w:ind w:right="360"/>
        <w:spacing w:after="0" w:line="25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5" w:lineRule="exact"/>
        <w:rPr>
          <w:sz w:val="24"/>
          <w:szCs w:val="24"/>
          <w:color w:val="auto"/>
        </w:rPr>
      </w:pPr>
    </w:p>
    <w:p>
      <w:pPr>
        <w:ind w:right="160"/>
        <w:spacing w:after="0" w:line="25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 w:lineRule="exact"/>
        <w:rPr>
          <w:sz w:val="24"/>
          <w:szCs w:val="24"/>
          <w:color w:val="auto"/>
        </w:rPr>
      </w:pPr>
    </w:p>
    <w:p>
      <w:pPr>
        <w:ind w:right="4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6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jc w:val="right"/>
              <w:ind w:right="297"/>
              <w:spacing w:after="0"/>
              <w:rPr>
                <w:sz w:val="20"/>
                <w:szCs w:val="20"/>
                <w:color w:val="auto"/>
              </w:rPr>
            </w:pPr>
            <w:r>
              <w:rPr>
                <w:rFonts w:ascii="Arial" w:cs="Arial" w:eastAsia="Arial" w:hAnsi="Arial"/>
                <w:sz w:val="13"/>
                <w:szCs w:val="13"/>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660" w:type="dxa"/>
            <w:vAlign w:val="bottom"/>
          </w:tcPr>
          <w:p>
            <w:pPr>
              <w:spacing w:after="0"/>
              <w:rPr>
                <w:sz w:val="20"/>
                <w:szCs w:val="20"/>
                <w:color w:val="auto"/>
              </w:rPr>
            </w:pPr>
            <w:r>
              <w:rPr>
                <w:rFonts w:ascii="Arial" w:cs="Arial" w:eastAsia="Arial" w:hAnsi="Arial"/>
                <w:sz w:val="13"/>
                <w:szCs w:val="13"/>
                <w:color w:val="auto"/>
              </w:rPr>
              <w:t>Non-accelerated filer</w:t>
            </w:r>
          </w:p>
        </w:tc>
        <w:tc>
          <w:tcPr>
            <w:tcW w:w="38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jc w:val="right"/>
              <w:ind w:right="297"/>
              <w:spacing w:after="0"/>
              <w:rPr>
                <w:sz w:val="20"/>
                <w:szCs w:val="20"/>
                <w:color w:val="auto"/>
              </w:rPr>
            </w:pPr>
            <w:r>
              <w:rPr>
                <w:rFonts w:ascii="Arial" w:cs="Arial" w:eastAsia="Arial" w:hAnsi="Arial"/>
                <w:sz w:val="13"/>
                <w:szCs w:val="13"/>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6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5200" w:type="dxa"/>
            <w:vAlign w:val="bottom"/>
          </w:tcPr>
          <w:p>
            <w:pPr>
              <w:jc w:val="right"/>
              <w:ind w:right="297"/>
              <w:spacing w:after="0"/>
              <w:rPr>
                <w:sz w:val="20"/>
                <w:szCs w:val="20"/>
                <w:color w:val="auto"/>
              </w:rPr>
            </w:pPr>
            <w:r>
              <w:rPr>
                <w:rFonts w:ascii="Arial" w:cs="Arial" w:eastAsia="Arial" w:hAnsi="Arial"/>
                <w:sz w:val="13"/>
                <w:szCs w:val="13"/>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8" w:lineRule="exact"/>
        <w:rPr>
          <w:sz w:val="24"/>
          <w:szCs w:val="24"/>
          <w:color w:val="auto"/>
        </w:rPr>
      </w:pPr>
    </w:p>
    <w:p>
      <w:pPr>
        <w:ind w:right="46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26" w:lineRule="exact"/>
        <w:rPr>
          <w:sz w:val="24"/>
          <w:szCs w:val="24"/>
          <w:color w:val="auto"/>
        </w:rPr>
      </w:pPr>
    </w:p>
    <w:p>
      <w:pPr>
        <w:ind w:right="40"/>
        <w:spacing w:after="0" w:line="15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7" w:lineRule="exact"/>
        <w:rPr>
          <w:sz w:val="24"/>
          <w:szCs w:val="24"/>
          <w:color w:val="auto"/>
        </w:rPr>
      </w:pPr>
    </w:p>
    <w:p>
      <w:pPr>
        <w:ind w:right="20"/>
        <w:spacing w:after="0"/>
        <w:rPr>
          <w:sz w:val="20"/>
          <w:szCs w:val="20"/>
          <w:color w:val="auto"/>
        </w:rPr>
      </w:pPr>
      <w:r>
        <w:rPr>
          <w:rFonts w:ascii="Arial" w:cs="Arial" w:eastAsia="Arial" w:hAnsi="Arial"/>
          <w:sz w:val="13"/>
          <w:szCs w:val="13"/>
          <w:color w:val="auto"/>
        </w:rPr>
        <w:t>As of June 30, 2021, the last day of the registrant’s most recently completed second fiscal quarter, the registrant’s Class A common stock was not publicly traded. The registrant's Class A common stock, $0.0001 par value per share, began trading on the Nasdaq on July 28, 2021. As of March 3, 2022, the aggregate market value of the registrant’s Class A common stock held by non-affiliates of the registrant was approximately $1.6 billion (based upon the closing sale price of the Class A common stock on that date on the Nasdaq).</w:t>
      </w: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As of March 3, 2022, 22,592,387 shares of the registrant's Class A common stock were outstanding, and 16,032,907 shares of the registrant's Class B common stock were outstanding.</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DOCUMENTS INCORPORATED BY REFERENCE</w:t>
      </w:r>
    </w:p>
    <w:p>
      <w:pPr>
        <w:spacing w:after="0" w:line="161" w:lineRule="exact"/>
        <w:rPr>
          <w:sz w:val="24"/>
          <w:szCs w:val="24"/>
          <w:color w:val="auto"/>
        </w:rPr>
      </w:pPr>
    </w:p>
    <w:p>
      <w:pPr>
        <w:ind w:right="500"/>
        <w:spacing w:after="0" w:line="242" w:lineRule="auto"/>
        <w:rPr>
          <w:sz w:val="20"/>
          <w:szCs w:val="20"/>
          <w:color w:val="auto"/>
        </w:rPr>
      </w:pPr>
      <w:r>
        <w:rPr>
          <w:rFonts w:ascii="Arial" w:cs="Arial" w:eastAsia="Arial" w:hAnsi="Arial"/>
          <w:sz w:val="13"/>
          <w:szCs w:val="13"/>
          <w:color w:val="auto"/>
        </w:rPr>
        <w:t>Portions of the registrant’s definitive proxy statement for its 2022 annual meeting of stockholders, which the registrant intends to file pursuant to Regulation 14A with the Securities and Exchange Commission not later than 120 days after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14" w:right="319" w:bottom="1440" w:gutter="0" w:footer="0" w:header="0"/>
        </w:sectPr>
      </w:pPr>
    </w:p>
    <w:bookmarkStart w:id="1" w:name="page2"/>
    <w:bookmarkEnd w:id="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4"/>
          </w:tcPr>
          <w:p>
            <w:pPr>
              <w:ind w:left="2120"/>
              <w:spacing w:after="0"/>
              <w:rPr>
                <w:sz w:val="20"/>
                <w:szCs w:val="20"/>
                <w:color w:val="auto"/>
              </w:rPr>
            </w:pPr>
            <w:r>
              <w:rPr>
                <w:rFonts w:ascii="Arial" w:cs="Arial" w:eastAsia="Arial" w:hAnsi="Arial"/>
                <w:sz w:val="14"/>
                <w:szCs w:val="14"/>
                <w:b w:val="1"/>
                <w:bCs w:val="1"/>
                <w:color w:val="auto"/>
                <w:w w:val="95"/>
              </w:rPr>
              <w:t>Page</w:t>
            </w:r>
          </w:p>
        </w:tc>
      </w:tr>
      <w:tr>
        <w:trPr>
          <w:trHeight w:val="174"/>
        </w:trPr>
        <w:tc>
          <w:tcPr>
            <w:tcW w:w="8540" w:type="dxa"/>
            <w:vAlign w:val="bottom"/>
            <w:gridSpan w:val="27"/>
          </w:tcPr>
          <w:p>
            <w:pPr>
              <w:spacing w:after="0" w:line="174" w:lineRule="exact"/>
              <w:rPr>
                <w:rFonts w:ascii="Arial" w:cs="Arial" w:eastAsia="Arial" w:hAnsi="Arial"/>
                <w:sz w:val="16"/>
                <w:szCs w:val="16"/>
                <w:color w:val="0000FF"/>
              </w:rPr>
            </w:pPr>
            <w:hyperlink w:anchor="page2">
              <w:r>
                <w:rPr>
                  <w:rFonts w:ascii="Arial" w:cs="Arial" w:eastAsia="Arial" w:hAnsi="Arial"/>
                  <w:sz w:val="16"/>
                  <w:szCs w:val="16"/>
                  <w:color w:val="0000FF"/>
                </w:rPr>
                <w:t>Special Note Regarding Forward-Looking Statements</w:t>
              </w:r>
            </w:hyperlink>
          </w:p>
        </w:tc>
        <w:tc>
          <w:tcPr>
            <w:tcW w:w="2340" w:type="dxa"/>
            <w:vAlign w:val="bottom"/>
            <w:gridSpan w:val="2"/>
          </w:tcPr>
          <w:p>
            <w:pPr>
              <w:jc w:val="center"/>
              <w:ind w:left="2177"/>
              <w:spacing w:after="0" w:line="174" w:lineRule="exact"/>
              <w:rPr>
                <w:rFonts w:ascii="Arial" w:cs="Arial" w:eastAsia="Arial" w:hAnsi="Arial"/>
                <w:sz w:val="16"/>
                <w:szCs w:val="16"/>
                <w:color w:val="0000FF"/>
                <w:w w:val="89"/>
              </w:rPr>
            </w:pPr>
            <w:hyperlink w:anchor="page2">
              <w:r>
                <w:rPr>
                  <w:rFonts w:ascii="Arial" w:cs="Arial" w:eastAsia="Arial" w:hAnsi="Arial"/>
                  <w:sz w:val="16"/>
                  <w:szCs w:val="16"/>
                  <w:color w:val="0000FF"/>
                  <w:w w:val="89"/>
                </w:rPr>
                <w:t>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40" w:type="dxa"/>
            <w:vAlign w:val="bottom"/>
            <w:gridSpan w:val="16"/>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Special Note Regarding Operating Metrics</w:t>
              </w:r>
            </w:hyperlink>
          </w:p>
        </w:tc>
        <w:tc>
          <w:tcPr>
            <w:tcW w:w="800" w:type="dxa"/>
            <w:vAlign w:val="bottom"/>
            <w:gridSpan w:val="3"/>
          </w:tcPr>
          <w:p>
            <w:pPr>
              <w:spacing w:after="0"/>
              <w:rPr>
                <w:sz w:val="17"/>
                <w:szCs w:val="17"/>
                <w:color w:val="auto"/>
              </w:rPr>
            </w:pPr>
          </w:p>
        </w:tc>
        <w:tc>
          <w:tcPr>
            <w:tcW w:w="4700" w:type="dxa"/>
            <w:vAlign w:val="bottom"/>
            <w:gridSpan w:val="8"/>
          </w:tcPr>
          <w:p>
            <w:pPr>
              <w:spacing w:after="0"/>
              <w:rPr>
                <w:sz w:val="17"/>
                <w:szCs w:val="17"/>
                <w:color w:val="auto"/>
              </w:rPr>
            </w:pPr>
          </w:p>
        </w:tc>
        <w:tc>
          <w:tcPr>
            <w:tcW w:w="2340" w:type="dxa"/>
            <w:vAlign w:val="bottom"/>
            <w:gridSpan w:val="2"/>
          </w:tcPr>
          <w:p>
            <w:pPr>
              <w:jc w:val="center"/>
              <w:ind w:left="2177"/>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3</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40" w:type="dxa"/>
            <w:vAlign w:val="bottom"/>
            <w:gridSpan w:val="16"/>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Risk Factors Summary</w:t>
              </w:r>
            </w:hyperlink>
          </w:p>
        </w:tc>
        <w:tc>
          <w:tcPr>
            <w:tcW w:w="5500" w:type="dxa"/>
            <w:vAlign w:val="bottom"/>
            <w:gridSpan w:val="11"/>
          </w:tcPr>
          <w:p>
            <w:pPr>
              <w:spacing w:after="0"/>
              <w:rPr>
                <w:sz w:val="17"/>
                <w:szCs w:val="17"/>
                <w:color w:val="auto"/>
              </w:rPr>
            </w:pPr>
          </w:p>
        </w:tc>
        <w:tc>
          <w:tcPr>
            <w:tcW w:w="2340" w:type="dxa"/>
            <w:vAlign w:val="bottom"/>
            <w:gridSpan w:val="2"/>
          </w:tcPr>
          <w:p>
            <w:pPr>
              <w:jc w:val="center"/>
              <w:ind w:left="2177"/>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4</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0" w:type="dxa"/>
            <w:vAlign w:val="bottom"/>
          </w:tcPr>
          <w:p>
            <w:pPr>
              <w:spacing w:after="0"/>
              <w:rPr>
                <w:rFonts w:ascii="Arial" w:cs="Arial" w:eastAsia="Arial" w:hAnsi="Arial"/>
                <w:sz w:val="16"/>
                <w:szCs w:val="16"/>
                <w:b w:val="1"/>
                <w:bCs w:val="1"/>
                <w:color w:val="0000FF"/>
                <w:w w:val="99"/>
              </w:rPr>
            </w:pPr>
            <w:hyperlink w:anchor="page6">
              <w:r>
                <w:rPr>
                  <w:rFonts w:ascii="Arial" w:cs="Arial" w:eastAsia="Arial" w:hAnsi="Arial"/>
                  <w:sz w:val="16"/>
                  <w:szCs w:val="16"/>
                  <w:b w:val="1"/>
                  <w:bCs w:val="1"/>
                  <w:color w:val="0000FF"/>
                  <w:w w:val="99"/>
                </w:rPr>
                <w:t>Part I</w:t>
              </w:r>
            </w:hyperlink>
          </w:p>
        </w:tc>
        <w:tc>
          <w:tcPr>
            <w:tcW w:w="1220" w:type="dxa"/>
            <w:vAlign w:val="bottom"/>
            <w:gridSpan w:val="6"/>
          </w:tcPr>
          <w:p>
            <w:pPr>
              <w:spacing w:after="0"/>
              <w:rPr>
                <w:sz w:val="18"/>
                <w:szCs w:val="18"/>
                <w:color w:val="auto"/>
              </w:rPr>
            </w:pPr>
          </w:p>
        </w:tc>
        <w:tc>
          <w:tcPr>
            <w:tcW w:w="6900" w:type="dxa"/>
            <w:vAlign w:val="bottom"/>
            <w:gridSpan w:val="20"/>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540" w:type="dxa"/>
            <w:vAlign w:val="bottom"/>
            <w:gridSpan w:val="27"/>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Item 1. Business</w:t>
              </w:r>
            </w:hyperlink>
          </w:p>
        </w:tc>
        <w:tc>
          <w:tcPr>
            <w:tcW w:w="2340" w:type="dxa"/>
            <w:vAlign w:val="bottom"/>
            <w:gridSpan w:val="2"/>
          </w:tcPr>
          <w:p>
            <w:pPr>
              <w:jc w:val="center"/>
              <w:ind w:left="2157"/>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60" w:type="dxa"/>
            <w:vAlign w:val="bottom"/>
            <w:gridSpan w:val="6"/>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1A. Risk Factors</w:t>
              </w:r>
            </w:hyperlink>
          </w:p>
        </w:tc>
        <w:tc>
          <w:tcPr>
            <w:tcW w:w="6980" w:type="dxa"/>
            <w:vAlign w:val="bottom"/>
            <w:gridSpan w:val="21"/>
          </w:tcPr>
          <w:p>
            <w:pPr>
              <w:spacing w:after="0"/>
              <w:rPr>
                <w:sz w:val="18"/>
                <w:szCs w:val="18"/>
                <w:color w:val="auto"/>
              </w:rPr>
            </w:pPr>
          </w:p>
        </w:tc>
        <w:tc>
          <w:tcPr>
            <w:tcW w:w="2440" w:type="dxa"/>
            <w:vAlign w:val="bottom"/>
            <w:gridSpan w:val="3"/>
          </w:tcPr>
          <w:p>
            <w:pPr>
              <w:jc w:val="center"/>
              <w:ind w:left="2077"/>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14</w:t>
              </w:r>
            </w:hyperlink>
          </w:p>
        </w:tc>
        <w:tc>
          <w:tcPr>
            <w:tcW w:w="20" w:type="dxa"/>
            <w:vAlign w:val="bottom"/>
          </w:tcPr>
          <w:p>
            <w:pPr>
              <w:spacing w:after="0"/>
              <w:rPr>
                <w:sz w:val="18"/>
                <w:szCs w:val="18"/>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680" w:type="dxa"/>
            <w:vAlign w:val="bottom"/>
            <w:gridSpan w:val="15"/>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Item 1B. Unresolved Staff Comments</w:t>
              </w:r>
            </w:hyperlink>
          </w:p>
        </w:tc>
        <w:tc>
          <w:tcPr>
            <w:tcW w:w="5860" w:type="dxa"/>
            <w:vAlign w:val="bottom"/>
            <w:gridSpan w:val="12"/>
          </w:tcPr>
          <w:p>
            <w:pPr>
              <w:spacing w:after="0"/>
              <w:rPr>
                <w:sz w:val="18"/>
                <w:szCs w:val="18"/>
                <w:color w:val="auto"/>
              </w:rPr>
            </w:pPr>
          </w:p>
        </w:tc>
        <w:tc>
          <w:tcPr>
            <w:tcW w:w="2440" w:type="dxa"/>
            <w:vAlign w:val="bottom"/>
            <w:gridSpan w:val="3"/>
          </w:tcPr>
          <w:p>
            <w:pPr>
              <w:jc w:val="center"/>
              <w:ind w:left="2077"/>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56</w:t>
              </w:r>
            </w:hyperlink>
          </w:p>
        </w:tc>
        <w:tc>
          <w:tcPr>
            <w:tcW w:w="20" w:type="dxa"/>
            <w:vAlign w:val="bottom"/>
          </w:tcPr>
          <w:p>
            <w:pPr>
              <w:spacing w:after="0"/>
              <w:rPr>
                <w:sz w:val="18"/>
                <w:szCs w:val="18"/>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58">
              <w:r>
                <w:rPr>
                  <w:rFonts w:ascii="Arial" w:cs="Arial" w:eastAsia="Arial" w:hAnsi="Arial"/>
                  <w:sz w:val="16"/>
                  <w:szCs w:val="16"/>
                  <w:color w:val="0000FF"/>
                  <w:w w:val="99"/>
                </w:rPr>
                <w:t>Item 2. Properties</w:t>
              </w:r>
            </w:hyperlink>
          </w:p>
        </w:tc>
        <w:tc>
          <w:tcPr>
            <w:tcW w:w="60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gridSpan w:val="3"/>
          </w:tcPr>
          <w:p>
            <w:pPr>
              <w:jc w:val="center"/>
              <w:ind w:left="2077"/>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57</w:t>
              </w:r>
            </w:hyperlink>
          </w:p>
        </w:tc>
        <w:tc>
          <w:tcPr>
            <w:tcW w:w="20" w:type="dxa"/>
            <w:vAlign w:val="bottom"/>
          </w:tcPr>
          <w:p>
            <w:pPr>
              <w:spacing w:after="0"/>
              <w:rPr>
                <w:sz w:val="19"/>
                <w:szCs w:val="19"/>
                <w:color w:val="auto"/>
              </w:rPr>
            </w:pPr>
          </w:p>
        </w:tc>
      </w:tr>
      <w:tr>
        <w:trPr>
          <w:trHeight w:val="20"/>
        </w:trPr>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8540" w:type="dxa"/>
            <w:vAlign w:val="bottom"/>
            <w:gridSpan w:val="27"/>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Item 3. Legal Proceedings</w:t>
              </w:r>
            </w:hyperlink>
          </w:p>
        </w:tc>
        <w:tc>
          <w:tcPr>
            <w:tcW w:w="2440" w:type="dxa"/>
            <w:vAlign w:val="bottom"/>
            <w:gridSpan w:val="3"/>
          </w:tcPr>
          <w:p>
            <w:pPr>
              <w:jc w:val="center"/>
              <w:ind w:left="2077"/>
              <w:spacing w:after="0" w:line="196"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57</w:t>
              </w:r>
            </w:hyperlink>
          </w:p>
        </w:tc>
        <w:tc>
          <w:tcPr>
            <w:tcW w:w="20" w:type="dxa"/>
            <w:vAlign w:val="bottom"/>
          </w:tcPr>
          <w:p>
            <w:pPr>
              <w:spacing w:after="0"/>
              <w:rPr>
                <w:sz w:val="17"/>
                <w:szCs w:val="17"/>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gridSpan w:val="27"/>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Item 4. Mine Safety Disclosures</w:t>
              </w:r>
            </w:hyperlink>
          </w:p>
        </w:tc>
        <w:tc>
          <w:tcPr>
            <w:tcW w:w="2440" w:type="dxa"/>
            <w:vAlign w:val="bottom"/>
            <w:gridSpan w:val="3"/>
          </w:tcPr>
          <w:p>
            <w:pPr>
              <w:jc w:val="center"/>
              <w:ind w:left="2077"/>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57</w:t>
              </w:r>
            </w:hyperlink>
          </w:p>
        </w:tc>
        <w:tc>
          <w:tcPr>
            <w:tcW w:w="20" w:type="dxa"/>
            <w:vAlign w:val="bottom"/>
          </w:tcPr>
          <w:p>
            <w:pPr>
              <w:spacing w:after="0"/>
              <w:rPr>
                <w:sz w:val="18"/>
                <w:szCs w:val="18"/>
                <w:color w:val="auto"/>
              </w:rPr>
            </w:pPr>
          </w:p>
        </w:tc>
      </w:tr>
      <w:tr>
        <w:trPr>
          <w:trHeight w:val="196"/>
        </w:trPr>
        <w:tc>
          <w:tcPr>
            <w:tcW w:w="2160" w:type="dxa"/>
            <w:vAlign w:val="bottom"/>
            <w:tcBorders>
              <w:top w:val="single" w:sz="8" w:color="0000FF"/>
            </w:tcBorders>
            <w:gridSpan w:val="10"/>
          </w:tcPr>
          <w:p>
            <w:pPr>
              <w:spacing w:after="0"/>
              <w:rPr>
                <w:rFonts w:ascii="Arial" w:cs="Arial" w:eastAsia="Arial" w:hAnsi="Arial"/>
                <w:sz w:val="16"/>
                <w:szCs w:val="16"/>
                <w:b w:val="1"/>
                <w:bCs w:val="1"/>
                <w:color w:val="0000FF"/>
              </w:rPr>
            </w:pPr>
            <w:hyperlink w:anchor="page58">
              <w:r>
                <w:rPr>
                  <w:rFonts w:ascii="Arial" w:cs="Arial" w:eastAsia="Arial" w:hAnsi="Arial"/>
                  <w:sz w:val="16"/>
                  <w:szCs w:val="16"/>
                  <w:b w:val="1"/>
                  <w:bCs w:val="1"/>
                  <w:color w:val="0000FF"/>
                </w:rPr>
                <w:t>Part II Financial Information</w:t>
              </w:r>
            </w:hyperlink>
          </w:p>
        </w:tc>
        <w:tc>
          <w:tcPr>
            <w:tcW w:w="120" w:type="dxa"/>
            <w:vAlign w:val="bottom"/>
            <w:tcBorders>
              <w:top w:val="single" w:sz="8" w:color="0000FF"/>
            </w:tcBorders>
            <w:gridSpan w:val="2"/>
          </w:tcPr>
          <w:p>
            <w:pPr>
              <w:spacing w:after="0"/>
              <w:rPr>
                <w:sz w:val="17"/>
                <w:szCs w:val="17"/>
                <w:color w:val="auto"/>
              </w:rPr>
            </w:pPr>
          </w:p>
        </w:tc>
        <w:tc>
          <w:tcPr>
            <w:tcW w:w="6260" w:type="dxa"/>
            <w:vAlign w:val="bottom"/>
            <w:gridSpan w:val="15"/>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58">
              <w:r>
                <w:rPr>
                  <w:rFonts w:ascii="Arial" w:cs="Arial" w:eastAsia="Arial" w:hAnsi="Arial"/>
                  <w:sz w:val="15"/>
                  <w:szCs w:val="15"/>
                  <w:color w:val="0000FF"/>
                  <w:w w:val="71"/>
                </w:rPr>
                <w:t>58</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Item 5. Market for Registrant’s Common Equity, Related Stockholder Matters and Issuer Purchases of Equity Securities</w:t>
              </w:r>
            </w:hyperlink>
          </w:p>
        </w:tc>
        <w:tc>
          <w:tcPr>
            <w:tcW w:w="2340" w:type="dxa"/>
            <w:vAlign w:val="bottom"/>
            <w:gridSpan w:val="2"/>
          </w:tcPr>
          <w:p>
            <w:pPr>
              <w:jc w:val="center"/>
              <w:ind w:left="2077"/>
              <w:spacing w:after="0"/>
              <w:rPr>
                <w:rFonts w:ascii="Arial" w:cs="Arial" w:eastAsia="Arial" w:hAnsi="Arial"/>
                <w:sz w:val="16"/>
                <w:szCs w:val="16"/>
                <w:color w:val="0000FF"/>
              </w:rPr>
            </w:pPr>
            <w:hyperlink w:anchor="page59">
              <w:r>
                <w:rPr>
                  <w:rFonts w:ascii="Arial" w:cs="Arial" w:eastAsia="Arial" w:hAnsi="Arial"/>
                  <w:sz w:val="16"/>
                  <w:szCs w:val="16"/>
                  <w:color w:val="0000FF"/>
                </w:rPr>
                <w:t>58</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60" w:type="dxa"/>
            <w:vAlign w:val="bottom"/>
            <w:gridSpan w:val="11"/>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6. Selected Financial Data</w:t>
              </w:r>
            </w:hyperlink>
          </w:p>
        </w:tc>
        <w:tc>
          <w:tcPr>
            <w:tcW w:w="6280" w:type="dxa"/>
            <w:vAlign w:val="bottom"/>
            <w:gridSpan w:val="16"/>
          </w:tcPr>
          <w:p>
            <w:pPr>
              <w:spacing w:after="0"/>
              <w:rPr>
                <w:sz w:val="17"/>
                <w:szCs w:val="17"/>
                <w:color w:val="auto"/>
              </w:rPr>
            </w:pPr>
          </w:p>
        </w:tc>
        <w:tc>
          <w:tcPr>
            <w:tcW w:w="2340" w:type="dxa"/>
            <w:vAlign w:val="bottom"/>
            <w:gridSpan w:val="2"/>
          </w:tcPr>
          <w:p>
            <w:pPr>
              <w:jc w:val="center"/>
              <w:ind w:left="2077"/>
              <w:spacing w:after="0"/>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920" w:type="dxa"/>
            <w:vAlign w:val="bottom"/>
            <w:gridSpan w:val="24"/>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7. Management's Discussion and Analysis of Financial Condition and Results of Operations</w:t>
              </w:r>
            </w:hyperlink>
          </w:p>
        </w:tc>
        <w:tc>
          <w:tcPr>
            <w:tcW w:w="1620" w:type="dxa"/>
            <w:vAlign w:val="bottom"/>
            <w:gridSpan w:val="3"/>
          </w:tcPr>
          <w:p>
            <w:pPr>
              <w:spacing w:after="0"/>
              <w:rPr>
                <w:sz w:val="17"/>
                <w:szCs w:val="17"/>
                <w:color w:val="auto"/>
              </w:rPr>
            </w:pPr>
          </w:p>
        </w:tc>
        <w:tc>
          <w:tcPr>
            <w:tcW w:w="2340" w:type="dxa"/>
            <w:vAlign w:val="bottom"/>
            <w:gridSpan w:val="2"/>
          </w:tcPr>
          <w:p>
            <w:pPr>
              <w:jc w:val="center"/>
              <w:ind w:left="2077"/>
              <w:spacing w:after="0"/>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900" w:type="dxa"/>
            <w:vAlign w:val="bottom"/>
            <w:gridSpan w:val="22"/>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Item 7A. Quantitative and Qualitative Disclosures About Market Risk</w:t>
              </w:r>
            </w:hyperlink>
          </w:p>
        </w:tc>
        <w:tc>
          <w:tcPr>
            <w:tcW w:w="2020" w:type="dxa"/>
            <w:vAlign w:val="bottom"/>
            <w:gridSpan w:val="2"/>
          </w:tcPr>
          <w:p>
            <w:pPr>
              <w:spacing w:after="0"/>
              <w:rPr>
                <w:sz w:val="17"/>
                <w:szCs w:val="17"/>
                <w:color w:val="auto"/>
              </w:rPr>
            </w:pPr>
          </w:p>
        </w:tc>
        <w:tc>
          <w:tcPr>
            <w:tcW w:w="1620" w:type="dxa"/>
            <w:vAlign w:val="bottom"/>
            <w:gridSpan w:val="3"/>
          </w:tcPr>
          <w:p>
            <w:pPr>
              <w:spacing w:after="0"/>
              <w:rPr>
                <w:sz w:val="17"/>
                <w:szCs w:val="17"/>
                <w:color w:val="auto"/>
              </w:rPr>
            </w:pPr>
          </w:p>
        </w:tc>
        <w:tc>
          <w:tcPr>
            <w:tcW w:w="2340" w:type="dxa"/>
            <w:vAlign w:val="bottom"/>
            <w:gridSpan w:val="2"/>
          </w:tcPr>
          <w:p>
            <w:pPr>
              <w:jc w:val="center"/>
              <w:ind w:left="2077"/>
              <w:spacing w:after="0"/>
              <w:rPr>
                <w:rFonts w:ascii="Arial" w:cs="Arial" w:eastAsia="Arial" w:hAnsi="Arial"/>
                <w:sz w:val="16"/>
                <w:szCs w:val="16"/>
                <w:color w:val="0000FF"/>
              </w:rPr>
            </w:pPr>
            <w:hyperlink w:anchor="page77">
              <w:r>
                <w:rPr>
                  <w:rFonts w:ascii="Arial" w:cs="Arial" w:eastAsia="Arial" w:hAnsi="Arial"/>
                  <w:sz w:val="16"/>
                  <w:szCs w:val="16"/>
                  <w:color w:val="0000FF"/>
                </w:rPr>
                <w:t>77</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40" w:type="dxa"/>
            <w:vAlign w:val="bottom"/>
            <w:gridSpan w:val="19"/>
          </w:tcPr>
          <w:p>
            <w:pPr>
              <w:spacing w:after="0"/>
              <w:rPr>
                <w:rFonts w:ascii="Arial" w:cs="Arial" w:eastAsia="Arial" w:hAnsi="Arial"/>
                <w:sz w:val="16"/>
                <w:szCs w:val="16"/>
                <w:color w:val="0000FF"/>
                <w:w w:val="98"/>
              </w:rPr>
            </w:pPr>
            <w:hyperlink w:anchor="page78">
              <w:r>
                <w:rPr>
                  <w:rFonts w:ascii="Arial" w:cs="Arial" w:eastAsia="Arial" w:hAnsi="Arial"/>
                  <w:sz w:val="16"/>
                  <w:szCs w:val="16"/>
                  <w:color w:val="0000FF"/>
                  <w:w w:val="98"/>
                </w:rPr>
                <w:t>Item 8. Financial Statements and Supplementary Data</w:t>
              </w:r>
            </w:hyperlink>
          </w:p>
        </w:tc>
        <w:tc>
          <w:tcPr>
            <w:tcW w:w="1060" w:type="dxa"/>
            <w:vAlign w:val="bottom"/>
            <w:gridSpan w:val="3"/>
          </w:tcPr>
          <w:p>
            <w:pPr>
              <w:spacing w:after="0"/>
              <w:rPr>
                <w:sz w:val="17"/>
                <w:szCs w:val="17"/>
                <w:color w:val="auto"/>
              </w:rPr>
            </w:pPr>
          </w:p>
        </w:tc>
        <w:tc>
          <w:tcPr>
            <w:tcW w:w="3640" w:type="dxa"/>
            <w:vAlign w:val="bottom"/>
            <w:gridSpan w:val="5"/>
          </w:tcPr>
          <w:p>
            <w:pPr>
              <w:spacing w:after="0"/>
              <w:rPr>
                <w:sz w:val="17"/>
                <w:szCs w:val="17"/>
                <w:color w:val="auto"/>
              </w:rPr>
            </w:pPr>
          </w:p>
        </w:tc>
        <w:tc>
          <w:tcPr>
            <w:tcW w:w="2340" w:type="dxa"/>
            <w:vAlign w:val="bottom"/>
            <w:gridSpan w:val="2"/>
          </w:tcPr>
          <w:p>
            <w:pPr>
              <w:jc w:val="center"/>
              <w:ind w:left="2077"/>
              <w:spacing w:after="0"/>
              <w:rPr>
                <w:rFonts w:ascii="Arial" w:cs="Arial" w:eastAsia="Arial" w:hAnsi="Arial"/>
                <w:sz w:val="16"/>
                <w:szCs w:val="16"/>
                <w:color w:val="0000FF"/>
              </w:rPr>
            </w:pPr>
            <w:hyperlink w:anchor="page78">
              <w:r>
                <w:rPr>
                  <w:rFonts w:ascii="Arial" w:cs="Arial" w:eastAsia="Arial" w:hAnsi="Arial"/>
                  <w:sz w:val="16"/>
                  <w:szCs w:val="16"/>
                  <w:color w:val="0000FF"/>
                </w:rPr>
                <w:t>78</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9. Changes in and Disagreements with Accountants on Accounting and Financial Disclosure</w:t>
              </w:r>
            </w:hyperlink>
          </w:p>
        </w:tc>
        <w:tc>
          <w:tcPr>
            <w:tcW w:w="2440" w:type="dxa"/>
            <w:vAlign w:val="bottom"/>
            <w:gridSpan w:val="3"/>
          </w:tcPr>
          <w:p>
            <w:pPr>
              <w:jc w:val="center"/>
              <w:ind w:left="2077"/>
              <w:spacing w:after="0"/>
              <w:rPr>
                <w:rFonts w:ascii="Arial" w:cs="Arial" w:eastAsia="Arial" w:hAnsi="Arial"/>
                <w:sz w:val="16"/>
                <w:szCs w:val="16"/>
                <w:color w:val="0000FF"/>
              </w:rPr>
            </w:pPr>
            <w:hyperlink w:anchor="page102">
              <w:r>
                <w:rPr>
                  <w:rFonts w:ascii="Arial" w:cs="Arial" w:eastAsia="Arial" w:hAnsi="Arial"/>
                  <w:sz w:val="16"/>
                  <w:szCs w:val="16"/>
                  <w:color w:val="0000FF"/>
                </w:rPr>
                <w:t>101</w:t>
              </w:r>
            </w:hyperlink>
          </w:p>
        </w:tc>
        <w:tc>
          <w:tcPr>
            <w:tcW w:w="20" w:type="dxa"/>
            <w:vAlign w:val="bottom"/>
          </w:tcPr>
          <w:p>
            <w:pPr>
              <w:spacing w:after="0"/>
              <w:rPr>
                <w:sz w:val="17"/>
                <w:szCs w:val="17"/>
                <w:color w:val="auto"/>
              </w:rPr>
            </w:pPr>
          </w:p>
        </w:tc>
      </w:tr>
      <w:tr>
        <w:trPr>
          <w:trHeight w:val="196"/>
        </w:trPr>
        <w:tc>
          <w:tcPr>
            <w:tcW w:w="6960" w:type="dxa"/>
            <w:vAlign w:val="bottom"/>
            <w:tcBorders>
              <w:top w:val="single" w:sz="8" w:color="0000FF"/>
            </w:tcBorders>
            <w:gridSpan w:val="25"/>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9A. Controls and Procedures</w:t>
              </w:r>
            </w:hyperlink>
          </w:p>
        </w:tc>
        <w:tc>
          <w:tcPr>
            <w:tcW w:w="1580" w:type="dxa"/>
            <w:vAlign w:val="bottom"/>
            <w:gridSpan w:val="2"/>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2">
              <w:r>
                <w:rPr>
                  <w:rFonts w:ascii="Arial" w:cs="Arial" w:eastAsia="Arial" w:hAnsi="Arial"/>
                  <w:sz w:val="15"/>
                  <w:szCs w:val="15"/>
                  <w:color w:val="0000FF"/>
                  <w:w w:val="71"/>
                </w:rPr>
                <w:t>101</w:t>
              </w:r>
            </w:hyperlink>
          </w:p>
        </w:tc>
        <w:tc>
          <w:tcPr>
            <w:tcW w:w="20" w:type="dxa"/>
            <w:vAlign w:val="bottom"/>
          </w:tcPr>
          <w:p>
            <w:pPr>
              <w:spacing w:after="0"/>
              <w:rPr>
                <w:sz w:val="17"/>
                <w:szCs w:val="17"/>
                <w:color w:val="auto"/>
              </w:rPr>
            </w:pPr>
          </w:p>
        </w:tc>
      </w:tr>
      <w:tr>
        <w:trPr>
          <w:trHeight w:val="196"/>
        </w:trPr>
        <w:tc>
          <w:tcPr>
            <w:tcW w:w="192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9B. Other Information</w:t>
              </w:r>
            </w:hyperlink>
          </w:p>
        </w:tc>
        <w:tc>
          <w:tcPr>
            <w:tcW w:w="520" w:type="dxa"/>
            <w:vAlign w:val="bottom"/>
            <w:tcBorders>
              <w:top w:val="single" w:sz="8" w:color="0000FF"/>
            </w:tcBorders>
            <w:gridSpan w:val="5"/>
          </w:tcPr>
          <w:p>
            <w:pPr>
              <w:spacing w:after="0"/>
              <w:rPr>
                <w:sz w:val="17"/>
                <w:szCs w:val="17"/>
                <w:color w:val="auto"/>
              </w:rPr>
            </w:pPr>
          </w:p>
        </w:tc>
        <w:tc>
          <w:tcPr>
            <w:tcW w:w="6100" w:type="dxa"/>
            <w:vAlign w:val="bottom"/>
            <w:gridSpan w:val="13"/>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103</w:t>
              </w:r>
            </w:hyperlink>
          </w:p>
        </w:tc>
        <w:tc>
          <w:tcPr>
            <w:tcW w:w="20" w:type="dxa"/>
            <w:vAlign w:val="bottom"/>
          </w:tcPr>
          <w:p>
            <w:pPr>
              <w:spacing w:after="0"/>
              <w:rPr>
                <w:sz w:val="17"/>
                <w:szCs w:val="17"/>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9C. Disclosure Regarding Foreign Jurisdictions that Prevent Inspections</w:t>
              </w:r>
            </w:hyperlink>
          </w:p>
        </w:tc>
        <w:tc>
          <w:tcPr>
            <w:tcW w:w="2440" w:type="dxa"/>
            <w:vAlign w:val="bottom"/>
            <w:gridSpan w:val="3"/>
          </w:tcPr>
          <w:p>
            <w:pPr>
              <w:jc w:val="center"/>
              <w:ind w:left="2077"/>
              <w:spacing w:after="0"/>
              <w:rPr>
                <w:rFonts w:ascii="Arial" w:cs="Arial" w:eastAsia="Arial" w:hAnsi="Arial"/>
                <w:sz w:val="16"/>
                <w:szCs w:val="16"/>
                <w:color w:val="0000FF"/>
              </w:rPr>
            </w:pPr>
            <w:hyperlink w:anchor="page104">
              <w:r>
                <w:rPr>
                  <w:rFonts w:ascii="Arial" w:cs="Arial" w:eastAsia="Arial" w:hAnsi="Arial"/>
                  <w:sz w:val="16"/>
                  <w:szCs w:val="16"/>
                  <w:color w:val="0000FF"/>
                </w:rPr>
                <w:t>103</w:t>
              </w:r>
            </w:hyperlink>
          </w:p>
        </w:tc>
        <w:tc>
          <w:tcPr>
            <w:tcW w:w="20" w:type="dxa"/>
            <w:vAlign w:val="bottom"/>
          </w:tcPr>
          <w:p>
            <w:pPr>
              <w:spacing w:after="0"/>
              <w:rPr>
                <w:sz w:val="17"/>
                <w:szCs w:val="17"/>
                <w:color w:val="auto"/>
              </w:rPr>
            </w:pPr>
          </w:p>
        </w:tc>
      </w:tr>
      <w:tr>
        <w:trPr>
          <w:trHeight w:val="196"/>
        </w:trPr>
        <w:tc>
          <w:tcPr>
            <w:tcW w:w="5520" w:type="dxa"/>
            <w:vAlign w:val="bottom"/>
            <w:tcBorders>
              <w:top w:val="single" w:sz="8" w:color="0000FF"/>
            </w:tcBorders>
            <w:gridSpan w:val="23"/>
          </w:tcPr>
          <w:p>
            <w:pPr>
              <w:spacing w:after="0"/>
              <w:rPr>
                <w:rFonts w:ascii="Arial" w:cs="Arial" w:eastAsia="Arial" w:hAnsi="Arial"/>
                <w:sz w:val="16"/>
                <w:szCs w:val="16"/>
                <w:b w:val="1"/>
                <w:bCs w:val="1"/>
                <w:color w:val="0000FF"/>
              </w:rPr>
            </w:pPr>
            <w:hyperlink w:anchor="page104">
              <w:r>
                <w:rPr>
                  <w:rFonts w:ascii="Arial" w:cs="Arial" w:eastAsia="Arial" w:hAnsi="Arial"/>
                  <w:sz w:val="16"/>
                  <w:szCs w:val="16"/>
                  <w:b w:val="1"/>
                  <w:bCs w:val="1"/>
                  <w:color w:val="0000FF"/>
                </w:rPr>
                <w:t>Part III</w:t>
              </w:r>
            </w:hyperlink>
          </w:p>
        </w:tc>
        <w:tc>
          <w:tcPr>
            <w:tcW w:w="3020" w:type="dxa"/>
            <w:vAlign w:val="bottom"/>
            <w:gridSpan w:val="4"/>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103</w:t>
              </w:r>
            </w:hyperlink>
          </w:p>
        </w:tc>
        <w:tc>
          <w:tcPr>
            <w:tcW w:w="20" w:type="dxa"/>
            <w:vAlign w:val="bottom"/>
          </w:tcPr>
          <w:p>
            <w:pPr>
              <w:spacing w:after="0"/>
              <w:rPr>
                <w:sz w:val="17"/>
                <w:szCs w:val="17"/>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10. Directors, Executive Officers and Corporate Governance</w:t>
              </w:r>
            </w:hyperlink>
          </w:p>
        </w:tc>
        <w:tc>
          <w:tcPr>
            <w:tcW w:w="2440" w:type="dxa"/>
            <w:vAlign w:val="bottom"/>
            <w:gridSpan w:val="3"/>
          </w:tcPr>
          <w:p>
            <w:pPr>
              <w:jc w:val="center"/>
              <w:ind w:left="2077"/>
              <w:spacing w:after="0"/>
              <w:rPr>
                <w:rFonts w:ascii="Arial" w:cs="Arial" w:eastAsia="Arial" w:hAnsi="Arial"/>
                <w:sz w:val="16"/>
                <w:szCs w:val="16"/>
                <w:color w:val="0000FF"/>
              </w:rPr>
            </w:pPr>
            <w:hyperlink w:anchor="page104">
              <w:r>
                <w:rPr>
                  <w:rFonts w:ascii="Arial" w:cs="Arial" w:eastAsia="Arial" w:hAnsi="Arial"/>
                  <w:sz w:val="16"/>
                  <w:szCs w:val="16"/>
                  <w:color w:val="0000FF"/>
                </w:rPr>
                <w:t>103</w:t>
              </w:r>
            </w:hyperlink>
          </w:p>
        </w:tc>
        <w:tc>
          <w:tcPr>
            <w:tcW w:w="20" w:type="dxa"/>
            <w:vAlign w:val="bottom"/>
          </w:tcPr>
          <w:p>
            <w:pPr>
              <w:spacing w:after="0"/>
              <w:rPr>
                <w:sz w:val="17"/>
                <w:szCs w:val="17"/>
                <w:color w:val="auto"/>
              </w:rPr>
            </w:pPr>
          </w:p>
        </w:tc>
      </w:tr>
      <w:tr>
        <w:trPr>
          <w:trHeight w:val="196"/>
        </w:trPr>
        <w:tc>
          <w:tcPr>
            <w:tcW w:w="4680" w:type="dxa"/>
            <w:vAlign w:val="bottom"/>
            <w:tcBorders>
              <w:top w:val="single" w:sz="8" w:color="0000FF"/>
            </w:tcBorders>
            <w:gridSpan w:val="21"/>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11. Executive Compensation</w:t>
              </w:r>
            </w:hyperlink>
          </w:p>
        </w:tc>
        <w:tc>
          <w:tcPr>
            <w:tcW w:w="3860" w:type="dxa"/>
            <w:vAlign w:val="bottom"/>
            <w:gridSpan w:val="6"/>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103</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12. Security Ownership of Certain Beneficial Owners and Management and Related Stockholder Matters</w:t>
              </w:r>
            </w:hyperlink>
          </w:p>
        </w:tc>
        <w:tc>
          <w:tcPr>
            <w:tcW w:w="2440" w:type="dxa"/>
            <w:vAlign w:val="bottom"/>
            <w:gridSpan w:val="3"/>
          </w:tcPr>
          <w:p>
            <w:pPr>
              <w:jc w:val="center"/>
              <w:ind w:left="2077"/>
              <w:spacing w:after="0"/>
              <w:rPr>
                <w:rFonts w:ascii="Arial" w:cs="Arial" w:eastAsia="Arial" w:hAnsi="Arial"/>
                <w:sz w:val="16"/>
                <w:szCs w:val="16"/>
                <w:color w:val="0000FF"/>
              </w:rPr>
            </w:pPr>
            <w:hyperlink w:anchor="page104">
              <w:r>
                <w:rPr>
                  <w:rFonts w:ascii="Arial" w:cs="Arial" w:eastAsia="Arial" w:hAnsi="Arial"/>
                  <w:sz w:val="16"/>
                  <w:szCs w:val="16"/>
                  <w:color w:val="0000FF"/>
                </w:rPr>
                <w:t>103</w:t>
              </w:r>
            </w:hyperlink>
          </w:p>
        </w:tc>
        <w:tc>
          <w:tcPr>
            <w:tcW w:w="20" w:type="dxa"/>
            <w:vAlign w:val="bottom"/>
          </w:tcPr>
          <w:p>
            <w:pPr>
              <w:spacing w:after="0"/>
              <w:rPr>
                <w:sz w:val="17"/>
                <w:szCs w:val="17"/>
                <w:color w:val="auto"/>
              </w:rPr>
            </w:pPr>
          </w:p>
        </w:tc>
      </w:tr>
      <w:tr>
        <w:trPr>
          <w:trHeight w:val="196"/>
        </w:trPr>
        <w:tc>
          <w:tcPr>
            <w:tcW w:w="7840" w:type="dxa"/>
            <w:vAlign w:val="bottom"/>
            <w:tcBorders>
              <w:top w:val="single" w:sz="8" w:color="0000FF"/>
            </w:tcBorders>
            <w:gridSpan w:val="26"/>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13. Certain Relationships and Related Party Transactions</w:t>
              </w:r>
            </w:hyperlink>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103</w:t>
              </w:r>
            </w:hyperlink>
          </w:p>
        </w:tc>
        <w:tc>
          <w:tcPr>
            <w:tcW w:w="20" w:type="dxa"/>
            <w:vAlign w:val="bottom"/>
          </w:tcPr>
          <w:p>
            <w:pPr>
              <w:spacing w:after="0"/>
              <w:rPr>
                <w:sz w:val="17"/>
                <w:szCs w:val="17"/>
                <w:color w:val="auto"/>
              </w:rPr>
            </w:pPr>
          </w:p>
        </w:tc>
      </w:tr>
      <w:tr>
        <w:trPr>
          <w:trHeight w:val="196"/>
        </w:trPr>
        <w:tc>
          <w:tcPr>
            <w:tcW w:w="3500" w:type="dxa"/>
            <w:vAlign w:val="bottom"/>
            <w:tcBorders>
              <w:top w:val="single" w:sz="8" w:color="0000FF"/>
              <w:bottom w:val="single" w:sz="8" w:color="0000FF"/>
            </w:tcBorders>
            <w:gridSpan w:val="17"/>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14. Principal Accountant Fees and Services</w:t>
              </w:r>
            </w:hyperlink>
          </w:p>
        </w:tc>
        <w:tc>
          <w:tcPr>
            <w:tcW w:w="980" w:type="dxa"/>
            <w:vAlign w:val="bottom"/>
            <w:tcBorders>
              <w:top w:val="single" w:sz="8" w:color="0000FF"/>
            </w:tcBorders>
            <w:gridSpan w:val="3"/>
          </w:tcPr>
          <w:p>
            <w:pPr>
              <w:spacing w:after="0"/>
              <w:rPr>
                <w:sz w:val="17"/>
                <w:szCs w:val="17"/>
                <w:color w:val="auto"/>
              </w:rPr>
            </w:pPr>
          </w:p>
        </w:tc>
        <w:tc>
          <w:tcPr>
            <w:tcW w:w="4060" w:type="dxa"/>
            <w:vAlign w:val="bottom"/>
            <w:gridSpan w:val="7"/>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103</w:t>
              </w:r>
            </w:hyperlink>
          </w:p>
        </w:tc>
        <w:tc>
          <w:tcPr>
            <w:tcW w:w="20" w:type="dxa"/>
            <w:vAlign w:val="bottom"/>
          </w:tcPr>
          <w:p>
            <w:pPr>
              <w:spacing w:after="0"/>
              <w:rPr>
                <w:sz w:val="17"/>
                <w:szCs w:val="17"/>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Item 15. Exhibits, Financial Statement Schedules</w:t>
              </w:r>
            </w:hyperlink>
          </w:p>
        </w:tc>
        <w:tc>
          <w:tcPr>
            <w:tcW w:w="2440" w:type="dxa"/>
            <w:vAlign w:val="bottom"/>
            <w:gridSpan w:val="3"/>
          </w:tcPr>
          <w:p>
            <w:pPr>
              <w:jc w:val="center"/>
              <w:ind w:left="2077"/>
              <w:spacing w:after="0"/>
              <w:rPr>
                <w:rFonts w:ascii="Arial" w:cs="Arial" w:eastAsia="Arial" w:hAnsi="Arial"/>
                <w:sz w:val="16"/>
                <w:szCs w:val="16"/>
                <w:color w:val="0000FF"/>
              </w:rPr>
            </w:pPr>
            <w:hyperlink w:anchor="page104">
              <w:r>
                <w:rPr>
                  <w:rFonts w:ascii="Arial" w:cs="Arial" w:eastAsia="Arial" w:hAnsi="Arial"/>
                  <w:sz w:val="16"/>
                  <w:szCs w:val="16"/>
                  <w:color w:val="0000FF"/>
                </w:rPr>
                <w:t>104</w:t>
              </w:r>
            </w:hyperlink>
          </w:p>
        </w:tc>
        <w:tc>
          <w:tcPr>
            <w:tcW w:w="20" w:type="dxa"/>
            <w:vAlign w:val="bottom"/>
          </w:tcPr>
          <w:p>
            <w:pPr>
              <w:spacing w:after="0"/>
              <w:rPr>
                <w:sz w:val="17"/>
                <w:szCs w:val="17"/>
                <w:color w:val="auto"/>
              </w:rPr>
            </w:pPr>
          </w:p>
        </w:tc>
      </w:tr>
      <w:tr>
        <w:trPr>
          <w:trHeight w:val="196"/>
        </w:trPr>
        <w:tc>
          <w:tcPr>
            <w:tcW w:w="216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Item 16. Form 10-K Summary</w:t>
              </w:r>
            </w:hyperlink>
          </w:p>
        </w:tc>
        <w:tc>
          <w:tcPr>
            <w:tcW w:w="1360" w:type="dxa"/>
            <w:vAlign w:val="bottom"/>
            <w:tcBorders>
              <w:top w:val="single" w:sz="8" w:color="0000FF"/>
            </w:tcBorders>
            <w:gridSpan w:val="8"/>
          </w:tcPr>
          <w:p>
            <w:pPr>
              <w:spacing w:after="0"/>
              <w:rPr>
                <w:sz w:val="17"/>
                <w:szCs w:val="17"/>
                <w:color w:val="auto"/>
              </w:rPr>
            </w:pPr>
          </w:p>
        </w:tc>
        <w:tc>
          <w:tcPr>
            <w:tcW w:w="5020" w:type="dxa"/>
            <w:vAlign w:val="bottom"/>
            <w:gridSpan w:val="9"/>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05">
              <w:r>
                <w:rPr>
                  <w:rFonts w:ascii="Arial" w:cs="Arial" w:eastAsia="Arial" w:hAnsi="Arial"/>
                  <w:sz w:val="15"/>
                  <w:szCs w:val="15"/>
                  <w:color w:val="0000FF"/>
                  <w:w w:val="71"/>
                </w:rPr>
                <w:t>104</w:t>
              </w:r>
            </w:hyperlink>
          </w:p>
        </w:tc>
        <w:tc>
          <w:tcPr>
            <w:tcW w:w="20" w:type="dxa"/>
            <w:vAlign w:val="bottom"/>
          </w:tcPr>
          <w:p>
            <w:pPr>
              <w:spacing w:after="0"/>
              <w:rPr>
                <w:sz w:val="17"/>
                <w:szCs w:val="17"/>
                <w:color w:val="auto"/>
              </w:rPr>
            </w:pPr>
          </w:p>
        </w:tc>
      </w:tr>
      <w:tr>
        <w:trPr>
          <w:trHeight w:val="196"/>
        </w:trPr>
        <w:tc>
          <w:tcPr>
            <w:tcW w:w="8540" w:type="dxa"/>
            <w:vAlign w:val="bottom"/>
            <w:gridSpan w:val="27"/>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Signatures</w:t>
              </w:r>
            </w:hyperlink>
          </w:p>
        </w:tc>
        <w:tc>
          <w:tcPr>
            <w:tcW w:w="2440" w:type="dxa"/>
            <w:vAlign w:val="bottom"/>
            <w:gridSpan w:val="3"/>
          </w:tcPr>
          <w:p>
            <w:pPr>
              <w:jc w:val="center"/>
              <w:ind w:left="2077"/>
              <w:spacing w:after="0"/>
              <w:rPr>
                <w:rFonts w:ascii="Arial" w:cs="Arial" w:eastAsia="Arial" w:hAnsi="Arial"/>
                <w:sz w:val="16"/>
                <w:szCs w:val="16"/>
                <w:color w:val="0000FF"/>
              </w:rPr>
            </w:pPr>
            <w:hyperlink w:anchor="page107">
              <w:r>
                <w:rPr>
                  <w:rFonts w:ascii="Arial" w:cs="Arial" w:eastAsia="Arial" w:hAnsi="Arial"/>
                  <w:sz w:val="16"/>
                  <w:szCs w:val="16"/>
                  <w:color w:val="0000FF"/>
                </w:rPr>
                <w:t>107</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 w:name="page3"/>
    <w:bookmarkEnd w:id="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without limitation, statements regarding our business model and strategic plans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subject to a number of known and unknown risks, uncertainties and assumptions, and actual results may differ materially from those expressed or implied in the forward-looking statements due to various factors, including, but not limited to:</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users and sustain their engagement with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online language learning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and operate at such scale;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to store and distribute our products and collect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hosting and cloud computing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for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by educational organizations of technology-based education; and</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identified in Part I. Item 1A. “Risk Factors” and Part II. Item 7. “Management’s Discussion and Analysis of Financial Condition and Results of Operations” in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Annual Report on Form 10-K.</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K, we cannot guarantee that the future results, levels of activity, performance, or events and circumstances reflected in the forward-looking statements will be achieved or occur at all.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5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all references in this Annual Report on Form 10-K to “Duolingo,” the “Company”, “we,” “our,” “us,” or similar terms refer to Duolingo, Inc. and its subsidiaries.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Key Operating Metrics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manage our business by tracking several operating metrics, including monthly active users (MAUs), daily active users (DAUs), paid subscribers, and bookings. We believe each of these operating metrics provides useful information to investors and others. For information concerning these metrics as measured by us, see Part II, Item 7. “Management’s Discussion and Analysis of Financial Condition and Results of Operations - Key Operating Metrics and Non-GAAP Financial Measures.”</w:t>
      </w:r>
    </w:p>
    <w:p>
      <w:pPr>
        <w:spacing w:after="0" w:line="152"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15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7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section titled “Risk Factors—Our user metrics and other estimates are subject to inherent challenges in measurement, and real or perceived inaccuracies in those metrics may significantly harm and negatively affect our reputation and our business”. Other companies, including companies in our industry, may calculate these metrics differently.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is a summary of the principal risks that could materially adversely affect our business, results of operations, and financial condition, all of which are more fully described in Part I, Item 1A. “Risk Factors.” This summary should be read in conjunction with Part I, Item 1A. “Risk Factors” section and should not be relied upon as an exhaustive summary of the material risks facing our business.</w:t>
      </w:r>
    </w:p>
    <w:p>
      <w:pPr>
        <w:spacing w:after="0" w:line="136" w:lineRule="exact"/>
        <w:rPr>
          <w:sz w:val="20"/>
          <w:szCs w:val="20"/>
          <w:color w:val="auto"/>
        </w:rPr>
      </w:pPr>
    </w:p>
    <w:p>
      <w:pPr>
        <w:ind w:left="660" w:right="4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14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we make to our existing brand and products, or the introduction of a new brand or products, could fail to attract or keep users or generate revenue and profits.</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4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and annual operating results and other operating metrics may fluctuate from period to period, which makes these metrics difficult to predict.</w:t>
      </w:r>
    </w:p>
    <w:p>
      <w:pPr>
        <w:spacing w:after="0" w:line="14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metrics are subject to inherent challenges in measurement, and real or perceived inaccuracies in those metrics may negatively affect our reputation and our business.</w:t>
      </w:r>
    </w:p>
    <w:p>
      <w:pPr>
        <w:spacing w:after="0" w:line="143" w:lineRule="exact"/>
        <w:rPr>
          <w:rFonts w:ascii="Arial" w:cs="Arial" w:eastAsia="Arial" w:hAnsi="Arial"/>
          <w:sz w:val="18"/>
          <w:szCs w:val="18"/>
          <w:color w:val="auto"/>
        </w:rPr>
      </w:pPr>
    </w:p>
    <w:p>
      <w:pPr>
        <w:ind w:left="660" w:right="48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platforms such as the Apple App Store and the Google Play Store to distribute our products and collect payments.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51"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49"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47"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collect, and use personal data about our users and payers, and to comply with applicable data privacy laws.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varying and rapidly-evolving regulatory framework on privacy and data protection across jurisdictions could result in claims, changes to our business practices, monetary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5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increased cost of operations, or declines in user growth or engagement, or otherwise harm our business.</w:t>
      </w:r>
    </w:p>
    <w:p>
      <w:pPr>
        <w:spacing w:after="0" w:line="171" w:lineRule="exact"/>
        <w:rPr>
          <w:sz w:val="20"/>
          <w:szCs w:val="20"/>
          <w:color w:val="auto"/>
        </w:rPr>
      </w:pPr>
    </w:p>
    <w:p>
      <w:pPr>
        <w:ind w:left="328" w:right="20" w:hanging="328"/>
        <w:spacing w:after="0" w:line="291"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19" w:lineRule="exact"/>
        <w:rPr>
          <w:rFonts w:ascii="Arial" w:cs="Arial" w:eastAsia="Arial" w:hAnsi="Arial"/>
          <w:sz w:val="17"/>
          <w:szCs w:val="17"/>
          <w:color w:val="auto"/>
        </w:rPr>
      </w:pPr>
    </w:p>
    <w:p>
      <w:pPr>
        <w:ind w:left="328" w:right="900"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143" w:lineRule="exact"/>
        <w:rPr>
          <w:rFonts w:ascii="Arial" w:cs="Arial" w:eastAsia="Arial" w:hAnsi="Arial"/>
          <w:sz w:val="18"/>
          <w:szCs w:val="18"/>
          <w:color w:val="auto"/>
        </w:rPr>
      </w:pPr>
    </w:p>
    <w:p>
      <w:pPr>
        <w:ind w:left="328" w:hanging="328"/>
        <w:spacing w:after="0" w:line="252"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92.4% of the voting power of our capital stock as of December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1440" w:right="399" w:bottom="1440" w:gutter="0" w:footer="0" w:header="0"/>
        </w:sectPr>
      </w:pPr>
    </w:p>
    <w:bookmarkStart w:id="6" w:name="page7"/>
    <w:bookmarkEnd w:id="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team, which as of December 31, 2021, consisted of over 500 passionate employees, including more than 210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over 500 million downloads, our flagship app has organically become the world’s most popular way to learn languages and the top-grossing Education app in the App Stores. For many, Duolingo has become synonymous with language learning: for example, on Google, people search the term “Duolingo” approximately seven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started with a focus on teaching languages because of the profound impact learning a new language can have on people’s lives, as well as the large market opportunity. According to HolonIQ, approximately 2 billion people across the world are learning a new language, and consumer spend on both online and offline language learning represents a $61 billion market. Driving much of the demand for language learning is the reality that English can unlock tremendous economic opportunity. According to the World Economic Forum, job seekers around the world with exceptional English skills can expect to earn 30-50% higher salaries than their peers with average English ability.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As of December 31, 2021, Duolingo offers courses in over 40 languages to approximately 42 million monthly active users. To put our scale in context, there are more people in the United States learning languages on Duolingo than there are foreign language learners in all United States high schools combined, and there are more people learning certain languages on Duolingo, like Irish and Hawaiian, than there are native speakers of those languages worldwide.</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Our brand has become part of pop culture, appearing in internet memes and in sketches on late night comedy shows. As an example, #duolingo on TikTok has approximately half a billion views, and our official account has been highlighted by numerous press outlets. All of this has allowed us to grow our business organically, primarily relying on word-of-mouth virality rather than paid user acquisition.</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December 31, 2021 approximately 6% of our monthly active users were paid subscribers of Duolingo Plus. Our paid subscriber penetration has increased steadily since we launched Duolingo Plus in 2017 and, combined with our user growth, has led to revenue growth each year since. We have a strong future roadmap of feature improvements and optimizations, and believe we are in the early stages of increasing our paid subscriber penetration.</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freemium business model, which means allowing users to access our content for free and charging a subscription for additional features, is core to our success because it enables significant user scale. Our growth and competitive differentiation have been driven by two mutually-reinforcing flywheels: our learning flywheel and our investment flywheel.</w:t>
      </w:r>
    </w:p>
    <w:p>
      <w:pPr>
        <w:spacing w:after="0" w:line="114" w:lineRule="exact"/>
        <w:rPr>
          <w:sz w:val="20"/>
          <w:szCs w:val="20"/>
          <w:color w:val="auto"/>
        </w:rPr>
      </w:pPr>
    </w:p>
    <w:p>
      <w:pPr>
        <w:ind w:left="660" w:right="28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Investment flywheel: </w:t>
      </w:r>
      <w:r>
        <w:rPr>
          <w:rFonts w:ascii="Arial" w:cs="Arial" w:eastAsia="Arial" w:hAnsi="Arial"/>
          <w:sz w:val="17"/>
          <w:szCs w:val="17"/>
          <w:color w:val="auto"/>
        </w:rPr>
        <w:t>Our learner scale and word-of-mouth growth allow us to focus our capital investments on product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analytics, as 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14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In 2016, we launched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December 2021, over 3,000 higher education programs around the world accept Duolingo English Test results as proof of English proficiency for international student admissions. These include 18 of the top 20 undergraduate programs in the United States according to US News and World Report, which include Yale, Stanford, MIT, Duke and Columbia.</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that there is an opportunity to diversify the scope of our platform beyond language learning to a variety of subjects, using the same product-focused, mobile-first, gamified approach to education. In 2020 we launched Duolingo ABC, an app for young children that teaches early literacy skills, which won the 2020 Time Magazine “Best New Product” award. New products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Duolingo learning experience sits at the rare intersection of fun and self-improvement. Learners love Duolingo because:</w:t>
      </w:r>
    </w:p>
    <w:p>
      <w:pPr>
        <w:spacing w:after="0" w:line="149" w:lineRule="exact"/>
        <w:rPr>
          <w:sz w:val="20"/>
          <w:szCs w:val="20"/>
          <w:color w:val="auto"/>
        </w:rPr>
      </w:pPr>
    </w:p>
    <w:p>
      <w:pPr>
        <w:ind w:left="660" w:right="6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learners to come back each day to continue learning.</w:t>
      </w:r>
    </w:p>
    <w:p>
      <w:pPr>
        <w:spacing w:after="0" w:line="98" w:lineRule="exact"/>
        <w:rPr>
          <w:rFonts w:ascii="Arial" w:cs="Arial" w:eastAsia="Arial" w:hAnsi="Arial"/>
          <w:sz w:val="18"/>
          <w:szCs w:val="18"/>
          <w:color w:val="auto"/>
        </w:rPr>
      </w:pPr>
    </w:p>
    <w:p>
      <w:pPr>
        <w:jc w:val="both"/>
        <w:ind w:left="660" w:right="50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 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expert-designed courses help learners build robust speaking, reading, listening, and writing skills, and our data analytics power personalization and superior learning outcomes.</w:t>
      </w:r>
    </w:p>
    <w:p>
      <w:pPr>
        <w:spacing w:after="0" w:line="116"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 want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any and every course without paying. This lowers barriers to start learning and to keep learning.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08" w:lineRule="exact"/>
        <w:rPr>
          <w:sz w:val="20"/>
          <w:szCs w:val="20"/>
          <w:color w:val="auto"/>
        </w:rPr>
      </w:pPr>
    </w:p>
    <w:p>
      <w:pPr>
        <w:jc w:val="both"/>
        <w:ind w:left="660" w:right="1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Low friction. </w:t>
      </w:r>
      <w:r>
        <w:rPr>
          <w:rFonts w:ascii="Arial" w:cs="Arial" w:eastAsia="Arial" w:hAnsi="Arial"/>
          <w:sz w:val="18"/>
          <w:szCs w:val="18"/>
          <w:color w:val="auto"/>
        </w:rPr>
        <w:t>Beginning the learning journey on Duolingo is easy. Learners select the language they want to learn and are asked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a daily learning goal, which can be as little as five or ten minutes a day. Duolingo is recognized as a gold standard for user experience design, with our onboarding flows used as examples of industry best practices.</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Motivating game mechanics. </w:t>
      </w:r>
      <w:r>
        <w:rPr>
          <w:rFonts w:ascii="Arial" w:cs="Arial" w:eastAsia="Arial" w:hAnsi="Arial"/>
          <w:sz w:val="18"/>
          <w:szCs w:val="18"/>
          <w:color w:val="auto"/>
        </w:rPr>
        <w:t>Because we believe that staying motivated is the hardest part of learning something new, we focus</w:t>
      </w:r>
      <w:r>
        <w:rPr>
          <w:rFonts w:ascii="Arial" w:cs="Arial" w:eastAsia="Arial" w:hAnsi="Arial"/>
          <w:sz w:val="18"/>
          <w:szCs w:val="18"/>
          <w:b w:val="1"/>
          <w:bCs w:val="1"/>
          <w:color w:val="auto"/>
        </w:rPr>
        <w:t xml:space="preserve"> </w:t>
      </w:r>
      <w:r>
        <w:rPr>
          <w:rFonts w:ascii="Arial" w:cs="Arial" w:eastAsia="Arial" w:hAnsi="Arial"/>
          <w:sz w:val="18"/>
          <w:szCs w:val="18"/>
          <w:color w:val="auto"/>
        </w:rPr>
        <w:t>relentlessly on keeping learners engaged. Features like Streaks and Leaderboards motivate learners to come back to Duolingo every day, and to spend more time learning each time they do. Ultimately, the high engagement driven by gamification leads to consistent learning and demonstrable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Beautiful design and engaging storytelling. </w:t>
      </w:r>
      <w:r>
        <w:rPr>
          <w:rFonts w:ascii="Arial" w:cs="Arial" w:eastAsia="Arial" w:hAnsi="Arial"/>
          <w:sz w:val="18"/>
          <w:szCs w:val="18"/>
          <w:color w:val="auto"/>
        </w:rPr>
        <w:t>We focus obsessively on every detail of design. From the precise shape and color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button, to the mood of the celebratory animations that congratulate learners upon finishing each lesson, our app is calibrated to maximize learners’ delight.</w:t>
      </w:r>
    </w:p>
    <w:p>
      <w:pPr>
        <w:spacing w:after="0" w:line="116"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Diverse learning experiences informed by robust pedagogy. </w:t>
      </w:r>
      <w:r>
        <w:rPr>
          <w:rFonts w:ascii="Arial" w:cs="Arial" w:eastAsia="Arial" w:hAnsi="Arial"/>
          <w:sz w:val="18"/>
          <w:szCs w:val="18"/>
          <w:color w:val="auto"/>
        </w:rPr>
        <w:t>Our learning experiences are designed by an in-house team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experts in learning science and second language acquisition. Content in our largest courses is aligned to the Common European Framework of Reference (“CEFR”), an international standard for language proficiency, and the pedagogical structure of each course is unique. For example, Spanish-speakers learning English will encounter a different curriculum than Chinese-speakers learning English.</w:t>
      </w:r>
    </w:p>
    <w:p>
      <w:pPr>
        <w:spacing w:after="0" w:line="125"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Application of data analytics and artificial intelligence to optimize learning</w:t>
      </w:r>
      <w:r>
        <w:rPr>
          <w:rFonts w:ascii="Arial" w:cs="Arial" w:eastAsia="Arial" w:hAnsi="Arial"/>
          <w:sz w:val="18"/>
          <w:szCs w:val="18"/>
          <w:color w:val="auto"/>
        </w:rPr>
        <w:t>. We use data from over half a billion exercises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daily to train sophisticated machine learning algorithms that we deploy to improve learning efficacy. One example of this is our personalization algorithm, called BirdBrain, which is designed to predict the probability that a given learner will get an exercise right or wrong. We use BirdBrain to craft lessons that cater to a learner’s specific proficiency level by providing exercises of the appropriate difficulty. This personalization increases learner motivation and improves learning outcomes.</w:t>
      </w:r>
    </w:p>
    <w:p>
      <w:pPr>
        <w:spacing w:after="0" w:line="125" w:lineRule="exact"/>
        <w:rPr>
          <w:sz w:val="20"/>
          <w:szCs w:val="20"/>
          <w:color w:val="auto"/>
        </w:rPr>
      </w:pPr>
    </w:p>
    <w:p>
      <w:pPr>
        <w:ind w:left="660" w:hanging="328"/>
        <w:spacing w:after="0" w:line="259"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Measurable learning outcomes. </w:t>
      </w:r>
      <w:r>
        <w:rPr>
          <w:rFonts w:ascii="Arial" w:cs="Arial" w:eastAsia="Arial" w:hAnsi="Arial"/>
          <w:sz w:val="18"/>
          <w:szCs w:val="18"/>
          <w:color w:val="auto"/>
        </w:rPr>
        <w:t>All this adds up to a learning experience that helps learners achieve their goals. In 2020, we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a formal study to evaluate Duolingo’s effectiveness versus traditional university language courses. We found that the Duolingo learners earned proficiency scores comparable to those of the US university students at the end of their fourth semester of French or Spanish. Moreover, the Duolingo learners were able to attain this level of proficiency in about half the time as the university students.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technology platform include:</w:t>
      </w:r>
    </w:p>
    <w:p>
      <w:pPr>
        <w:spacing w:after="0" w:line="149" w:lineRule="exact"/>
        <w:rPr>
          <w:sz w:val="20"/>
          <w:szCs w:val="20"/>
          <w:color w:val="auto"/>
        </w:rPr>
      </w:pPr>
    </w:p>
    <w:p>
      <w:pPr>
        <w:ind w:left="6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 world's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w:t>
      </w:r>
    </w:p>
    <w:p>
      <w:pPr>
        <w:spacing w:after="0" w:line="122"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Robust testing framework. </w:t>
      </w:r>
      <w:r>
        <w:rPr>
          <w:rFonts w:ascii="Arial" w:cs="Arial" w:eastAsia="Arial" w:hAnsi="Arial"/>
          <w:sz w:val="18"/>
          <w:szCs w:val="18"/>
          <w:color w:val="auto"/>
        </w:rPr>
        <w:t>The foundation of our product strategy is our relentless focus on improving learner engagement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A/B testing, and we run hundreds of A/B tests on new product features each quarter. Experiments can be as simple as changing the text or color of a button, or as complex as adding a major new feature like Leaderboards. The velocity of our A/B testing capabilities is a core competency that allows us to optimize the Duolingo learning experience at a rapid pace.</w:t>
      </w:r>
    </w:p>
    <w:p>
      <w:pPr>
        <w:spacing w:after="0" w:line="122"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 data to</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 the learning experience. One example of this is our machine learning tools that evaluate every learner’s answer to every exercise every day and learns to predict the probability that any learner will answer any given exercise correctly. We use these tools to adaptively construct lessons where each exercise is “just right” in terms of difficulty for each learner.</w:t>
      </w:r>
    </w:p>
    <w:p>
      <w:pPr>
        <w:spacing w:after="0" w:line="122"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Shared infrastructure. </w:t>
      </w:r>
      <w:r>
        <w:rPr>
          <w:rFonts w:ascii="Arial" w:cs="Arial" w:eastAsia="Arial" w:hAnsi="Arial"/>
          <w:sz w:val="18"/>
          <w:szCs w:val="18"/>
          <w:color w:val="auto"/>
        </w:rPr>
        <w:t>Products across our platform, like our flagship Duolingo language learning app, Duolingo ABC,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Duolingo English Test, share a singular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860"/>
        <w:spacing w:after="0" w:line="261" w:lineRule="auto"/>
        <w:rPr>
          <w:sz w:val="20"/>
          <w:szCs w:val="20"/>
          <w:color w:val="auto"/>
        </w:rPr>
      </w:pPr>
      <w:r>
        <w:rPr>
          <w:rFonts w:ascii="Arial" w:cs="Arial" w:eastAsia="Arial" w:hAnsi="Arial"/>
          <w:sz w:val="18"/>
          <w:szCs w:val="18"/>
          <w:color w:val="auto"/>
        </w:rPr>
        <w:t>infrastructure, which allows us to leverage operational efficiencies in implementing new features for each. With our shared infrastructure, we are able to innovate at a higher velocity.</w:t>
      </w:r>
    </w:p>
    <w:p>
      <w:pPr>
        <w:spacing w:after="0" w:line="122" w:lineRule="exact"/>
        <w:rPr>
          <w:sz w:val="20"/>
          <w:szCs w:val="20"/>
          <w:color w:val="auto"/>
        </w:rPr>
      </w:pPr>
    </w:p>
    <w:p>
      <w:pPr>
        <w:ind w:left="660" w:right="50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Strict data protection and privacy standards</w:t>
      </w:r>
      <w:r>
        <w:rPr>
          <w:rFonts w:ascii="Arial" w:cs="Arial" w:eastAsia="Arial" w:hAnsi="Arial"/>
          <w:sz w:val="18"/>
          <w:szCs w:val="18"/>
          <w:color w:val="auto"/>
        </w:rPr>
        <w:t>. We are committed to abiding by the strictest privacy standards and do not sell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data to outside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Duolingo Language Learning App</w:t>
      </w:r>
    </w:p>
    <w:p>
      <w:pPr>
        <w:spacing w:after="0" w:line="20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The Duolingo language learning app is the world’s most popular way to learn languages. Accessible for free, as of December 2021 it offers courses in over 40 languages to approximately 42 million monthly active users. It is also the top-grossing app globally in the Education category on both Google Play and the Apple App Store. Duolingo can also be accessed by desktop computers via a web browser at https://duolingo.com.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Plus</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While all course content on Duolingo can be accessed for free, our subscription offering, Duolingo Plus, offers learners additional features to enhance their learning experience. In 2021, we launched a family plan, which includes up to six subscribers under one annual plan for $119.99.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English Test: AI-Driven Language Assessment</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Launched in 2016, the Duolingo English Test is an online, on-demand, high-stakes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 As of December 2021, it generally costs $49 per test.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For Schools</w:t>
      </w:r>
    </w:p>
    <w:p>
      <w:pPr>
        <w:spacing w:after="0" w:line="207"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Duolingo for Schools is a free, web-based tool that aims to make it easier for teachers to use the Duolingo platform in a structured learning environment, like a classroom. With Duolingo for Schools, teachers can create a dashboard for a class, assign specific Duolingo content to students and track students’ progress through the content.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ABC</w:t>
      </w:r>
    </w:p>
    <w:p>
      <w:pPr>
        <w:spacing w:after="0" w:line="20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Introduced in 2020, Duolingo ABC is a free app that teaches children ages three to six early literacy skills. Developed by learning experts, Duolingo ABC is aligned with the Common Core State Standards, and is designed based on recommendations by the National Reading Panel.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Attracting and retaining amazing talent is key to our success. As of December 31, 2021, we had over 500 employees. Most of our employees are located at our headquarters in Pittsburgh, Pennsylvania, and we also have offices in New York, Seattle, Beijing and Berlin. We believe that being located outside of Silicon Valley has helped us cultivate a unique company culture.</w:t>
      </w:r>
    </w:p>
    <w:p>
      <w:pPr>
        <w:spacing w:after="0" w:line="149"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Fundamental to Duolingo's culture is our mission orientation. Our mission tends to attract a certain kind of person. Our employees have a very strong sense of social responsibility and are interested in solving hard problems for the benefit of humanity. Over time, we have also developed nine “operating principles” that articulate our values as a company and help guide how we make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Learners first. </w:t>
      </w:r>
      <w:r>
        <w:rPr>
          <w:rFonts w:ascii="Arial" w:cs="Arial" w:eastAsia="Arial" w:hAnsi="Arial"/>
          <w:sz w:val="18"/>
          <w:szCs w:val="18"/>
          <w:color w:val="auto"/>
        </w:rPr>
        <w:t>Our mission and reason for existing is to make sure everyone in the world has access to high-quality education.</w:t>
      </w:r>
    </w:p>
    <w:p>
      <w:pPr>
        <w:spacing w:after="0" w:line="171"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Take the long view. </w:t>
      </w:r>
      <w:r>
        <w:rPr>
          <w:rFonts w:ascii="Arial" w:cs="Arial" w:eastAsia="Arial" w:hAnsi="Arial"/>
          <w:sz w:val="18"/>
          <w:szCs w:val="18"/>
          <w:color w:val="auto"/>
        </w:rPr>
        <w:t>If it works in the short-term but hurts Duolingo in the long-term, it’s not right. We make decisions that keep us</w:t>
      </w:r>
      <w:r>
        <w:rPr>
          <w:rFonts w:ascii="Arial" w:cs="Arial" w:eastAsia="Arial" w:hAnsi="Arial"/>
          <w:sz w:val="18"/>
          <w:szCs w:val="18"/>
          <w:b w:val="1"/>
          <w:bCs w:val="1"/>
          <w:color w:val="auto"/>
        </w:rPr>
        <w:t xml:space="preserve"> </w:t>
      </w:r>
      <w:r>
        <w:rPr>
          <w:rFonts w:ascii="Arial" w:cs="Arial" w:eastAsia="Arial" w:hAnsi="Arial"/>
          <w:sz w:val="18"/>
          <w:szCs w:val="18"/>
          <w:color w:val="auto"/>
        </w:rPr>
        <w:t>moving toward our big goals.</w:t>
      </w:r>
    </w:p>
    <w:p>
      <w:pPr>
        <w:spacing w:after="0" w:line="9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Prioritize ruthlessly. </w:t>
      </w:r>
      <w:r>
        <w:rPr>
          <w:rFonts w:ascii="Arial" w:cs="Arial" w:eastAsia="Arial" w:hAnsi="Arial"/>
          <w:sz w:val="18"/>
          <w:szCs w:val="18"/>
          <w:color w:val="auto"/>
        </w:rPr>
        <w:t>We can’t execute on every good idea. We prioritize the few ideas with the greatest impact so we can put our</w:t>
      </w:r>
      <w:r>
        <w:rPr>
          <w:rFonts w:ascii="Arial" w:cs="Arial" w:eastAsia="Arial" w:hAnsi="Arial"/>
          <w:sz w:val="18"/>
          <w:szCs w:val="18"/>
          <w:b w:val="1"/>
          <w:bCs w:val="1"/>
          <w:color w:val="auto"/>
        </w:rPr>
        <w:t xml:space="preserve"> </w:t>
      </w:r>
      <w:r>
        <w:rPr>
          <w:rFonts w:ascii="Arial" w:cs="Arial" w:eastAsia="Arial" w:hAnsi="Arial"/>
          <w:sz w:val="18"/>
          <w:szCs w:val="18"/>
          <w:color w:val="auto"/>
        </w:rPr>
        <w:t>best efforts behind them.</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Strive for excellence</w:t>
      </w:r>
      <w:r>
        <w:rPr>
          <w:rFonts w:ascii="Arial" w:cs="Arial" w:eastAsia="Arial" w:hAnsi="Arial"/>
          <w:sz w:val="18"/>
          <w:szCs w:val="18"/>
          <w:color w:val="auto"/>
        </w:rPr>
        <w:t>. To change how the world learns, we must do world-class work. From the people we hire to the features we</w:t>
      </w:r>
      <w:r>
        <w:rPr>
          <w:rFonts w:ascii="Arial" w:cs="Arial" w:eastAsia="Arial" w:hAnsi="Arial"/>
          <w:sz w:val="18"/>
          <w:szCs w:val="18"/>
          <w:b w:val="1"/>
          <w:bCs w:val="1"/>
          <w:color w:val="auto"/>
        </w:rPr>
        <w:t xml:space="preserve"> </w:t>
      </w:r>
      <w:r>
        <w:rPr>
          <w:rFonts w:ascii="Arial" w:cs="Arial" w:eastAsia="Arial" w:hAnsi="Arial"/>
          <w:sz w:val="18"/>
          <w:szCs w:val="18"/>
          <w:color w:val="auto"/>
        </w:rPr>
        <w:t>ship, we never settle for just okay.</w:t>
      </w:r>
    </w:p>
    <w:p>
      <w:pPr>
        <w:spacing w:after="0" w:line="98"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We haven’t won yet. </w:t>
      </w:r>
      <w:r>
        <w:rPr>
          <w:rFonts w:ascii="Arial" w:cs="Arial" w:eastAsia="Arial" w:hAnsi="Arial"/>
          <w:sz w:val="18"/>
          <w:szCs w:val="18"/>
          <w:color w:val="auto"/>
        </w:rPr>
        <w:t>Until every person who wants to learn is doing so with Duolingo, we need to keep innovating, pushing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and learning ways to get better.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Test everything. </w:t>
      </w:r>
      <w:r>
        <w:rPr>
          <w:rFonts w:ascii="Arial" w:cs="Arial" w:eastAsia="Arial" w:hAnsi="Arial"/>
          <w:sz w:val="18"/>
          <w:szCs w:val="18"/>
          <w:color w:val="auto"/>
        </w:rPr>
        <w:t>We measure and test everything so we can make informed decisions based on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Ship it. </w:t>
      </w:r>
      <w:r>
        <w:rPr>
          <w:rFonts w:ascii="Arial" w:cs="Arial" w:eastAsia="Arial" w:hAnsi="Arial"/>
          <w:sz w:val="18"/>
          <w:szCs w:val="18"/>
          <w:color w:val="auto"/>
        </w:rPr>
        <w:t>For a good idea to become reality, it needs a plan and a sense of urgency. So go go go!</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All for one, and one for all. </w:t>
      </w:r>
      <w:r>
        <w:rPr>
          <w:rFonts w:ascii="Arial" w:cs="Arial" w:eastAsia="Arial" w:hAnsi="Arial"/>
          <w:sz w:val="18"/>
          <w:szCs w:val="18"/>
          <w:color w:val="auto"/>
        </w:rPr>
        <w:t>We stay engaged and make choices that benefit the greater good — because Duolingo’s success is our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Be candid and kind. </w:t>
      </w:r>
      <w:r>
        <w:rPr>
          <w:rFonts w:ascii="Arial" w:cs="Arial" w:eastAsia="Arial" w:hAnsi="Arial"/>
          <w:sz w:val="18"/>
          <w:szCs w:val="18"/>
          <w:color w:val="auto"/>
        </w:rPr>
        <w:t>We build things together with transparency and care for each other. We offer feedback compassionately but</w:t>
      </w:r>
      <w:r>
        <w:rPr>
          <w:rFonts w:ascii="Arial" w:cs="Arial" w:eastAsia="Arial" w:hAnsi="Arial"/>
          <w:sz w:val="18"/>
          <w:szCs w:val="18"/>
          <w:b w:val="1"/>
          <w:bCs w:val="1"/>
          <w:color w:val="auto"/>
        </w:rPr>
        <w:t xml:space="preserve"> </w:t>
      </w:r>
      <w:r>
        <w:rPr>
          <w:rFonts w:ascii="Arial" w:cs="Arial" w:eastAsia="Arial" w:hAnsi="Arial"/>
          <w:sz w:val="18"/>
          <w:szCs w:val="18"/>
          <w:color w:val="auto"/>
        </w:rPr>
        <w:t>with excellence in mind, and receive it openly and as an opportunity to grow.</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result of our mission, our culture, and the challenges we work on every day, we believe we have had great success in attracting the best talent. We have a very selective recruitment process: we hire one out of every 340 applicants. We recruit interns and new graduates from the top computer science, design, and business programs in the country. We also recruit experienced professionals from top technology companies—and many of them relocate from Silicon Valley to Pittsburgh.</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Diversity, Equity, Inclusion, and Belonging is also core to who we are. We are proud to say that Duolingo was founded by two immigrants and that our employees come from over 30 countries. More than half of our employees are women-identifying or people of color. A third of our C-suite executives are women-identifying, including our Chief People Officer, Chief Marketing Officer, and Senior Vice President of Engineering. Today, our engineering organization is more than 30% women-identifying.</w:t>
      </w:r>
    </w:p>
    <w:p>
      <w:pPr>
        <w:spacing w:after="0" w:line="1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Employees also stay at Duolingo for a long time. In 2021, our annual attrition was less than 6%. We believe that the longevity of our employees provides us with a key advantage.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114" w:lineRule="exact"/>
        <w:rPr>
          <w:sz w:val="20"/>
          <w:szCs w:val="20"/>
          <w:color w:val="auto"/>
        </w:rPr>
      </w:pPr>
    </w:p>
    <w:p>
      <w:pPr>
        <w:ind w:left="660" w:right="30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Brand campaigns</w:t>
      </w:r>
      <w:r>
        <w:rPr>
          <w:rFonts w:ascii="Arial" w:cs="Arial" w:eastAsia="Arial" w:hAnsi="Arial"/>
          <w:sz w:val="18"/>
          <w:szCs w:val="18"/>
          <w:color w:val="auto"/>
        </w:rPr>
        <w:t>. Our brand marketing increases awareness of Duolingo through online and offline campaigns that drive press,</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sharing, and more word-of-mouth virality. Investments in our brand enable us to drive long-term growth by attracting new learners to our platform and keeping existing learners engaged.</w:t>
      </w:r>
    </w:p>
    <w:p>
      <w:pPr>
        <w:spacing w:after="0" w:line="116"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Owned media marketing</w:t>
      </w:r>
      <w:r>
        <w:rPr>
          <w:rFonts w:ascii="Arial" w:cs="Arial" w:eastAsia="Arial" w:hAnsi="Arial"/>
          <w:sz w:val="18"/>
          <w:szCs w:val="18"/>
          <w:color w:val="auto"/>
        </w:rPr>
        <w:t>. Our owned media marketing engages our learner community, creating millions of brand advocates who</w:t>
      </w:r>
      <w:r>
        <w:rPr>
          <w:rFonts w:ascii="Arial" w:cs="Arial" w:eastAsia="Arial" w:hAnsi="Arial"/>
          <w:sz w:val="18"/>
          <w:szCs w:val="18"/>
          <w:b w:val="1"/>
          <w:bCs w:val="1"/>
          <w:color w:val="auto"/>
        </w:rPr>
        <w:t xml:space="preserve"> </w:t>
      </w:r>
      <w:r>
        <w:rPr>
          <w:rFonts w:ascii="Arial" w:cs="Arial" w:eastAsia="Arial" w:hAnsi="Arial"/>
          <w:sz w:val="18"/>
          <w:szCs w:val="18"/>
          <w:color w:val="auto"/>
        </w:rPr>
        <w:t>drive word-of-mouth virality by sharing their love of Duolingo within their networks. We send our learners personalized emails and push notifications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 progress reports, lesson reminders, and sometimes a simple message of positivity to encourage them to remain engaged.</w:t>
      </w:r>
    </w:p>
    <w:p>
      <w:pPr>
        <w:spacing w:after="0" w:line="149" w:lineRule="exact"/>
        <w:rPr>
          <w:sz w:val="20"/>
          <w:szCs w:val="20"/>
          <w:color w:val="auto"/>
        </w:rPr>
      </w:pPr>
    </w:p>
    <w:p>
      <w:pPr>
        <w:ind w:left="660" w:right="12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Paid acquisition</w:t>
      </w:r>
      <w:r>
        <w:rPr>
          <w:rFonts w:ascii="Arial" w:cs="Arial" w:eastAsia="Arial" w:hAnsi="Arial"/>
          <w:sz w:val="18"/>
          <w:szCs w:val="18"/>
          <w:color w:val="auto"/>
        </w:rPr>
        <w:t>. We complement and accelerate our organic user acquisition with strategic and targeted paid marketing spend.</w:t>
      </w:r>
      <w:r>
        <w:rPr>
          <w:rFonts w:ascii="Arial" w:cs="Arial" w:eastAsia="Arial" w:hAnsi="Arial"/>
          <w:sz w:val="18"/>
          <w:szCs w:val="18"/>
          <w:b w:val="1"/>
          <w:bCs w:val="1"/>
          <w:color w:val="auto"/>
        </w:rPr>
        <w:t xml:space="preserve"> </w:t>
      </w:r>
      <w:r>
        <w:rPr>
          <w:rFonts w:ascii="Arial" w:cs="Arial" w:eastAsia="Arial" w:hAnsi="Arial"/>
          <w:sz w:val="18"/>
          <w:szCs w:val="18"/>
          <w:color w:val="auto"/>
        </w:rPr>
        <w:t>Our paid acquisition strategy is focused on targeting high quality user segments that are more likely to subscribe and on investing in new markets to kickstart our organic growth.</w:t>
      </w:r>
    </w:p>
    <w:p>
      <w:pPr>
        <w:spacing w:after="0" w:line="116"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Geographic expansion</w:t>
      </w:r>
      <w:r>
        <w:rPr>
          <w:rFonts w:ascii="Arial" w:cs="Arial" w:eastAsia="Arial" w:hAnsi="Arial"/>
          <w:sz w:val="18"/>
          <w:szCs w:val="18"/>
          <w:color w:val="auto"/>
        </w:rPr>
        <w:t>. In markets where our organic awareness is relatively low and opportunity for growth is strong, we hire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local marketing managers and engage in localized social media and influencer-led campaigns, app store optimization, and paid advertising to generate interest in our products and drive new learner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r>
        <w:rPr>
          <w:rFonts w:ascii="Arial" w:cs="Arial" w:eastAsia="Arial" w:hAnsi="Arial"/>
          <w:sz w:val="18"/>
          <w:szCs w:val="18"/>
          <w:b w:val="1"/>
          <w:bCs w:val="1"/>
          <w:color w:val="auto"/>
        </w:rPr>
        <w:t>:</w:t>
      </w:r>
    </w:p>
    <w:p>
      <w:pPr>
        <w:spacing w:after="0" w:line="171" w:lineRule="exact"/>
        <w:rPr>
          <w:sz w:val="20"/>
          <w:szCs w:val="20"/>
          <w:color w:val="auto"/>
        </w:rPr>
      </w:pPr>
    </w:p>
    <w:p>
      <w:pPr>
        <w:ind w:left="660" w:right="10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Mobile-first behaviors are reshaping industries. </w:t>
      </w:r>
      <w:r>
        <w:rPr>
          <w:rFonts w:ascii="Arial" w:cs="Arial" w:eastAsia="Arial" w:hAnsi="Arial"/>
          <w:sz w:val="18"/>
          <w:szCs w:val="18"/>
          <w:color w:val="auto"/>
        </w:rPr>
        <w:t>In categories ranging from retail to music to dating, consumers are increasingly</w:t>
      </w:r>
      <w:r>
        <w:rPr>
          <w:rFonts w:ascii="Arial" w:cs="Arial" w:eastAsia="Arial" w:hAnsi="Arial"/>
          <w:sz w:val="18"/>
          <w:szCs w:val="18"/>
          <w:b w:val="1"/>
          <w:bCs w:val="1"/>
          <w:color w:val="auto"/>
        </w:rPr>
        <w:t xml:space="preserve"> </w:t>
      </w:r>
      <w:r>
        <w:rPr>
          <w:rFonts w:ascii="Arial" w:cs="Arial" w:eastAsia="Arial" w:hAnsi="Arial"/>
          <w:sz w:val="18"/>
          <w:szCs w:val="18"/>
          <w:color w:val="auto"/>
        </w:rPr>
        <w:t>gravitating to mobile, app-based experiences. We believe that consumer behavior will continue to be shaped by a preference for the convenient, on-demand nature of mobile experiences.</w:t>
      </w:r>
    </w:p>
    <w:p>
      <w:pPr>
        <w:spacing w:after="0" w:line="116"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 from offline</w:t>
      </w:r>
      <w:r>
        <w:rPr>
          <w:rFonts w:ascii="Arial" w:cs="Arial" w:eastAsia="Arial" w:hAnsi="Arial"/>
          <w:sz w:val="18"/>
          <w:szCs w:val="18"/>
          <w:b w:val="1"/>
          <w:bCs w:val="1"/>
          <w:color w:val="auto"/>
        </w:rPr>
        <w:t xml:space="preserve"> </w:t>
      </w:r>
      <w:r>
        <w:rPr>
          <w:rFonts w:ascii="Arial" w:cs="Arial" w:eastAsia="Arial" w:hAnsi="Arial"/>
          <w:sz w:val="18"/>
          <w:szCs w:val="18"/>
          <w:color w:val="auto"/>
        </w:rPr>
        <w:t>to online. However, the COVID-19 pandemic accelerated the already growing shift towards online learning, and we believe its effects are likely to be enduring.</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Online learners seek engaging, mobile-first experiences. </w:t>
      </w:r>
      <w:r>
        <w:rPr>
          <w:rFonts w:ascii="Arial" w:cs="Arial" w:eastAsia="Arial" w:hAnsi="Arial"/>
          <w:sz w:val="18"/>
          <w:szCs w:val="18"/>
          <w:color w:val="auto"/>
        </w:rPr>
        <w:t>Consumers are increasingly accustomed to the highly engaging design</w:t>
      </w:r>
      <w:r>
        <w:rPr>
          <w:rFonts w:ascii="Arial" w:cs="Arial" w:eastAsia="Arial" w:hAnsi="Arial"/>
          <w:sz w:val="18"/>
          <w:szCs w:val="18"/>
          <w:b w:val="1"/>
          <w:bCs w:val="1"/>
          <w:color w:val="auto"/>
        </w:rPr>
        <w:t xml:space="preserve"> </w:t>
      </w:r>
      <w:r>
        <w:rPr>
          <w:rFonts w:ascii="Arial" w:cs="Arial" w:eastAsia="Arial" w:hAnsi="Arial"/>
          <w:sz w:val="18"/>
          <w:szCs w:val="18"/>
          <w:color w:val="auto"/>
        </w:rPr>
        <w:t>of social media apps and mobile games. We believe that consumers turning to online learning will not only prefer the convenience and control that mobile apps provide, but also expect experiences to be highly engaging.</w:t>
      </w:r>
    </w:p>
    <w:p>
      <w:pPr>
        <w:spacing w:after="0" w:line="116" w:lineRule="exact"/>
        <w:rPr>
          <w:rFonts w:ascii="Arial" w:cs="Arial" w:eastAsia="Arial" w:hAnsi="Arial"/>
          <w:sz w:val="18"/>
          <w:szCs w:val="18"/>
          <w:color w:val="auto"/>
        </w:rPr>
      </w:pPr>
    </w:p>
    <w:p>
      <w:pPr>
        <w:jc w:val="both"/>
        <w:ind w:left="660" w:right="8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Adoption of subscription models is growing globally. </w:t>
      </w:r>
      <w:r>
        <w:rPr>
          <w:rFonts w:ascii="Arial" w:cs="Arial" w:eastAsia="Arial" w:hAnsi="Arial"/>
          <w:sz w:val="18"/>
          <w:szCs w:val="18"/>
          <w:color w:val="auto"/>
        </w:rPr>
        <w:t>Rising adoption of subscription models across the globe is further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shift towards mobile experiences. We believe that as subscriptions increase in popularity across categories, consumers will also gravitate towards subscription models in online learning.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our relentless focus on building an engaging and effective language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successfully depends primarily on the following factors:</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growth in internet access and mobile adoption around the world;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to increase our learner base through organic, word-of-mouth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scale, growth and engagement of our learners relative to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3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introduce new, and improve on existing, features and products in response to competition, learner preferences, and market and industry trends;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own several trademarks that have been registered, or for which registration applications are pending, in the United States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registered several domain names, including www.duolingo.com, and we own several registered copyrights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the described trademark and domain name protection, Duolingo has filed two patent applications directed to proprietary techniques we developed for generating language proficiency test questions and evaluating language proficiency as part of an on-going program to identify and protect innovations developed by the company. We expect that this program will continue and increase in size going forward. For information regarding risks related to our intellectual property, please see “Risk Factors—Risks Related to Our Intellectual Property.”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collect and use personal information to create online accounts, process e-commerce transactions, provide customer service, support, and for other purposes. The regulatory framework for data protection, privacy and information security is evolving rapidly. The US Federal Trade Commission (“FTC”) and many state attorneys general are applying federal and state consumer protection laws to require that the online collection, use and dissemination of data, the presentation of website or other electronic content, and comply with certain standards for notice, choice, security and access. Courts may also adopt these developing standards. A number of states, including California and Virginia, have enacted laws or are considering the enactment of laws governing the personal information received from consumers, or imposing new requirements around the collection, use, sharing, and handling of data collected from or about consumers or their devices. In many cases, the specific limitations imposed by these standards are subject to interpretation by courts and other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Children’s Online Privacy Protection Act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Our language learning app is aimed at a general audience and we employ an age-gating procedure whereby anyone from the United States identifying themselves as being under the age of 13 during the registration process receives an ad-free version of the service, with special enrollment procedures and restricted information practices. We also apply age-gating for non-US users of the language learning app according to foreign laws. The Duolingo English Test service requires parental consent for users under the age of 13. The Duolingo ABC app is aimed at users under the age of 13 but does not collect personal information directly from the user beyond that required to use the app.</w:t>
      </w:r>
    </w:p>
    <w:p>
      <w:pPr>
        <w:spacing w:after="0" w:line="156"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have many subscribers who access and pay for our services from outside the United States. Foreign data protection, e-commerce, privacy,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For example, in the EEA we are subject to the GDPR and in the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data subject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processing activities; and complying with the principle of accountability and the obligation to demonstrate compliance through policies, procedures, training and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website address is www.duolingo.com. The contents of, or information accessible through, our website are not part of this Annual Report on Form 10-K. We make our filings with the SEC, including our Annual Report on Form 10-K, Quarterly Reports on Form 10-Q, Current Reports on Form 8-K, proxy statements, reports under Section 16 of the Exchange Act and all amendments to those reports, available free of charge on our website as soon as reasonably practicable after we file such reports with, or furnish such reports to, the SEC. The reference to our website address does not constitute incorporation by reference of the information contained on or available through our website, and you should not consider such information to be a part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i w:val="1"/>
          <w:iCs w:val="1"/>
          <w:color w:val="auto"/>
        </w:rPr>
        <w:t xml:space="preserve">Our business, operations and financial results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contained in this </w:t>
      </w:r>
      <w:r>
        <w:rPr>
          <w:rFonts w:ascii="Arial" w:cs="Arial" w:eastAsia="Arial" w:hAnsi="Arial"/>
          <w:sz w:val="18"/>
          <w:szCs w:val="18"/>
          <w:color w:val="auto"/>
        </w:rPr>
        <w:t>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r>
        <w:rPr>
          <w:rFonts w:ascii="Arial" w:cs="Arial" w:eastAsia="Arial" w:hAnsi="Arial"/>
          <w:sz w:val="18"/>
          <w:szCs w:val="18"/>
          <w:i w:val="1"/>
          <w:iCs w:val="1"/>
          <w:color w:val="auto"/>
        </w:rPr>
        <w:t>, including Part II, Item 7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the financial statements and the related notes. If any of the following risks actually occur, it could harm our business, prospects, operating results, and financial condition and future prospects. In such event, the market price of our Class A common stock could decline and you could lose all or part of your investment. Additional risks and uncertainties not presently known to us or that we currently deem immaterial may also impair our business operations. This </w:t>
      </w:r>
      <w:r>
        <w:rPr>
          <w:rFonts w:ascii="Arial" w:cs="Arial" w:eastAsia="Arial" w:hAnsi="Arial"/>
          <w:sz w:val="18"/>
          <w:szCs w:val="18"/>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i w:val="1"/>
          <w:iCs w:val="1"/>
          <w:color w:val="auto"/>
        </w:rPr>
        <w:t>also contains forward-looking statements that involve risks and uncertainties. Our actual results could differ materially from those anticipated in the forward-looking statements as a result of factors that are described below and elsewhere in this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3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4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171"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14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2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14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143"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language learning, we also compete with language learning assessment providers and literacy platforms and may compete with other kinds of online learning platforms in the future.</w:t>
      </w:r>
    </w:p>
    <w:p>
      <w:pPr>
        <w:spacing w:after="0" w:line="14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11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December 31, 2021, our headcount grew from approximately 140 employees to over 500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2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3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errors in our forecasting of the demand for our products and services, which could lead to lower revenue or increased costs, or both;</w:t>
      </w:r>
    </w:p>
    <w:p>
      <w:pPr>
        <w:spacing w:after="0" w:line="171"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43" w:lineRule="exact"/>
        <w:rPr>
          <w:rFonts w:ascii="Arial" w:cs="Arial" w:eastAsia="Arial" w:hAnsi="Arial"/>
          <w:sz w:val="18"/>
          <w:szCs w:val="18"/>
          <w:color w:val="auto"/>
        </w:rPr>
      </w:pPr>
    </w:p>
    <w:p>
      <w:pPr>
        <w:ind w:left="660" w:righ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current COVID-19 outbreak, lower consumer confidence in our business or in the online learning industry generally, recessionary conditions, increased inflation, increased unemployment rates, stagnant or declining wages, political unrest, armed conflicts, or natural disasters.</w:t>
      </w:r>
    </w:p>
    <w:p>
      <w:pPr>
        <w:spacing w:after="0" w:line="16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6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As of December 31, 2021 we paid Apple and Google, as applicable, a meaningful share (generally 15-30%) of the revenue we receive from transactions processed through in-app payment systems. In 2021, we derived 50% of our revenue and 53% of our total bookings from the Apple App Store, and 20% of our revenue and 21% of our total bookings from the Google Play Store. The timing of their payments also may change, which may negatively impact our cash receipts and working capital. While we do not anticipate any interruption in their distribution platforms or ability to accept customer payments, any such disruptions, even temporary, may have material impacts on our business and operations.</w:t>
      </w:r>
    </w:p>
    <w:p>
      <w:pPr>
        <w:spacing w:after="0" w:line="15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5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April 2021 Apple released an update of iOS that requires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This led to a reduction in the use of identifiers, and a more challenging environment for publishers and advertisers on iOS devices.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jc w:val="both"/>
        <w:ind w:right="260"/>
        <w:spacing w:after="0" w:line="26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auto"/>
        </w:rPr>
        <w:t>significant interruption in our network or hosting and cloud services could adversely impact our operations and harm our business.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5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Any failure, disruption or interference with our use of hosted cloud computing services and systems provided by third-parties, like AWS or Google Cloud, could adversely impact our business, financial condition or results of operations. For example, on December 7, 2021, an outage of the AWS platform caused Duolingo to go offline for over 5 hours.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2021, approximately 15% of our total revenues were derived from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maintain or increase user engagement and satisfaction with our products, and enhance returns for our advertising partners. If our relationship with any advertising partners terminates for any reason, or if the commercial terms of our relationships are changed or do not continue to be renewed on favorable terms, or if we cannot source high-quality ads consistent with our brand or product experience, we would need to qualify new advertising partners, which could negatively impact our revenues, at least in the short term.</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While the described changes did not result in material adverse impacts to us, the impact of similar potential future operating systems changes or potential future regulation on targeted advertising is highly uncertain.</w:t>
      </w:r>
    </w:p>
    <w:p>
      <w:pPr>
        <w:spacing w:after="0" w:line="11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years ended December 31, 2021 and 2020, our sales and marketing expenses were $59.2 million and $35.0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consultants and third party providers could engage in misconduct that materially adversely affects us.”</w:t>
      </w:r>
    </w:p>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materially adversely affect our business, brand image or reputation..”</w:t>
      </w:r>
    </w:p>
    <w:p>
      <w:pPr>
        <w:spacing w:after="0" w:line="13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3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47"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43"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14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5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For instance, in the fall of 2021 our language learning application became unavailable for download on most app stores in China. While we believe this is temporary and we are in discussions with authorities that we believe will result in us being restored to such app stores, it serves as an example of how the Chinese regulatory regime could adversely impact our efforts in China. Our office of approximately 24 employees in Beijing makes it easier for the Chinese authorities to bring enforcement actions against us.</w:t>
      </w:r>
    </w:p>
    <w:p>
      <w:pPr>
        <w:spacing w:after="0" w:line="1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recent COVID-19 pandemic or other similar outbreaks.</w:t>
      </w:r>
    </w:p>
    <w:p>
      <w:pPr>
        <w:spacing w:after="0" w:line="13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and consumer confidence and spending, and could materially adversely affect demand, or users’ ability to pay, for our products and services.</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public health epidemic or pandemic, including the COVID-19 pandemic,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Furthermore health crises such as COVID-19 may disrupt or alter behaviors of large numbers of users or potential users due to either mandated stay at home orders or the lifting of such orders or non-mandated changes in consumer behavior. The impact of such changes are very hard to predict and could either serve to accelerate, slow down or just make less predictable user growth and behavior, all of which could negatively impact our operating results and our ability to predict them.</w:t>
      </w:r>
    </w:p>
    <w:p>
      <w:pPr>
        <w:spacing w:after="0" w:line="152" w:lineRule="exact"/>
        <w:rPr>
          <w:sz w:val="20"/>
          <w:szCs w:val="20"/>
          <w:color w:val="auto"/>
        </w:rPr>
      </w:pPr>
    </w:p>
    <w:p>
      <w:pPr>
        <w:ind w:right="680"/>
        <w:spacing w:after="0" w:line="269"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Annual Report on Form 10-K,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factors, such as consumer confidence in future economic conditions, fears of recession, inflation,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15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5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 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54"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2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5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may not be obtained and some pending transactions may not be processed, which could materially adversely affect our business, financial condition and results of operations.</w:t>
      </w:r>
    </w:p>
    <w:p>
      <w:pPr>
        <w:spacing w:after="0" w:line="14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Our third party payment service providers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5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49"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11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improper access to or disclosure of our data or user data, other hacking and phishing attacks on our systems, or other cyber incidents could compromise sensitive information related to our business and/or personal data processed by us or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behalf and expose us to liability, which could harm our reputation and materially adversely affect our business.”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3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32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5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Annual Report on Form 10-K may prove to be inaccurate, and even if the market in which we compete achieves the forecasted growth, our business could fail to grow at similar rates, if at all.</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Market opportunity estimates and expectations about market growth included in this Annual Report on Form 10-K are subject to significant uncertainty and are based on assumptions and estimates that may not prove to be accurate. Even if the markets in which we compete meet the size estimates and growth expectations included in this Annual Report on Form 10-K, our business could fail to grow for a variety of reasons, which could adversely affect our results of operations.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52"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failure to comply with US and foreign export controls, sanctions and other trade laws and regulations could have a material adverse effect on our business.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rules and regulations of the United States and other relevant authorities relating to export controls and economic and trade sanctions, including sanctions administered by the Office of Foreign Assets Control (“OFAC”) within the US Department of the Treasury, as well as the Export Administration Regulations (i.e. export controls) administered by the Department of Commerce. These laws and regulations limit our ability to market, sell, distribute or otherwise transfer our products, software, or technology to, or otherwise transact or deal with, certain countries, territories, governments, and persons, absent US government permissions or exemptions.</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Further, we have historically provided services to users in countries that are the target of US sanctions, such as Syria. We believe our provision of such services is in compliance with applicable law, and have implemented various control mechanisms to maintain such compliance. We have also secured a license from OFAC to provide certain of our services to end-users in Syria. There is no assurance that OFAC will agree to extend or renew our license.</w:t>
      </w:r>
    </w:p>
    <w:p>
      <w:pPr>
        <w:spacing w:after="0" w:line="1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1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United Kingdom data protection regime consisting primarily of (i) the UK General Data Protection Regulation and (ii) the UK Data Protection Act 2018 (collectively (i) and (ii), the UK GDPR), the Personal Information Protection Law (“PIPL”) in China,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and control how their personal data is processed, impose obligations on our ability to share personal data with others, limit the geographic locations in which we can store personal data, and potentially subject us to fines, lawsuits, and regulatory scrutiny.</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 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Part I, Item 3.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(“Brexit”)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5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5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6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2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134"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5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6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to develop or be maintained for our Class A common stock.</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 active public trading market for shares of our Class A common stock may not continue to develop or be sustained. If an active public market does not continue to develop or is not sustained, it may be difficult for you to sell your shares of Class A common stock at a price that is attractive to you, or at all. The lack of an active market may also reduce the fair market value of your shares.</w:t>
      </w:r>
    </w:p>
    <w:p>
      <w:pPr>
        <w:spacing w:after="0" w:line="11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5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7" w:lineRule="exact"/>
        <w:rPr>
          <w:sz w:val="20"/>
          <w:szCs w:val="20"/>
          <w:color w:val="auto"/>
        </w:rPr>
      </w:pPr>
    </w:p>
    <w:p>
      <w:pPr>
        <w:ind w:right="146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92.4% of the voting power of our capital stock as of December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As of December 31, 2021, our directors, executive officers, and 5% stockholders and their affiliates held in the aggregate 92.4%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make our Class A common stock less attractive to other investors. As a result, the market price of our Class A common stock could be materially adversely affected.</w:t>
      </w:r>
    </w:p>
    <w:p>
      <w:pPr>
        <w:spacing w:after="0" w:line="1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drop significantly, even if our business is doing well.</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shares of Class A common stock sold in our IPO are freely tradable without restrictions or further registration under the Securities Act except for any shares held by our affiliates as defined in Rule 144 under the Securities Act (“Rule 144”).</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Moreover, as of December 31, 2021, the holders of up to 13,798,082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Further, as of December 31, 2021, we had options outstanding that, if fully exercised, would result in the issuance of 5,220,500 shares of Class A common stock and 1,034,500 shares of Class B common stock, as well as 730,000 shares of Class A common stock issuable upon vesting and settlement of outstanding RSUs. We have registered on Form S-8 under the Securities Act the shares of our common stock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to outstanding stock options and RSUs as of the date of the Final Prospectus (defined below) and shares that will be issuable pursuant to future awards granted under our equity incentive plan. These shares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34"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We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13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2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affirmative vote of the holders of at least 66 2/3% of the voting power of all our then-outstanding shares of capital stock;</w:t>
      </w:r>
    </w:p>
    <w:p>
      <w:pPr>
        <w:spacing w:after="0" w:line="171" w:lineRule="exact"/>
        <w:rPr>
          <w:sz w:val="20"/>
          <w:szCs w:val="20"/>
          <w:color w:val="auto"/>
        </w:rPr>
      </w:pPr>
    </w:p>
    <w:p>
      <w:pPr>
        <w:ind w:left="660" w:right="4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151"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14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43"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130" w:lineRule="exact"/>
        <w:rPr>
          <w:sz w:val="20"/>
          <w:szCs w:val="20"/>
          <w:color w:val="auto"/>
        </w:rPr>
      </w:pPr>
    </w:p>
    <w:p>
      <w:pPr>
        <w:jc w:val="both"/>
        <w:ind w:left="660" w:right="60" w:hanging="328"/>
        <w:spacing w:after="0" w:line="27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registrant and, with respect to any criminal proceeding, had no reasonable cause to believe such person’s conduct was unlawful;</w:t>
      </w:r>
    </w:p>
    <w:p>
      <w:pPr>
        <w:spacing w:after="0" w:line="171" w:lineRule="exact"/>
        <w:rPr>
          <w:sz w:val="20"/>
          <w:szCs w:val="20"/>
          <w:color w:val="auto"/>
        </w:rPr>
      </w:pPr>
    </w:p>
    <w:p>
      <w:pPr>
        <w:ind w:left="660" w:right="10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7" w:lineRule="exact"/>
        <w:rPr>
          <w:rFonts w:ascii="Arial" w:cs="Arial" w:eastAsia="Arial" w:hAnsi="Arial"/>
          <w:sz w:val="18"/>
          <w:szCs w:val="18"/>
          <w:color w:val="auto"/>
        </w:rPr>
      </w:pPr>
    </w:p>
    <w:p>
      <w:pPr>
        <w:ind w:left="660" w:right="520" w:hanging="328"/>
        <w:spacing w:after="0" w:line="291"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9" w:lineRule="exact"/>
        <w:rPr>
          <w:rFonts w:ascii="Arial" w:cs="Arial" w:eastAsia="Arial" w:hAnsi="Arial"/>
          <w:sz w:val="17"/>
          <w:szCs w:val="17"/>
          <w:color w:val="auto"/>
        </w:rPr>
      </w:pPr>
    </w:p>
    <w:p>
      <w:pPr>
        <w:ind w:left="660" w:right="2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0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3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will remain an emerging growth company until the earliest of (1) December 31, 2026,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13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incurred as a private company. We are subject to the reporting requirements of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2" w:right="4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1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by the SEC and Nasdaq regarding our internal control over financial reporting. We may not complete needed improvements to our internal control over financial reporting in a timely manner, or these internal controls may not be determined to be effective, which may adversely affect investor confidence in our company and, as a result, the value of our Class A common stock and your investment .</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In support of such certifications, we will be required to document and make significant changes and enhancements, including potentially hiring additional personnel, to our internal control over financial reporting. Likewise, when we cease to be an “emerging growth company” as defined under the JOBS Act, our auditors will be required to express an opinion on the effectiveness of our internal controls, unless we are then eligible for any other exemption from such a requirement. As a result, we anticipate investing significant resources to enhance and maintain our financial and managerial controls, reporting systems, and procedures.</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date, neither our management nor our independent registered public accounting firm has performed an evaluation of our internal control over financial reporting in accordance with the requirements of Section 404 of the Sarbanes-Oxley Act because no such evaluation has been required. If our management is unable to certify the effectiveness of our internal controls, our independent registered public accounting firm is unable to express an unqualified opinion on the effectiveness of our internal control over financial reporting, we identify or fail to remediate material weaknesses in our internal controls, or we do not effectively or accurately report our financial performance to the appropriate regulators on a timely basis, we could be subject to regulatory scrutiny and a loss of investor confidence, which could significantly harm our reputation and our stock price, and materially adversely affect our business, results of operations, and financial condition.</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previously identified a material weakness in our internal control over financial reporting in fiscal year 2019.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reliable and timely financial reporting. While we believe we have remediated this material weakness as of December 31, 2021, we can give no assurance that additional material weaknesses will not be identified in the future. A material weakness is a deficiency, or combination of deficiencies, in internal control over financial reporting, such that there is a reasonable possibility that a material misstatement of our consolidated financial statements will not be prevented or detected on a timely basis. We cannot assure you that the measures we have taken to date, and actions we may take in the future, will be sufficient to prevent or avoid potential future material weaknesses. A material weakness 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spacing w:after="0" w:line="11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3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lease approximately 84,000 square feet in multiple facilities in Pittsburgh, Pennsylvania where we operate our headquarters. Our headquarters currently accommodates our principal executive, development, engineering, product, marketing, business development, human resources, finance, legal, information technology and administrative activities.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Outside of Pittsburgh, we and our subsidiaries in China and Germany use co-working space as needed for the business. As of December 31, 2021, we have membership agreements with WeWork for offices in or near New York, Seattle, Beijing, Tokyo, and Berlin.</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that our existing facilities are sufficient for our current needs. We believe that suitable additional or substitute space will be available as needed to accommodate changes in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Class A Common Stock</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“DUOL” since July 28, 2021. Prior to that date, there was no public trading market for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of March 3, 2022, there were 22,592,387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March 3, 2022, there were 16,032,907 stockholders of record of our Class B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our results of operations, financial condition,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graph below compares the cumulative total stockholder return on our Class A common stock with the cumulative total return on the Nasdaq Composite Index (“NASDAQ”),S&amp;P 500 Index (“S&amp;P 500”), and the S&amp;P 500 Information Technology Index (“S&amp;P 500 IT”). The graph assumes $100 was invested at the market close on July 28, 2021, which was the first day our Class A common stock began trading. Data for the Nasdaq Composite Index, S&amp;P 500 Index, and S&amp;P 500 Information Technology Index assume reinvestment of dividends. The graph uses the closing market price on July 28, 2021 of $134.26 per share as the initial value of our Class A common stock. The comparisons in the graph below are based upon historical data and are not indicative of, nor intended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5254625" cy="3257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Part I, Item 1A. “Risk Factors,” “Special Note Regarding Forward-Looking Statements,” and included elsewhere in this Annual Report on Form 10-K. A discussion of our audited financial statements and the notes for the fiscal year ended December 31, 2020 and the related notes has been reported previously in our final prospectus, dated as of July 27, 2021, filed pursuant to Rule 424(b)(4) (File No. 333-257483) with the SEC on July 28, 2021 (the “Final Prospectus”), under the heading “Management’s Discussion and Analysis of Financial Condition and Results of Operations.” Our historical results are not necessarily indicative of the results that may be expected for any periods in the future.</w:t>
      </w:r>
    </w:p>
    <w:p>
      <w:pPr>
        <w:spacing w:after="0" w:line="154"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flagship app has organically become the world’s most popular way to learn languages and the top-grossing Education app in the App Stores, offering courses in over 40 languages to approximately 42</w:t>
      </w:r>
    </w:p>
    <w:p>
      <w:pPr>
        <w:sectPr>
          <w:pgSz w:w="11900" w:h="16838" w:orient="portrait"/>
          <w:cols w:equalWidth="0" w:num="1">
            <w:col w:w="11200"/>
          </w:cols>
          <w:pgMar w:left="320" w:top="15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million monthly active users as of December 31, 2021. We believe that we have become the preeminent online destination for language learning due to our beautifully designed products, exceptional user engagement, and demonstrated learning efficacy.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On July 30, 2021, Duolingo completed its Initial Public Offering (“IPO”) of 5.9 million shares of its Class A common stock at a price to the public of $102.00 per share, 4.5 million of which were sold by the Company and 1.4 million of which were sold by certain selling stockholders, which includes the exercise in full by the underwriters of their option to purchase from the Company an additional 0.8 million shares of the Company’s Class A common stock. The gross proceeds to the Company from the IPO were $455.5 million, before deducting underwriting discounts and commissions and offering expenses payable by the Company. The Company did not receive any proceeds from the sale of shares of Class A common stock in the offering by the selling stockholders. Immediately prior to the completion of the IPO, all convertible preferred stock outstanding, totaling approximately 19.1 million shares, was automatically converted into an equivalent number of shares of Class B common stock on a one-to-one basis and their carrying value of $182.6 million was reclassified to additional paid-in capital within stockholders’ equity (deficit). Additionally, on July 15, 2021, 6.9 million shares held by our founders were exchanged from Class A common stock into Class B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Generate Revenue</w:t>
      </w:r>
    </w:p>
    <w:p>
      <w:pPr>
        <w:spacing w:after="0" w:line="2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108" w:lineRule="exact"/>
        <w:rPr>
          <w:sz w:val="20"/>
          <w:szCs w:val="20"/>
          <w:color w:val="auto"/>
        </w:rPr>
      </w:pPr>
    </w:p>
    <w:p>
      <w:pPr>
        <w:ind w:left="660" w:right="24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Large Market</w:t>
      </w:r>
      <w:r>
        <w:rPr>
          <w:rFonts w:ascii="Arial" w:cs="Arial" w:eastAsia="Arial" w:hAnsi="Arial"/>
          <w:sz w:val="18"/>
          <w:szCs w:val="18"/>
          <w:color w:val="auto"/>
        </w:rPr>
        <w:t>: There is an enormous pool of potential language learners globally that HolonIQ estimates at approximately 2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people.</w:t>
      </w:r>
    </w:p>
    <w:p>
      <w:pPr>
        <w:spacing w:after="0" w:line="98"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Free Users</w:t>
      </w:r>
      <w:r>
        <w:rPr>
          <w:rFonts w:ascii="Arial" w:cs="Arial" w:eastAsia="Arial" w:hAnsi="Arial"/>
          <w:sz w:val="18"/>
          <w:szCs w:val="18"/>
          <w:color w:val="auto"/>
        </w:rPr>
        <w:t>: Since none of our learning content is behind a paywall, anyone can download the Duolingo app, use it for as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they like, and complete any of our courses free of charge. This has allowed us to scale to 42 million MAUs for the quarter ended December 31, 2021. These millions of learners provide two benefits to our business model:</w:t>
      </w:r>
    </w:p>
    <w:p>
      <w:pPr>
        <w:spacing w:after="0" w:line="138"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They become advocates for Duolingo and provide word-of-mouth publicity for our product, which enables our growth and has allowed us to make very selective and efficient marketing investments.</w:t>
      </w:r>
    </w:p>
    <w:p>
      <w:pPr>
        <w:spacing w:after="0" w:line="143" w:lineRule="exact"/>
        <w:rPr>
          <w:rFonts w:ascii="Arial" w:cs="Arial" w:eastAsia="Arial" w:hAnsi="Arial"/>
          <w:sz w:val="18"/>
          <w:szCs w:val="18"/>
          <w:color w:val="auto"/>
        </w:rPr>
      </w:pPr>
    </w:p>
    <w:p>
      <w:pPr>
        <w:jc w:val="both"/>
        <w:ind w:left="1300" w:right="40" w:hanging="320"/>
        <w:spacing w:after="0" w:line="256" w:lineRule="auto"/>
        <w:tabs>
          <w:tab w:leader="none" w:pos="12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users complete over 500 million exercises every day, generating large amounts of data that powers our high-volume A/B testing and novel AI techniques. We use this data and the insights that come from it to continually improve both engagement and efficacy.</w:t>
      </w:r>
    </w:p>
    <w:p>
      <w:pPr>
        <w:spacing w:after="0" w:line="125" w:lineRule="exact"/>
        <w:rPr>
          <w:rFonts w:ascii="Arial" w:cs="Arial" w:eastAsia="Arial" w:hAnsi="Arial"/>
          <w:sz w:val="18"/>
          <w:szCs w:val="18"/>
          <w:color w:val="auto"/>
        </w:rPr>
      </w:pPr>
    </w:p>
    <w:p>
      <w:pPr>
        <w:jc w:val="both"/>
        <w:ind w:left="660" w:right="34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Paid Subscriber Conversion</w:t>
      </w:r>
      <w:r>
        <w:rPr>
          <w:rFonts w:ascii="Arial" w:cs="Arial" w:eastAsia="Arial" w:hAnsi="Arial"/>
          <w:sz w:val="18"/>
          <w:szCs w:val="18"/>
          <w:color w:val="auto"/>
        </w:rPr>
        <w:t>: As learners tend to use our product for months or even years before they decide to subscribe, we</w:t>
      </w:r>
      <w:r>
        <w:rPr>
          <w:rFonts w:ascii="Arial" w:cs="Arial" w:eastAsia="Arial" w:hAnsi="Arial"/>
          <w:sz w:val="18"/>
          <w:szCs w:val="18"/>
          <w:b w:val="1"/>
          <w:bCs w:val="1"/>
          <w:color w:val="auto"/>
        </w:rPr>
        <w:t xml:space="preserve"> </w:t>
      </w:r>
      <w:r>
        <w:rPr>
          <w:rFonts w:ascii="Arial" w:cs="Arial" w:eastAsia="Arial" w:hAnsi="Arial"/>
          <w:sz w:val="18"/>
          <w:szCs w:val="18"/>
          <w:color w:val="auto"/>
        </w:rPr>
        <w:t>enjoy economic benefits from attracting new users well into their tenure on the platform. In 2021, subscribers made up 6% of our average MAUs.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w:t>
      </w:r>
    </w:p>
    <w:p>
      <w:pPr>
        <w:spacing w:after="0" w:line="203"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Our subscription offering is called Duolingo Plus. It offers learners features such as an ad-free experience, along with additional learning and gamification features that enhance their learning experience. One such enhancement is unlimited Hearts, which give learners more flexibility in how they move through course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hours of engagement of our free users, and our ability to provide innovative advertising placements that are relevant to our users and enhance returns for our advertising partners.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In-app purchases consist of learners purchasing one-time benefits within the app, such as “streak freezes” and “timer boosts.”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monetizing the Duolingo language learning app, we generate revenue from the Duolingo English Test by charging test takers a one-time fee that generally costs $49. University program acceptance is a driver of Duolingo English Test revenue. As of December 31, 2021, over 3,000 higher education programs around the world accept the Duolingo English Test results as proof of English proficiency for international student admissions, including 18 of the top 20 undergraduate programs in the United States according to US News and World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Monthly active users (MAUs) and daily active users (DAUs), along with paid subscribers, are operating metrics that help inform management about the underlying growth in users of our platform, and are a measure of our monetization efforts. To calculate the year-over-year change in MAUs and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352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December 31,</w:t>
            </w:r>
          </w:p>
        </w:tc>
        <w:tc>
          <w:tcPr>
            <w:tcW w:w="3440" w:type="dxa"/>
            <w:vAlign w:val="bottom"/>
            <w:gridSpan w:val="3"/>
          </w:tcPr>
          <w:p>
            <w:pPr>
              <w:jc w:val="right"/>
              <w:ind w:right="75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(Operating metrics are in millions)</w:t>
            </w:r>
          </w:p>
        </w:tc>
        <w:tc>
          <w:tcPr>
            <w:tcW w:w="16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DBDBDB"/>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DBDBDB"/>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1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166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Paid subscribers (at period end)</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Subscription bookings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224,520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144,379</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bookings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294,247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190,181</w:t>
            </w:r>
          </w:p>
        </w:tc>
      </w:tr>
      <w:tr>
        <w:trPr>
          <w:trHeight w:val="28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 (GAAP)</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94"/>
        </w:trPr>
        <w:tc>
          <w:tcPr>
            <w:tcW w:w="7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7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13,976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jc w:val="both"/>
        <w:ind w:right="180"/>
        <w:spacing w:after="0" w:line="284"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 reported for a measurement period by taking the average of the MAUs for each calendar month in that measurement period. MAUs are a measure of the size of our global active user community on Duolingo.</w:t>
      </w:r>
    </w:p>
    <w:p>
      <w:pPr>
        <w:spacing w:after="0" w:line="138"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We had approximately 42.4 million and 37.0 million MAUs for the three months ended December 31, 2021 and 2020, respectively, representing an increase of 15%. We grew MAUs through product initiatives that made the app more social and engaging and through brand marketing, both of which helped us attract new users, retain existing users, and reengage the millions of former users who return to our language learning app.</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Daily active users (DAUs). </w:t>
      </w:r>
      <w:r>
        <w:rPr>
          <w:rFonts w:ascii="Arial" w:cs="Arial" w:eastAsia="Arial" w:hAnsi="Arial"/>
          <w:sz w:val="17"/>
          <w:szCs w:val="17"/>
          <w:color w:val="auto"/>
        </w:rPr>
        <w:t>DAUs are defined as unique Duolingo users who engage with our mobile language learning application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106"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We had approximately 10.1 million and 8.4 million DAUs for the three months ended December 31, 2021 and 2020, respectively, representing an increase of 20%. The DAU / MAU ratio, which we believe is an indicator of user engagement, increased to 23.8% from</w:t>
      </w:r>
    </w:p>
    <w:p>
      <w:pPr>
        <w:ind w:right="160"/>
        <w:spacing w:after="0" w:line="261" w:lineRule="auto"/>
        <w:rPr>
          <w:sz w:val="20"/>
          <w:szCs w:val="20"/>
          <w:color w:val="auto"/>
        </w:rPr>
      </w:pPr>
      <w:r>
        <w:rPr>
          <w:rFonts w:ascii="Arial" w:cs="Arial" w:eastAsia="Arial" w:hAnsi="Arial"/>
          <w:sz w:val="18"/>
          <w:szCs w:val="18"/>
          <w:color w:val="auto"/>
        </w:rPr>
        <w:t>22.8% a year ago. We grew DAUs through many of the same initiatives as we grew MAUs, like making the product more fun and engaging, as well as through our marketing efforts.</w:t>
      </w:r>
    </w:p>
    <w:p>
      <w:pPr>
        <w:spacing w:after="0" w:line="135"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Duolingo Plus, including subscribers who pay for a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129"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As of December 31, 2021 and 2020, we had approximately 2.5 million and 1.6 million paid subscribers, respectively, representing an increase of 56%. We grew paid subscribers through product improvements that increased the size of our free user base, led to higher conversion of free users to paid subscribers, and by better retaining subscribers.</w:t>
      </w:r>
    </w:p>
    <w:p>
      <w:pPr>
        <w:spacing w:after="0" w:line="139"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purchases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Duolingo Plus. Total bookings represent the amounts we receive from purchases of a subscription to Duolingo Plus, a registration for a Duolingo English Test, an in-app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purchase for a virtual good and from advertising networks for advertisements served to our users. We believe bookings provide an indication of trends in our operating results, including cash flows, that are not necessarily reflected in our revenues because we recognize subscription revenues ratably over the lifetime of a subscription, which is generally from one to twelve months.</w:t>
      </w:r>
    </w:p>
    <w:p>
      <w:pPr>
        <w:spacing w:after="0" w:line="1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years ended December 31, 2021 and 2020, we generated $224.5 million and $144.4 million of subscription bookings, respectively, representing an increase of 56%. We grew subscription bookings by selling more first-time and renewal subscriptions as well as subscriptions to subscribers who previously had a subscription and return. As we grow our user base, convert a greater proportion of users to first-time subscribers, increase renewal rates, and increase the proportion of re-subscribers, we increase subscription bookings.</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years ended December 31, 2021 and 2020, we generated $294.2 million and $190.2 million total bookings, respectively, representing an increase of 55%. We grew total bookings through the growth in subscription bookings noted above, in addition to growth in Advertising, Duolingo English Test, and other bookings.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We use certain non-GAAP financial measures to supplement our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13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Initial Public Offering (“IPO”) and public company readiness costs, stock-based compensation expenses related to equity awards, tender offer-related costs and other expenses.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evaluate companies in our industry. The following table presents a reconciliation of our net loss, the most directly comparable financial measure presented in accordance with GAAP, to Adjusted EBITDA.</w:t>
      </w:r>
    </w:p>
    <w:p>
      <w:pPr>
        <w:spacing w:after="0" w:line="15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IPO and public company readiness costs (1)</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 expenses related to equity awards (2)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17,031</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Tender offer-related costs (3)</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expenses (4)</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340" w:right="580" w:hanging="332"/>
        <w:spacing w:after="0" w:line="258"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our Consolidated Financial Statements included elsewhere in this Annual Report on Form 10-K as follows:</w:t>
      </w:r>
    </w:p>
    <w:tbl>
      <w:tblPr>
        <w:tblLayout w:type="fixed"/>
        <w:tblInd w:w="34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320" w:type="dxa"/>
            <w:vAlign w:val="bottom"/>
            <w:tcBorders>
              <w:bottom w:val="single" w:sz="8" w:color="DBDBDB"/>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DBDBDB"/>
          </w:tcPr>
          <w:p>
            <w:pPr>
              <w:jc w:val="right"/>
              <w:ind w:right="84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DBDBDB"/>
          </w:tcPr>
          <w:p>
            <w:pPr>
              <w:spacing w:after="0"/>
              <w:rPr>
                <w:sz w:val="15"/>
                <w:szCs w:val="15"/>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3,404</w:t>
            </w:r>
          </w:p>
        </w:tc>
        <w:tc>
          <w:tcPr>
            <w:tcW w:w="100" w:type="dxa"/>
            <w:vAlign w:val="bottom"/>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2"/>
        </w:trPr>
        <w:tc>
          <w:tcPr>
            <w:tcW w:w="732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3,909</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340" w:right="100" w:hanging="332"/>
        <w:spacing w:after="0" w:line="249"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addition to stock-compensation expense of $40,804 and $17,031 for the years ended December 31, 2021 and 2020, respectively, this includes costs incurred related to taxes paid during 2021 on equity transactions of $1,653, of which $631 was included within Research and development, $53 was included within Sales and marketing and $969 was included within General and administrative in our Consolidated Statement of Operations and Comprehensive Loss.</w:t>
      </w:r>
    </w:p>
    <w:p>
      <w:pPr>
        <w:spacing w:after="0" w:line="146" w:lineRule="exact"/>
        <w:rPr>
          <w:rFonts w:ascii="Arial" w:cs="Arial" w:eastAsia="Arial" w:hAnsi="Arial"/>
          <w:sz w:val="14"/>
          <w:szCs w:val="14"/>
          <w:color w:val="auto"/>
        </w:rPr>
      </w:pPr>
    </w:p>
    <w:p>
      <w:pPr>
        <w:ind w:left="340" w:right="380" w:hanging="332"/>
        <w:spacing w:after="0" w:line="258"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costs related to our tender offer initiated in February 2021 (see Note 9 to our Consolidated Financial Statements included elsewhere in this Annual Report on Form 10-K), including fees incurred, as follows:</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58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 of revenues</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Research and</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Sales and marketing</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360" w:type="dxa"/>
            <w:vAlign w:val="bottom"/>
          </w:tcPr>
          <w:p>
            <w:pPr>
              <w:spacing w:after="0"/>
              <w:rPr>
                <w:sz w:val="16"/>
                <w:szCs w:val="16"/>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development</w:t>
            </w:r>
          </w:p>
        </w:tc>
        <w:tc>
          <w:tcPr>
            <w:tcW w:w="16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administrative</w:t>
            </w:r>
          </w:p>
        </w:tc>
        <w:tc>
          <w:tcPr>
            <w:tcW w:w="3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Tender offer</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Borders>
              <w:top w:val="single" w:sz="8" w:color="DBDBDB"/>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1,790</w:t>
            </w:r>
          </w:p>
        </w:tc>
        <w:tc>
          <w:tcPr>
            <w:tcW w:w="8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Fees and taxes paid on tender offer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8"/>
        </w:trPr>
        <w:tc>
          <w:tcPr>
            <w:tcW w:w="25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2,114</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25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120" w:hanging="332"/>
        <w:spacing w:after="0" w:line="253"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and Comprehensive Loss. See Note 2 included in our Consolidated Financial Statements elsewhere in this Annual Report on Form 10-K.</w:t>
      </w:r>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Adjusted EBITDA increases as we grow revenue, improve gross margin, and reduce operating expenses as a percentage of revenue, or through a combination of those drivers. For the year ended December 31, 2021, we incurred a loss of $1.1 million and for the year ended December 31, 2020 we generated income of $3.6 million of Adjusted EBITDA, respectively. The decrease in Adjusted EBITDA occurred because operating expenses, adjusted for costs incurred related to IPO and public company readiness and other costs which did not occur in the prior year, grew at a higher rate than revenues and gross profit.</w:t>
      </w:r>
    </w:p>
    <w:p>
      <w:pPr>
        <w:spacing w:after="0" w:line="132"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and increased by IPO and public company readiness costs, taxes paid related to stock-based compensation equity awards and other costs, as we believe they are not indicative of future liquidity. We believe that free cash flow is a measure of liquidity that provides useful information to our management, investors and others in</w:t>
      </w:r>
    </w:p>
    <w:p>
      <w:pPr>
        <w:sectPr>
          <w:pgSz w:w="11900" w:h="16838" w:orient="portrait"/>
          <w:cols w:equalWidth="0" w:num="1">
            <w:col w:w="11240"/>
          </w:cols>
          <w:pgMar w:left="32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understanding and evaluating the strength of our liquidity and future ability to generate cash that can be used for strategic opportunities or investing in our business. The following table presents a reconciliation of net cash provided by operating activities, the most directly comparable financial measure calculated in accordance with GAAP, to free cash flow:</w:t>
      </w:r>
    </w:p>
    <w:p>
      <w:pPr>
        <w:spacing w:after="0" w:line="164"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Plus: IPO and public company readiness costs (1)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Plus: Taxes paid related to stock-based compensation equity awards (2)</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Plus: Other (3)</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12,746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13,976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340" w:right="580" w:hanging="332"/>
        <w:spacing w:after="0" w:line="258"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costs incurred related to taxes paid on equity transactions.</w:t>
      </w:r>
    </w:p>
    <w:p>
      <w:pPr>
        <w:spacing w:after="0" w:line="163" w:lineRule="exact"/>
        <w:rPr>
          <w:rFonts w:ascii="Arial" w:cs="Arial" w:eastAsia="Arial" w:hAnsi="Arial"/>
          <w:sz w:val="14"/>
          <w:szCs w:val="14"/>
          <w:color w:val="auto"/>
        </w:rPr>
      </w:pPr>
    </w:p>
    <w:p>
      <w:pPr>
        <w:jc w:val="both"/>
        <w:ind w:left="340" w:right="220" w:hanging="332"/>
        <w:spacing w:after="0" w:line="249"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one-time cash awards to Duolingo contributors under our non-employee volunteer program included within Sales and marketing expenses within our Consolidated Statement of Operations and Comprehensive Loss. See Note 2 to our Consolidated Financial Statements included elsewhere in this Annual Report on Form 10-K.</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years ended December 31, 2021 and 2020, we generated $12.7 million and $14.0 million of free cash flow, respectively. The decrease in free cash flow was mainly attributable to the decrease in net cash provided by operating activities in addition to higher capitalized software development costs and capital expenditures.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operating metrics and financial metrics for a period of time in 2020 due, in part, to stay at home and other social distancing measures, most notably in the second quarter. The pandemic also increased adoption of the Duolingo English Test. Because this increase was driven in part by increased acceptance of the test, and because we believe that the vast majority of universities are unlikely to stop accepting the test when the pandemic ends, we do not expect the Duolingo English Test to revert to pre-pandemic levels.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experience some seasonality in both user growth and monetization on our platform. Historically, the number of users on our platform and the number of subscribers we have increase in January and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moderate throughout the first quarter and second quarter back to our secular growth trend. In the third quarter, historically, we’ve seen the number of users on our platform increase as our product is used by students that return to school in certain geographies. Finally, in the latter part of December, as the new year approaches, we see an increase in usage as people make New Years resolutions, including resolutions to learn new things like languages. Monetization, through an increase in subscribers, also increases at the end of December and into January when we run a promotion tied to the New Year holiday.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for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generate revenues primarily from the sale of subscriptions. The term-length of our subscription agreements are primarily monthly or annual. We began to roll out a family plan during the second half of 2021 and as of December 31, 2021 offer it exclusively as an annual subscription. We have historically had a six-month subscription plan but during the fourth quarter of 2020, we began to phase it out. We also generate revenue from advertising, the in-app sale of virtual goods, and our English assessment test, the Duolingo English Test.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Cost of revenues predominantly consists of third-party payment processing fees charged by various distribution channels, and also includes hosting fees. To a much lesser extent, cost of revenues includes costs for contractors, wages and stock-based compensation for certain employees in the capacity of customer support, amortization of revenue generating capitalized software, and depreciation of certain property and equipment.</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of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compensation of engineers, designers, product managers, including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compensation, materials, travel and direct costs associated with the design and required testing of our platform. We expect engineers, designers, and product managers to represent a significant portion of our employees for the foreseeable future.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may not be well received or may take a long time for users to adopt. As a result, the benefits of our research and development investments may be difficult to forecast. We expect to continue to spend a significant portion of our revenues on research and development in the future.</w:t>
      </w:r>
    </w:p>
    <w:p>
      <w:pPr>
        <w:spacing w:after="0" w:line="13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employee-related compensation, including stock-based compensation for personnel engaged in sales and marketing functions, and amortization of non-revenue generating capitalized software used to promote Duolingo. We expect our sales and marketing expenses will decline as a percentage of revenues over the long-term.</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the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remain steady or decrease as a percentage of our revenues as our revenues grow faster than these expenses over the long-term.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 of Other Expenses</w:t>
      </w:r>
    </w:p>
    <w:p>
      <w:pPr>
        <w:spacing w:after="0" w:line="207" w:lineRule="exact"/>
        <w:rPr>
          <w:sz w:val="20"/>
          <w:szCs w:val="20"/>
          <w:color w:val="auto"/>
        </w:rPr>
      </w:pPr>
    </w:p>
    <w:p>
      <w:pPr>
        <w:jc w:val="both"/>
        <w:ind w:right="620"/>
        <w:spacing w:after="0" w:line="308" w:lineRule="auto"/>
        <w:rPr>
          <w:sz w:val="20"/>
          <w:szCs w:val="20"/>
          <w:color w:val="auto"/>
        </w:rPr>
      </w:pPr>
      <w:r>
        <w:rPr>
          <w:rFonts w:ascii="Arial" w:cs="Arial" w:eastAsia="Arial" w:hAnsi="Arial"/>
          <w:sz w:val="17"/>
          <w:szCs w:val="17"/>
          <w:color w:val="auto"/>
        </w:rPr>
        <w:t>Other income, net of other expenses consists primarily of foreign currency exchange gains and losses in addition to interest expense, partially offset by income earned on our money market funds included in cash and cash equivalents and on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our Consolidated Statement of Operations and Comprehensive Loss data, including year-over-year change,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7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250,772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4"/>
            <w:shd w:val="clear" w:color="auto" w:fill="DBDBDB"/>
          </w:tcPr>
          <w:p>
            <w:pPr>
              <w:jc w:val="right"/>
              <w:ind w:right="8"/>
              <w:spacing w:after="0"/>
              <w:rPr>
                <w:sz w:val="20"/>
                <w:szCs w:val="20"/>
                <w:color w:val="auto"/>
              </w:rPr>
            </w:pPr>
            <w:r>
              <w:rPr>
                <w:rFonts w:ascii="Arial" w:cs="Arial" w:eastAsia="Arial" w:hAnsi="Arial"/>
                <w:sz w:val="18"/>
                <w:szCs w:val="18"/>
                <w:color w:val="auto"/>
              </w:rPr>
              <w:t>161,696</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 (1) (2)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69,186</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DBDBDB"/>
            </w:tcBorders>
          </w:tcPr>
          <w:p>
            <w:pPr>
              <w:spacing w:after="0"/>
              <w:rPr>
                <w:sz w:val="19"/>
                <w:szCs w:val="19"/>
                <w:color w:val="auto"/>
              </w:rPr>
            </w:pPr>
          </w:p>
        </w:tc>
        <w:tc>
          <w:tcPr>
            <w:tcW w:w="1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181,586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00" w:type="dxa"/>
            <w:vAlign w:val="bottom"/>
            <w:gridSpan w:val="4"/>
            <w:shd w:val="clear" w:color="auto" w:fill="DBDBDB"/>
          </w:tcPr>
          <w:p>
            <w:pPr>
              <w:jc w:val="right"/>
              <w:ind w:right="8"/>
              <w:spacing w:after="0"/>
              <w:rPr>
                <w:sz w:val="20"/>
                <w:szCs w:val="20"/>
                <w:color w:val="auto"/>
              </w:rPr>
            </w:pPr>
            <w:r>
              <w:rPr>
                <w:rFonts w:ascii="Arial" w:cs="Arial" w:eastAsia="Arial" w:hAnsi="Arial"/>
                <w:sz w:val="18"/>
                <w:szCs w:val="18"/>
                <w:color w:val="auto"/>
              </w:rPr>
              <w:t>115,709</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 (1)</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103,833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00" w:type="dxa"/>
            <w:vAlign w:val="bottom"/>
            <w:gridSpan w:val="4"/>
            <w:shd w:val="clear" w:color="auto" w:fill="DBDBDB"/>
          </w:tcPr>
          <w:p>
            <w:pPr>
              <w:jc w:val="right"/>
              <w:ind w:right="8"/>
              <w:spacing w:after="0"/>
              <w:rPr>
                <w:sz w:val="20"/>
                <w:szCs w:val="20"/>
                <w:color w:val="auto"/>
              </w:rPr>
            </w:pPr>
            <w:r>
              <w:rPr>
                <w:rFonts w:ascii="Arial" w:cs="Arial" w:eastAsia="Arial" w:hAnsi="Arial"/>
                <w:sz w:val="18"/>
                <w:szCs w:val="18"/>
                <w:color w:val="auto"/>
              </w:rPr>
              <w:t>53,024</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Sales and marketing (1) (2)</w:t>
            </w:r>
          </w:p>
        </w:tc>
        <w:tc>
          <w:tcPr>
            <w:tcW w:w="360" w:type="dxa"/>
            <w:vAlign w:val="bottom"/>
          </w:tcPr>
          <w:p>
            <w:pPr>
              <w:spacing w:after="0"/>
              <w:rPr>
                <w:sz w:val="19"/>
                <w:szCs w:val="19"/>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59,170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4"/>
          </w:tcPr>
          <w:p>
            <w:pPr>
              <w:jc w:val="right"/>
              <w:ind w:right="8"/>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 (1)</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8"/>
                <w:szCs w:val="18"/>
                <w:color w:val="auto"/>
              </w:rPr>
              <w:t>78,590</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gridSpan w:val="4"/>
            <w:shd w:val="clear" w:color="auto" w:fill="DBDBDB"/>
          </w:tcPr>
          <w:p>
            <w:pPr>
              <w:jc w:val="right"/>
              <w:ind w:right="8"/>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241,593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8"/>
                <w:szCs w:val="18"/>
                <w:color w:val="auto"/>
              </w:rPr>
              <w:t>131,720</w:t>
            </w:r>
          </w:p>
        </w:tc>
        <w:tc>
          <w:tcPr>
            <w:tcW w:w="100" w:type="dxa"/>
            <w:vAlign w:val="bottom"/>
            <w:tcBorders>
              <w:bottom w:val="single" w:sz="8" w:color="DBDBDB"/>
            </w:tcBorders>
          </w:tcPr>
          <w:p>
            <w:pPr>
              <w:spacing w:after="0"/>
              <w:rPr>
                <w:sz w:val="19"/>
                <w:szCs w:val="19"/>
                <w:color w:val="auto"/>
              </w:rPr>
            </w:pPr>
          </w:p>
        </w:tc>
        <w:tc>
          <w:tcPr>
            <w:tcW w:w="1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(60,007)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0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Other income, net of other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DBDBDB"/>
            </w:tcBorders>
          </w:tcPr>
          <w:p>
            <w:pPr>
              <w:spacing w:after="0"/>
              <w:rPr>
                <w:sz w:val="19"/>
                <w:szCs w:val="19"/>
                <w:color w:val="auto"/>
              </w:rPr>
            </w:pPr>
          </w:p>
        </w:tc>
        <w:tc>
          <w:tcPr>
            <w:tcW w:w="1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(59,958)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0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w w:val="89"/>
              </w:rPr>
              <w:t>68</w:t>
            </w:r>
          </w:p>
        </w:tc>
        <w:tc>
          <w:tcPr>
            <w:tcW w:w="100" w:type="dxa"/>
            <w:vAlign w:val="bottom"/>
            <w:tcBorders>
              <w:bottom w:val="single" w:sz="8" w:color="DBDBDB"/>
            </w:tcBorders>
          </w:tcPr>
          <w:p>
            <w:pPr>
              <w:spacing w:after="0"/>
              <w:rPr>
                <w:sz w:val="19"/>
                <w:szCs w:val="19"/>
                <w:color w:val="auto"/>
              </w:rPr>
            </w:pPr>
          </w:p>
        </w:tc>
        <w:tc>
          <w:tcPr>
            <w:tcW w:w="1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0"/>
        </w:trPr>
        <w:tc>
          <w:tcPr>
            <w:tcW w:w="622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22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7"/>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DBDBDB"/>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36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9,298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30,617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40,804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(2)  Includes amortization of capitalized software as follows:</w:t>
            </w: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6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gridSpan w:val="7"/>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DBDBDB"/>
            </w:tcBorders>
          </w:tcPr>
          <w:p>
            <w:pPr>
              <w:spacing w:after="0"/>
              <w:rPr>
                <w:sz w:val="15"/>
                <w:szCs w:val="15"/>
                <w:color w:val="auto"/>
              </w:rPr>
            </w:pPr>
          </w:p>
        </w:tc>
        <w:tc>
          <w:tcPr>
            <w:tcW w:w="1080" w:type="dxa"/>
            <w:vAlign w:val="bottom"/>
            <w:tcBorders>
              <w:bottom w:val="single" w:sz="8" w:color="DBDBDB"/>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 (a)</w:t>
            </w:r>
          </w:p>
        </w:tc>
        <w:tc>
          <w:tcPr>
            <w:tcW w:w="36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 (a)</w:t>
            </w:r>
          </w:p>
        </w:tc>
        <w:tc>
          <w:tcPr>
            <w:tcW w:w="36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6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693</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680" w:hanging="328"/>
        <w:spacing w:after="0" w:line="258" w:lineRule="auto"/>
        <w:tabs>
          <w:tab w:leader="none" w:pos="6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revenues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following table sets forth the components of our Consolidated Statement of Operations and Comprehensive Loss for each of the periods presented as a percentage of revenue.</w:t>
      </w:r>
    </w:p>
    <w:p>
      <w:pPr>
        <w:spacing w:after="0" w:line="1"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DBDBDB"/>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3"/>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w:t>
            </w:r>
          </w:p>
        </w:tc>
      </w:tr>
      <w:tr>
        <w:trPr>
          <w:trHeight w:val="223"/>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72</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33</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22</w:t>
            </w:r>
          </w:p>
        </w:tc>
      </w:tr>
      <w:tr>
        <w:trPr>
          <w:trHeight w:val="230"/>
        </w:trPr>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27</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82</w:t>
            </w:r>
          </w:p>
        </w:tc>
      </w:tr>
      <w:tr>
        <w:trPr>
          <w:trHeight w:val="230"/>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ind w:left="1180"/>
              <w:spacing w:after="0"/>
              <w:rPr>
                <w:sz w:val="20"/>
                <w:szCs w:val="20"/>
                <w:color w:val="auto"/>
              </w:rPr>
            </w:pPr>
            <w:r>
              <w:rPr>
                <w:rFonts w:ascii="Arial" w:cs="Arial" w:eastAsia="Arial" w:hAnsi="Arial"/>
                <w:sz w:val="18"/>
                <w:szCs w:val="18"/>
                <w:color w:val="auto"/>
              </w:rPr>
              <w:t>(10)</w:t>
            </w:r>
          </w:p>
        </w:tc>
      </w:tr>
      <w:tr>
        <w:trPr>
          <w:trHeight w:val="22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net of other expenses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6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ind w:left="1180"/>
              <w:spacing w:after="0"/>
              <w:rPr>
                <w:sz w:val="20"/>
                <w:szCs w:val="20"/>
                <w:color w:val="auto"/>
              </w:rPr>
            </w:pPr>
            <w:r>
              <w:rPr>
                <w:rFonts w:ascii="Arial" w:cs="Arial" w:eastAsia="Arial" w:hAnsi="Arial"/>
                <w:sz w:val="18"/>
                <w:szCs w:val="18"/>
                <w:color w:val="auto"/>
              </w:rPr>
              <w:t>(10)</w:t>
            </w:r>
          </w:p>
        </w:tc>
      </w:tr>
      <w:tr>
        <w:trPr>
          <w:trHeight w:val="22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6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21"/>
                <w:szCs w:val="21"/>
                <w:color w:val="auto"/>
              </w:rPr>
            </w:pPr>
          </w:p>
        </w:tc>
        <w:tc>
          <w:tcPr>
            <w:tcW w:w="1680" w:type="dxa"/>
            <w:vAlign w:val="bottom"/>
            <w:shd w:val="clear" w:color="auto" w:fill="DBDBDB"/>
          </w:tcPr>
          <w:p>
            <w:pPr>
              <w:ind w:left="1180"/>
              <w:spacing w:after="0"/>
              <w:rPr>
                <w:sz w:val="20"/>
                <w:szCs w:val="20"/>
                <w:color w:val="auto"/>
              </w:rPr>
            </w:pPr>
            <w:r>
              <w:rPr>
                <w:rFonts w:ascii="Arial" w:cs="Arial" w:eastAsia="Arial" w:hAnsi="Arial"/>
                <w:sz w:val="18"/>
                <w:szCs w:val="18"/>
                <w:color w:val="auto"/>
                <w:w w:val="99"/>
              </w:rPr>
              <w:t>(10)%</w:t>
            </w:r>
          </w:p>
        </w:tc>
      </w:tr>
      <w:tr>
        <w:trPr>
          <w:trHeight w:val="20"/>
        </w:trPr>
        <w:tc>
          <w:tcPr>
            <w:tcW w:w="778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$89.1 million, or 55%, to $250.8 million during the year ended December 31, 2021, from revenues of $161.7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year ended December 31, 2020. The main driver was an increase in subscription revenue of $63.2 million, primarily due to an increase in the average number of paid subscribers during the year ended December 31, 2021 as compared to the year ended December 31, 2020. In addition, advertising revenues increased $11.5 million. The increase was predominantly driven by the increase in average revenue per DAU for our ads and also by the increase in DAUs, which resulted in increased advertisements served, during the year ended December 31, 2021 as compared to the year ended December 31, 2020. Duolingo English Test revenue increased by $9.5 million due to the growth in the number of tests taken, which was in turn driven by an increase in the number of institutions that accept our test and our marketing efforts. Finally, other revenue increased $4.9 million, due to growth of in-app purchases.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changes in revenues by product type: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3"/>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00" w:type="dxa"/>
            <w:vAlign w:val="bottom"/>
          </w:tcPr>
          <w:p>
            <w:pPr>
              <w:jc w:val="right"/>
              <w:ind w:right="4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180,698</w:t>
            </w:r>
          </w:p>
        </w:tc>
        <w:tc>
          <w:tcPr>
            <w:tcW w:w="8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63,197</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Duolingo English Test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24,658</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4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DBDBDB"/>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246 %</w:t>
            </w:r>
          </w:p>
        </w:tc>
      </w:tr>
      <w:tr>
        <w:trPr>
          <w:trHeight w:val="248"/>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250,772</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89,076</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46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Total gross margin increased to 72.4% during the year ended December 31, 2021, from 71.6%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2020. This increase is mainly due to increased subscription margins driven by reduced payment processing fees for subscription revenue due to improved retention, and increased advertising margins driven by an increase in average revenues per DAU for ads served to free users, which was partially offset by a decrease in Duolingo English Test margins driven by increased proctoring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revenues, along with related gross margins: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18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428"/>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45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Costs</w:t>
            </w:r>
          </w:p>
        </w:tc>
        <w:tc>
          <w:tcPr>
            <w:tcW w:w="380" w:type="dxa"/>
            <w:vAlign w:val="bottom"/>
            <w:tcBorders>
              <w:bottom w:val="single" w:sz="8" w:color="DBDBDB"/>
            </w:tcBorders>
          </w:tcPr>
          <w:p>
            <w:pPr>
              <w:spacing w:after="0"/>
              <w:rPr>
                <w:sz w:val="15"/>
                <w:szCs w:val="15"/>
                <w:color w:val="auto"/>
              </w:rPr>
            </w:pPr>
          </w:p>
        </w:tc>
        <w:tc>
          <w:tcPr>
            <w:tcW w:w="1500" w:type="dxa"/>
            <w:vAlign w:val="bottom"/>
            <w:tcBorders>
              <w:bottom w:val="single" w:sz="8" w:color="DBDBDB"/>
            </w:tcBorders>
            <w:gridSpan w:val="2"/>
          </w:tcPr>
          <w:p>
            <w:pPr>
              <w:ind w:left="100"/>
              <w:spacing w:after="0"/>
              <w:rPr>
                <w:sz w:val="20"/>
                <w:szCs w:val="20"/>
                <w:color w:val="auto"/>
              </w:rPr>
            </w:pPr>
            <w:r>
              <w:rPr>
                <w:rFonts w:ascii="Arial" w:cs="Arial" w:eastAsia="Arial" w:hAnsi="Arial"/>
                <w:sz w:val="14"/>
                <w:szCs w:val="14"/>
                <w:b w:val="1"/>
                <w:bCs w:val="1"/>
                <w:color w:val="auto"/>
              </w:rPr>
              <w:t>Gross Margin</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Gross Margin</w:t>
            </w:r>
          </w:p>
        </w:tc>
      </w:tr>
      <w:tr>
        <w:trPr>
          <w:trHeight w:val="243"/>
        </w:trPr>
        <w:tc>
          <w:tcPr>
            <w:tcW w:w="4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cost of revenues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69,186</w:t>
            </w:r>
          </w:p>
        </w:tc>
        <w:tc>
          <w:tcPr>
            <w:tcW w:w="380" w:type="dxa"/>
            <w:vAlign w:val="bottom"/>
            <w:shd w:val="clear" w:color="auto" w:fill="DBDBDB"/>
          </w:tcPr>
          <w:p>
            <w:pPr>
              <w:spacing w:after="0"/>
              <w:rPr>
                <w:sz w:val="21"/>
                <w:szCs w:val="21"/>
                <w:color w:val="auto"/>
              </w:rPr>
            </w:pPr>
          </w:p>
        </w:tc>
        <w:tc>
          <w:tcPr>
            <w:tcW w:w="1840" w:type="dxa"/>
            <w:vAlign w:val="bottom"/>
            <w:gridSpan w:val="3"/>
            <w:shd w:val="clear" w:color="auto" w:fill="DBDBDB"/>
          </w:tcPr>
          <w:p>
            <w:pPr>
              <w:jc w:val="right"/>
              <w:ind w:right="220"/>
              <w:spacing w:after="0"/>
              <w:rPr>
                <w:sz w:val="20"/>
                <w:szCs w:val="20"/>
                <w:color w:val="auto"/>
              </w:rPr>
            </w:pPr>
            <w:r>
              <w:rPr>
                <w:rFonts w:ascii="Arial" w:cs="Arial" w:eastAsia="Arial" w:hAnsi="Arial"/>
                <w:sz w:val="18"/>
                <w:szCs w:val="18"/>
                <w:color w:val="auto"/>
              </w:rPr>
              <w:t>72.4 %  $</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45,987</w:t>
            </w:r>
          </w:p>
        </w:tc>
        <w:tc>
          <w:tcPr>
            <w:tcW w:w="18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71.6 %</w:t>
            </w:r>
          </w:p>
        </w:tc>
      </w:tr>
      <w:tr>
        <w:trPr>
          <w:trHeight w:val="20"/>
        </w:trPr>
        <w:tc>
          <w:tcPr>
            <w:tcW w:w="45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DBDBDB"/>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$50.8 million, or 96%, to $103.8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from $53.0 million during the year ended December 31, 2020. The increase is mainly attributable to our growth in headcount leading to an increase in employee costs of $41.4 million, of which $3.3 million was related to the tender offer, $1.3 million of it related to RSU expense recorded upon the IPO, in addition to $4.2 million of it related to contractor costs.</w:t>
      </w:r>
    </w:p>
    <w:p>
      <w:pPr>
        <w:spacing w:after="0" w:line="143"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Research and development continues to be our largest operating expense as we invest heavily in it in order to drive user engagement with and customer satisfaction in our platform, which we believe helps to drive organic growth in MAUs and DAUs; this in turn drives additional growth in, and better retention of, paid subscribers, as well as increased advertising opportunities with free users.</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increased $24.2 million, or 69%, to $59.2 million during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from $35.0 million during the year ended December 31, 2020. While we incurred $4.2 million of costs related to one-time cash awards we granted to Duolingo contributors under our non-employee volunteer program, which we refer to as contributor awards, and $3.8 million of additional expenses related to employee costs, of which $0.2 million was related to the tender offer and $0.2 million of it related to RSU expense recorded upon the IPO, the majority of the increase was driven by spending on performance marketing where we found opportunities to grow quality DAUs at low cost and from brand marketing in priority markets such as Japan, India and Southeast Asia. See Note 2 to our Consolidated Financial Statements included elsewhere in this this Annual Report on Form 10-K for further discussion of the contributor awards.</w:t>
      </w:r>
    </w:p>
    <w:p>
      <w:pPr>
        <w:spacing w:after="0" w:line="128" w:lineRule="exact"/>
        <w:rPr>
          <w:sz w:val="20"/>
          <w:szCs w:val="20"/>
          <w:color w:val="auto"/>
        </w:rPr>
      </w:pPr>
    </w:p>
    <w:p>
      <w:pPr>
        <w:ind w:right="240"/>
        <w:spacing w:after="0" w:line="28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increased $34.9 million, or 80%, to $78.6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from $43.7 million during the year ended December 31, 2020. The main drivers of this increase were related to the following:</w:t>
      </w:r>
    </w:p>
    <w:p>
      <w:pPr>
        <w:spacing w:after="0" w:line="124" w:lineRule="exact"/>
        <w:rPr>
          <w:sz w:val="20"/>
          <w:szCs w:val="20"/>
          <w:color w:val="auto"/>
        </w:rPr>
      </w:pPr>
    </w:p>
    <w:p>
      <w:pPr>
        <w:jc w:val="both"/>
        <w:ind w:left="660" w:right="4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stock-based compensation costs of $22.5 million which were recognized upon the IPO, offset by a decline of $10.2 million related to the November 2020 secondary transaction which did not occur in 2021. Stock-based compensation costs recognized upon the IPO relate to the following:</w:t>
      </w:r>
    </w:p>
    <w:p>
      <w:pPr>
        <w:spacing w:after="0" w:line="147"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$5.6 million of costs related to the acceleration of founder stock options,</w:t>
      </w:r>
    </w:p>
    <w:p>
      <w:pPr>
        <w:spacing w:after="0" w:line="171" w:lineRule="exact"/>
        <w:rPr>
          <w:rFonts w:ascii="Arial" w:cs="Arial" w:eastAsia="Arial" w:hAnsi="Arial"/>
          <w:sz w:val="18"/>
          <w:szCs w:val="18"/>
          <w:color w:val="auto"/>
        </w:rPr>
      </w:pPr>
    </w:p>
    <w:p>
      <w:pPr>
        <w:ind w:left="1300" w:right="180" w:hanging="320"/>
        <w:spacing w:after="0" w:line="261"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$0.5 million of costs related to RSUs granted in prior periods, where the performance based vesting condition was satisfied upon the IPO, and</w:t>
      </w:r>
    </w:p>
    <w:p>
      <w:pPr>
        <w:spacing w:after="0" w:line="143" w:lineRule="exact"/>
        <w:rPr>
          <w:rFonts w:ascii="Arial" w:cs="Arial" w:eastAsia="Arial" w:hAnsi="Arial"/>
          <w:sz w:val="18"/>
          <w:szCs w:val="18"/>
          <w:color w:val="auto"/>
        </w:rPr>
      </w:pPr>
    </w:p>
    <w:p>
      <w:pPr>
        <w:ind w:left="1300" w:right="220" w:hanging="320"/>
        <w:spacing w:after="0" w:line="261"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$16.4 million of costs related to the performance-based RSUs issued to our founders which will continue through the life of the plan,</w:t>
      </w:r>
    </w:p>
    <w:p>
      <w:pPr>
        <w:spacing w:after="0" w:line="143" w:lineRule="exact"/>
        <w:rPr>
          <w:rFonts w:ascii="Arial" w:cs="Arial" w:eastAsia="Arial" w:hAnsi="Arial"/>
          <w:sz w:val="18"/>
          <w:szCs w:val="18"/>
          <w:color w:val="auto"/>
        </w:rPr>
      </w:pPr>
    </w:p>
    <w:p>
      <w:pPr>
        <w:ind w:left="660" w:right="9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employee related costs of $8.0 million due to the growth in headcount in addition to $1.8 million of stock-based compensation costs related to the tender offer,</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Professional fees of $5.9 million, of which $3.1 million was related to IPO and public readiness costs and $0.3 million was related to the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incurred to expand to our facilities footprint of $2.2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insurance costs associated with being a public company of $1.8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increases of $2.8 million, due to increased headcount, contractor expense, travel, and sales and VAT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 of Expenses</w:t>
      </w:r>
    </w:p>
    <w:p>
      <w:pPr>
        <w:spacing w:after="0" w:line="2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income, net of other expenses decreased $0.3 million, during the year ended December 31, 2021 due to change in foreign currency rates, partially offset by the sale of a research and development tax credit.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Since inception, we have financed operations primarily through revenues and the net proceeds we have received from the issuance of equity and debt securities. Prior to going public, we raised a total of $183.3 million in capital financing, less issuance costs of $0.7 million. Additionally, we received aggregate net proceeds of $431.1 million from the IPO on July 30, 2021, after deducting underwriting discounts and fees of $24.5 million. The Company paid an additional $4.9 million related to offering costs.</w:t>
      </w:r>
    </w:p>
    <w:p>
      <w:pPr>
        <w:spacing w:after="0" w:line="1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2021, we had $553.9 million in cash and cash equivalents. Our cash and cash equivalents primarily consist of bank deposits and money market funds. Our marketable securities consist US government treasury and agency securities.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our payment processing platforms, the expansion of our sales and marketing activities, the introduction of new products and the enhancements to existing products, and the current uncertainty in the global markets resulting from the ongoing COVID-19 pandemic on our operations. We may be required to seek additional equity.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A substantial source of our cash from operations comes from deferred revenue, which is included in the liabilities section of our Consolidated Balance Sheet. Deferred revenues consists of the unearned portion of customer billings, which is recognized as revenue in accordance with our revenue recognition policy. As of December 31, 2021, we had deferred revenues of $98.3 million, which is recorded as a current liability and expected to be recognized as revenue in the next 12 months, provided all other revenue recognition criteria have been met.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430,468</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60,647</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provided by operating activities for the year ended December 31, 2021 decreased $8.5 million, or 48%, to $9.2 million. This decrease was due mainly to an increase in net loss for the periods presented, partially offset by increases from changes in working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jc w:val="both"/>
        <w:ind w:right="640"/>
        <w:spacing w:after="0" w:line="271" w:lineRule="auto"/>
        <w:rPr>
          <w:sz w:val="20"/>
          <w:szCs w:val="20"/>
          <w:color w:val="auto"/>
        </w:rPr>
      </w:pPr>
      <w:r>
        <w:rPr>
          <w:rFonts w:ascii="Arial" w:cs="Arial" w:eastAsia="Arial" w:hAnsi="Arial"/>
          <w:sz w:val="18"/>
          <w:szCs w:val="18"/>
          <w:color w:val="auto"/>
        </w:rPr>
        <w:t>Cash used in investing activities increased $2.2 million, or 55%, to $6.2 million for the year ended December 31, 2021, from investing activities for the year ended December 31, 2020 of $4.0 million. The increase is due to increased costs from capitalization of software development and capital expenditures to purchase property and equipment to support office space and site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Cash provided by financing activities for the year ended December 31, 2021 was $430.5 million, and was mainly driven by the net proceeds from the IPO of $431.1 million, less offering expenses of $4.9 million, and proceeds from exercises of stock options of $12.5 million. These increases were partially offset by payments made as a result of the tender offer of $8.2 million. Cash provided by financing activities for the year ended December 31, 2020 was $47.0 million and primarily relates to the issuance of convertible preferred stock, net of issuance costs, of $44.9 million, in addition to proceeds from exercises of stock options of $2.0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30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Less than 1 Year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1-3 Years</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3-5 Years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3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commitments (1)</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44,391</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5,153</w:t>
            </w:r>
          </w:p>
        </w:tc>
        <w:tc>
          <w:tcPr>
            <w:tcW w:w="40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75"/>
              <w:spacing w:after="0"/>
              <w:rPr>
                <w:sz w:val="20"/>
                <w:szCs w:val="20"/>
                <w:color w:val="auto"/>
              </w:rPr>
            </w:pPr>
            <w:r>
              <w:rPr>
                <w:rFonts w:ascii="Arial" w:cs="Arial" w:eastAsia="Arial" w:hAnsi="Arial"/>
                <w:sz w:val="18"/>
                <w:szCs w:val="18"/>
                <w:color w:val="auto"/>
              </w:rPr>
              <w:t>11,196</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6,279</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21,763</w:t>
            </w:r>
          </w:p>
        </w:tc>
      </w:tr>
      <w:tr>
        <w:trPr>
          <w:trHeight w:val="230"/>
        </w:trPr>
        <w:tc>
          <w:tcPr>
            <w:tcW w:w="3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commitments (2)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23,000</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12,500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contractual obligations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67,391</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15,653</w:t>
            </w:r>
          </w:p>
        </w:tc>
        <w:tc>
          <w:tcPr>
            <w:tcW w:w="40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75"/>
              <w:spacing w:after="0"/>
              <w:rPr>
                <w:sz w:val="20"/>
                <w:szCs w:val="20"/>
                <w:color w:val="auto"/>
              </w:rPr>
            </w:pPr>
            <w:r>
              <w:rPr>
                <w:rFonts w:ascii="Arial" w:cs="Arial" w:eastAsia="Arial" w:hAnsi="Arial"/>
                <w:sz w:val="18"/>
                <w:szCs w:val="18"/>
                <w:color w:val="auto"/>
              </w:rPr>
              <w:t>23,696</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6,279</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21,763</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140" w:hanging="332"/>
        <w:spacing w:after="0" w:line="241"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 obligations, excluding short-term leases. Refer to Note 6 to our Consolidated Financial Statements included elsewhere in this Annual Report on Form 10-K for additional information.</w:t>
      </w:r>
    </w:p>
    <w:p>
      <w:pPr>
        <w:ind w:left="340" w:right="300" w:hanging="332"/>
        <w:spacing w:after="0" w:line="258"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commitments consist of hosting costs. We are committed to spend $25.0 million over two years, with a minimum spend of $10.5 million in the first year and $12.5 million in the second year.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Obligations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The preparation of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Consolidated Financial Statements are prepared. Actual results may differ from these estimates under different assumptions and conditions. To the extent that there are differences between our estimates and actual results, our future financial statement presentation, financial condition, results of operations, and cash flows will be affected.</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Management evaluated the development and selection of its critical accounting policies and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Revenue</w:t>
      </w:r>
    </w:p>
    <w:p>
      <w:pPr>
        <w:spacing w:after="0" w:line="18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We account for revenue contracts with customers by applying the five step model in Accounting Standards Codification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Our predominant sources of revenue are time-based subscriptions, in-app advertising placement by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the Duolingo English Test. Revenue is recognized upon transfer of control of promised goods or services to customers in an amount that reflects the consideration expected to be received in exchange for those goods or services. Revenue is recognized net of any taxes collected from customers, which are subsequently remitted to governmental authorities.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Under the year-long subscription, users can purchase a single plan or a family plan. The family plan includes up to six users to be on one subscription. Such payments are initially recorded to deferred revenue. The user has the ability to download limited content offline. However, as there is a significant level of integration and interdependency with the online functionality, we consider the service to be a single performance obligation for the online and offline content.</w:t>
      </w:r>
    </w:p>
    <w:p>
      <w:pPr>
        <w:spacing w:after="0" w:line="1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enter into arrangements with advertising networks to monetize the in-app advertising inventory. Revenue from in-app advertising placement is recognized at a point in time when the advertisement is placed and is based upon the amount received.</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 the exam or their purchase will expire and revenue will be recognized. The vast majority of customers complete their exams prior to expiration. Sometimes organizations may purchase tests in bulk via coupons with a one year expiration date. We defer revenue from all tests that have not been proctored nor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users have the option to purchase consumable in-app virtual goods. We recognize revenue over the period in which the user consumes the virtual good, which is generally within a month.</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—We make our application available to be downloaded through third-party digital distribution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Users who purchase subscriptions also pay through the respective app stores. We evaluate the purchases via third-party payment processors to determine whether its revenues should be reported gross or net of fees retained by the payment processor. We are the principal in the transaction with the end user as a result of controlling, hosting, and integrating the delivery of the virtual items to the end user. We record revenue gross as a principal and record fees paid to third-party payment processors as Cost of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Our time-based subscriptions allow users the ability to download limited content offline. Significant judgment is required to determine whether this offline content should be considered distinct and accounted for separately, or not distinct and accounted for together with the online functionality provided and recognized over time. As there is a significant level of integration and interdependency with the online functionality, which is not the case with the offline functionality, we believe we have a single performance obligation for the online functionality and offline content.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follow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 account for our equity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 in different amounts of equity based compensation expense. Furthermore, if different assumptions are used in future periods, our equity based compensation expense could be materially impacted in the future.</w:t>
      </w:r>
    </w:p>
    <w:p>
      <w:pPr>
        <w:spacing w:after="0" w:line="151" w:lineRule="exact"/>
        <w:rPr>
          <w:sz w:val="20"/>
          <w:szCs w:val="20"/>
          <w:color w:val="auto"/>
        </w:rPr>
      </w:pPr>
    </w:p>
    <w:p>
      <w:pPr>
        <w:ind w:right="480"/>
        <w:spacing w:after="0" w:line="281" w:lineRule="auto"/>
        <w:rPr>
          <w:sz w:val="20"/>
          <w:szCs w:val="20"/>
          <w:color w:val="auto"/>
        </w:rPr>
      </w:pPr>
      <w:r>
        <w:rPr>
          <w:rFonts w:ascii="Arial" w:cs="Arial" w:eastAsia="Arial" w:hAnsi="Arial"/>
          <w:sz w:val="17"/>
          <w:szCs w:val="17"/>
          <w:color w:val="auto"/>
        </w:rPr>
        <w:t>Prior to the completion of our IPO,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Subsequent to the completion of our IPO, we transitioned to utilize the closing price of our publicly-traded stock to determine our volatility. We determined the expected life of our options using the simplified method described in the SEC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which defines the expected life as the average of the contractual term and the vesting period. The risk-free interest rate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yield curve of a zero-coupon US Treasury bond on the date the option award was granted with a maturity equal to the expected term of the option award. We have not and do not expect to pay dividends on our common shares. See Note 9, “Stock Based Compensation,” to our Consolidated Financial Statements appearing elsewhere in Annual Report on Form 10-K, for further information on equity 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0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began to grant RSUs in November 2020. The fair value of RSUs is estimated based on the fair value of our common stock on the date of grant. Each RSU award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We measure and recognize compensation expense for all stock-based awards based on the estimated fair value of the award. Prior to July 30, 2021, no stock-based compensation expense had been recognized for RSUs because the liquidity-based vesting condition had not been probable of being satisfied. Upon the IPO, the liquidity-based vesting condition was met and $2,035 of stock-based compensation expense was recognized related to these awards.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June 2021, we granted an aggregate of 1.8 million performance-based RSUs (“Founder Awards”) to our founders.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performance-based condition will be satisfied with respect to each of ten equal tranches only upon the achievement of the specified stock-price hurdles for each such tranche over a period of ten years from the date of grant. The fair value of the Founder Awards is determined using a model based on multiple stock-price paths developed through the use of a Monte Carlo simulation that incorporates into the valuation the possibility that the stock-price hurdles may not be satisfied.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Subsequent to our IPO in July 2021, the fair value of common stock is determined based upon the closing price of our Class A common stock immediately prior to the grant date.</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Prior to our IPO, determining the fair value of our common stock requires complex and subjective judgment and estimates. There is inherent uncertainty in making these judgments and estimates. The absence of an active market for our common stock required our board of directors to estimate the fair value of the common stock for purpose of setting the exercise price of the options and estimating the fair value of the common stock at the time options were granted based on factors such as valuations of comparable companies, the status of our development and sales efforts, revenue growth, and additional objective and subjective factors relating to our business. We performed its analysis in accordance with applicable elements of the practice aid issued by the American Institute of Certified Public Accountants’ (“AICPA”) Practice Guide, Valuation of Privately Held Company Equity Securities Issued as Compensation; with this guidance, our board of directors exercised reasonable judgment and considered numerous and subjective factors to determine the best estimate of fair value of our common stock, including the following: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Specific Factors</w:t>
      </w:r>
    </w:p>
    <w:p>
      <w:pPr>
        <w:spacing w:after="0" w:line="18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and forecasted operating and financial performance based on management’s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development and maintenance of client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Client and industry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historical lack of a public market for our common stock;</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Economic Factors</w:t>
      </w:r>
    </w:p>
    <w:p>
      <w:pPr>
        <w:spacing w:after="0" w:line="18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Industry trends and competitive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Trends in client and the at-large public spending, including client and public confidence;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Overall economic indicators;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general economic outlook; and</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common stock valuations have historically leveraged the historical appraisals we have received to value our common stock, utilizing an income approach.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2021, we maintained a valuation allowance of approximately $76,293 against net deferred tax assets related to both domestic and foreign net operating loss carryforwards, and state research and development credit carryovers as its future utilization remained uncertain.</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in the notes to our Consolidated Financial Statements included in Part I, Item I of this Annual Report on Form 10-K for a discussion of 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400"/>
        <w:spacing w:after="0" w:line="45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Risk</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December 31, 2021, we had $510 million of cash equivalents invested in money market funds.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December 31, 2021, a hypothetical 10% relative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as of December 31, 2021 and 2020 and for the two years then ended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872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15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8720" w:type="dxa"/>
            <w:vAlign w:val="bottom"/>
            <w:gridSpan w:val="7"/>
          </w:tcPr>
          <w:p>
            <w:pPr>
              <w:spacing w:after="0" w:line="180" w:lineRule="exact"/>
              <w:rPr>
                <w:rFonts w:ascii="Arial" w:cs="Arial" w:eastAsia="Arial" w:hAnsi="Arial"/>
                <w:sz w:val="18"/>
                <w:szCs w:val="18"/>
                <w:color w:val="0000FF"/>
              </w:rPr>
            </w:pPr>
            <w:hyperlink w:anchor="page79">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2500" w:type="dxa"/>
            <w:vAlign w:val="bottom"/>
            <w:gridSpan w:val="3"/>
          </w:tcPr>
          <w:p>
            <w:pPr>
              <w:jc w:val="right"/>
              <w:ind w:right="740"/>
              <w:spacing w:after="0" w:line="180" w:lineRule="exact"/>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4"/>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Consolidated Balance Sheets</w:t>
              </w:r>
            </w:hyperlink>
          </w:p>
        </w:tc>
        <w:tc>
          <w:tcPr>
            <w:tcW w:w="4120" w:type="dxa"/>
            <w:vAlign w:val="bottom"/>
            <w:gridSpan w:val="3"/>
          </w:tcPr>
          <w:p>
            <w:pPr>
              <w:spacing w:after="0"/>
              <w:rPr>
                <w:sz w:val="18"/>
                <w:szCs w:val="18"/>
                <w:color w:val="auto"/>
              </w:rPr>
            </w:pPr>
          </w:p>
        </w:tc>
        <w:tc>
          <w:tcPr>
            <w:tcW w:w="2500" w:type="dxa"/>
            <w:vAlign w:val="bottom"/>
            <w:gridSpan w:val="3"/>
          </w:tcPr>
          <w:p>
            <w:pPr>
              <w:jc w:val="right"/>
              <w:ind w:right="740"/>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5"/>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Consolidated Statements of Operations and Comprehensive Loss</w:t>
              </w:r>
            </w:hyperlink>
          </w:p>
        </w:tc>
        <w:tc>
          <w:tcPr>
            <w:tcW w:w="3480" w:type="dxa"/>
            <w:vAlign w:val="bottom"/>
            <w:gridSpan w:val="2"/>
          </w:tcPr>
          <w:p>
            <w:pPr>
              <w:spacing w:after="0"/>
              <w:rPr>
                <w:sz w:val="18"/>
                <w:szCs w:val="18"/>
                <w:color w:val="auto"/>
              </w:rPr>
            </w:pPr>
          </w:p>
        </w:tc>
        <w:tc>
          <w:tcPr>
            <w:tcW w:w="2500" w:type="dxa"/>
            <w:vAlign w:val="bottom"/>
            <w:gridSpan w:val="3"/>
          </w:tcPr>
          <w:p>
            <w:pPr>
              <w:jc w:val="right"/>
              <w:ind w:right="74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gridSpan w:val="7"/>
          </w:tcPr>
          <w:p>
            <w:pPr>
              <w:spacing w:after="0"/>
              <w:rPr>
                <w:sz w:val="20"/>
                <w:szCs w:val="20"/>
                <w:color w:val="auto"/>
              </w:rPr>
            </w:pPr>
            <w:r>
              <w:rPr>
                <w:rFonts w:ascii="Arial" w:cs="Arial" w:eastAsia="Arial" w:hAnsi="Arial"/>
                <w:sz w:val="18"/>
                <w:szCs w:val="18"/>
                <w:color w:val="0000FF"/>
              </w:rPr>
              <w:t>Consolidated Statements of Convertible Preferred Stock and Stockholders' Equity (Deficit</w:t>
            </w:r>
            <w:r>
              <w:rPr>
                <w:rFonts w:ascii="Arial" w:cs="Arial" w:eastAsia="Arial" w:hAnsi="Arial"/>
                <w:sz w:val="18"/>
                <w:szCs w:val="18"/>
                <w:color w:val="000000"/>
              </w:rPr>
              <w:t>)</w:t>
            </w:r>
          </w:p>
        </w:tc>
        <w:tc>
          <w:tcPr>
            <w:tcW w:w="2500" w:type="dxa"/>
            <w:vAlign w:val="bottom"/>
            <w:gridSpan w:val="3"/>
          </w:tcPr>
          <w:p>
            <w:pPr>
              <w:jc w:val="right"/>
              <w:ind w:right="740"/>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Consolidated Statements of Cash Flows</w:t>
              </w:r>
            </w:hyperlink>
          </w:p>
        </w:tc>
        <w:tc>
          <w:tcPr>
            <w:tcW w:w="1600" w:type="dxa"/>
            <w:vAlign w:val="bottom"/>
          </w:tcPr>
          <w:p>
            <w:pPr>
              <w:spacing w:after="0"/>
              <w:rPr>
                <w:sz w:val="18"/>
                <w:szCs w:val="18"/>
                <w:color w:val="auto"/>
              </w:rPr>
            </w:pPr>
          </w:p>
        </w:tc>
        <w:tc>
          <w:tcPr>
            <w:tcW w:w="2500" w:type="dxa"/>
            <w:vAlign w:val="bottom"/>
            <w:gridSpan w:val="3"/>
          </w:tcPr>
          <w:p>
            <w:pPr>
              <w:jc w:val="right"/>
              <w:ind w:right="74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gridSpan w:val="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Notes to the Consolidated Financial Statements</w:t>
              </w:r>
            </w:hyperlink>
          </w:p>
        </w:tc>
        <w:tc>
          <w:tcPr>
            <w:tcW w:w="2500" w:type="dxa"/>
            <w:vAlign w:val="bottom"/>
            <w:gridSpan w:val="3"/>
          </w:tcPr>
          <w:p>
            <w:pPr>
              <w:jc w:val="right"/>
              <w:ind w:right="74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120"/>
        <w:spacing w:after="0" w:line="46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Duolingo,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audited the accompanying consolidated balance sheets of Duolingo, Inc. and subsidiaries (the "Company") as of December 31, 2021 and 2020, the related consolidated statements of operations and comprehensive loss, convertible preferred stock and stockholders' equity (deficit), and cash flows, for the years ended December 31, 2021 and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ended December 31, 2021 and 2020,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3"/>
        </w:trPr>
        <w:tc>
          <w:tcPr>
            <w:tcW w:w="80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553,922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9"/>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24,219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29"/>
        </w:trPr>
        <w:tc>
          <w:tcPr>
            <w:tcW w:w="80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23"/>
        </w:trPr>
        <w:tc>
          <w:tcPr>
            <w:tcW w:w="8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619,271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6,428</w:t>
            </w: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8,073</w:t>
            </w: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661,311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80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98,267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65,690</w:t>
            </w: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obligation under operating leases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29,124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73,821</w:t>
            </w: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42"/>
        </w:trPr>
        <w:tc>
          <w:tcPr>
            <w:tcW w:w="8000" w:type="dxa"/>
            <w:vAlign w:val="bottom"/>
          </w:tcPr>
          <w:p>
            <w:pPr>
              <w:ind w:left="80"/>
              <w:spacing w:after="0"/>
              <w:rPr>
                <w:sz w:val="20"/>
                <w:szCs w:val="20"/>
                <w:color w:val="auto"/>
              </w:rPr>
            </w:pPr>
            <w:r>
              <w:rPr>
                <w:rFonts w:ascii="Arial" w:cs="Arial" w:eastAsia="Arial" w:hAnsi="Arial"/>
                <w:sz w:val="18"/>
                <w:szCs w:val="18"/>
                <w:color w:val="auto"/>
              </w:rPr>
              <w:t>Convertible preferred stock, $0.0001 par value, no shares issued and outstanding at December 31,</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182,609</w:t>
            </w:r>
          </w:p>
        </w:tc>
      </w:tr>
      <w:tr>
        <w:trPr>
          <w:trHeight w:val="217"/>
        </w:trPr>
        <w:tc>
          <w:tcPr>
            <w:tcW w:w="8000" w:type="dxa"/>
            <w:vAlign w:val="bottom"/>
          </w:tcPr>
          <w:p>
            <w:pPr>
              <w:ind w:left="240"/>
              <w:spacing w:after="0"/>
              <w:rPr>
                <w:sz w:val="20"/>
                <w:szCs w:val="20"/>
                <w:color w:val="auto"/>
              </w:rPr>
            </w:pPr>
            <w:r>
              <w:rPr>
                <w:rFonts w:ascii="Arial" w:cs="Arial" w:eastAsia="Arial" w:hAnsi="Arial"/>
                <w:sz w:val="18"/>
                <w:szCs w:val="18"/>
                <w:color w:val="auto"/>
              </w:rPr>
              <w:t>2021 and 19,074 shares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 (deficit)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42"/>
        </w:trPr>
        <w:tc>
          <w:tcPr>
            <w:tcW w:w="8000" w:type="dxa"/>
            <w:vAlign w:val="bottom"/>
          </w:tcPr>
          <w:p>
            <w:pPr>
              <w:ind w:left="80"/>
              <w:spacing w:after="0"/>
              <w:rPr>
                <w:sz w:val="20"/>
                <w:szCs w:val="20"/>
                <w:color w:val="auto"/>
              </w:rPr>
            </w:pPr>
            <w:r>
              <w:rPr>
                <w:rFonts w:ascii="Arial" w:cs="Arial" w:eastAsia="Arial" w:hAnsi="Arial"/>
                <w:sz w:val="18"/>
                <w:szCs w:val="18"/>
                <w:color w:val="auto"/>
              </w:rPr>
              <w:t>Common stock, $0.0001 par value; 2,000,000 shares of Class A common stock authorized and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16,645 issued and outstanding at December 31, 2021; 30,000 shares of Class B common stock</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authorized and 21,627 issued and outstanding at December 31, 2021; 42,800 authorized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000" w:type="dxa"/>
            <w:vAlign w:val="bottom"/>
          </w:tcPr>
          <w:p>
            <w:pPr>
              <w:ind w:left="240"/>
              <w:spacing w:after="0"/>
              <w:rPr>
                <w:sz w:val="20"/>
                <w:szCs w:val="20"/>
                <w:color w:val="auto"/>
              </w:rPr>
            </w:pPr>
            <w:r>
              <w:rPr>
                <w:rFonts w:ascii="Arial" w:cs="Arial" w:eastAsia="Arial" w:hAnsi="Arial"/>
                <w:sz w:val="18"/>
                <w:szCs w:val="18"/>
                <w:color w:val="auto"/>
              </w:rPr>
              <w:t>of common stock; 12,794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683,966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r>
      <w:tr>
        <w:trPr>
          <w:trHeight w:val="230"/>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(170,914)</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513,056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661,311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6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3"/>
        </w:trPr>
        <w:tc>
          <w:tcPr>
            <w:tcW w:w="7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250,772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r>
      <w:tr>
        <w:trPr>
          <w:trHeight w:val="230"/>
        </w:trPr>
        <w:tc>
          <w:tcPr>
            <w:tcW w:w="7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69,186</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r>
      <w:tr>
        <w:trPr>
          <w:trHeight w:val="223"/>
        </w:trPr>
        <w:tc>
          <w:tcPr>
            <w:tcW w:w="7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181,586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103,833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34,983</w:t>
            </w:r>
          </w:p>
        </w:tc>
      </w:tr>
      <w:tr>
        <w:trPr>
          <w:trHeight w:val="230"/>
        </w:trPr>
        <w:tc>
          <w:tcPr>
            <w:tcW w:w="79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78,590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43,713</w:t>
            </w:r>
          </w:p>
        </w:tc>
      </w:tr>
      <w:tr>
        <w:trPr>
          <w:trHeight w:val="223"/>
        </w:trPr>
        <w:tc>
          <w:tcPr>
            <w:tcW w:w="79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241,593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131,720</w:t>
            </w:r>
          </w:p>
        </w:tc>
      </w:tr>
      <w:tr>
        <w:trPr>
          <w:trHeight w:val="223"/>
        </w:trPr>
        <w:tc>
          <w:tcPr>
            <w:tcW w:w="7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(60,007)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(16,011)</w:t>
            </w:r>
          </w:p>
        </w:tc>
      </w:tr>
      <w:tr>
        <w:trPr>
          <w:trHeight w:val="229"/>
        </w:trPr>
        <w:tc>
          <w:tcPr>
            <w:tcW w:w="7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net of other expenses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7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(59,958)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(15,708)</w:t>
            </w:r>
          </w:p>
        </w:tc>
      </w:tr>
      <w:tr>
        <w:trPr>
          <w:trHeight w:val="229"/>
        </w:trPr>
        <w:tc>
          <w:tcPr>
            <w:tcW w:w="7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7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(15,776)</w:t>
            </w:r>
          </w:p>
        </w:tc>
      </w:tr>
      <w:tr>
        <w:trPr>
          <w:trHeight w:val="20"/>
        </w:trPr>
        <w:tc>
          <w:tcPr>
            <w:tcW w:w="79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96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attributable to Class A and Class B common stockholders, basic</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w:t>
            </w:r>
          </w:p>
        </w:tc>
      </w:tr>
      <w:tr>
        <w:trPr>
          <w:trHeight w:val="20"/>
        </w:trPr>
        <w:tc>
          <w:tcPr>
            <w:tcW w:w="796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7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per share attributable to Class A and Class B common stockholders, diluted</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9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1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Convertible Preferred Stock</w:t>
            </w: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2180" w:type="dxa"/>
            <w:vAlign w:val="bottom"/>
            <w:gridSpan w:val="6"/>
            <w:vMerge w:val="continue"/>
          </w:tcPr>
          <w:p>
            <w:pPr>
              <w:spacing w:after="0"/>
              <w:rPr>
                <w:sz w:val="15"/>
                <w:szCs w:val="15"/>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BALANCE—Balance—January 1, 2020</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188"/>
        </w:trPr>
        <w:tc>
          <w:tcPr>
            <w:tcW w:w="4020" w:type="dxa"/>
            <w:vAlign w:val="bottom"/>
          </w:tcPr>
          <w:p>
            <w:pPr>
              <w:ind w:left="180"/>
              <w:spacing w:after="0" w:line="189" w:lineRule="exact"/>
              <w:rPr>
                <w:sz w:val="20"/>
                <w:szCs w:val="20"/>
                <w:color w:val="auto"/>
              </w:rPr>
            </w:pPr>
            <w:r>
              <w:rPr>
                <w:rFonts w:ascii="Arial" w:cs="Arial" w:eastAsia="Arial" w:hAnsi="Arial"/>
                <w:sz w:val="18"/>
                <w:szCs w:val="18"/>
                <w:color w:val="auto"/>
              </w:rPr>
              <w:t>Issuance of Series G and H convertible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360"/>
              <w:spacing w:after="0"/>
              <w:rPr>
                <w:sz w:val="20"/>
                <w:szCs w:val="20"/>
                <w:color w:val="auto"/>
              </w:rPr>
            </w:pPr>
            <w:r>
              <w:rPr>
                <w:rFonts w:ascii="Arial" w:cs="Arial" w:eastAsia="Arial" w:hAnsi="Arial"/>
                <w:sz w:val="18"/>
                <w:szCs w:val="18"/>
                <w:color w:val="auto"/>
              </w:rPr>
              <w:t>preferred stock, net of fees</w:t>
            </w: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44,923</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4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17,031</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4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(15,776)</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BALANCE—December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(80,691)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2021</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line="189" w:lineRule="exact"/>
              <w:rPr>
                <w:sz w:val="20"/>
                <w:szCs w:val="20"/>
                <w:color w:val="auto"/>
              </w:rPr>
            </w:pPr>
            <w:r>
              <w:rPr>
                <w:rFonts w:ascii="Arial" w:cs="Arial" w:eastAsia="Arial" w:hAnsi="Arial"/>
                <w:sz w:val="18"/>
                <w:szCs w:val="18"/>
                <w:color w:val="auto"/>
              </w:rPr>
              <w:t>Issuance of common stock in connection with</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300"/>
              <w:spacing w:after="0" w:line="176" w:lineRule="exact"/>
              <w:rPr>
                <w:sz w:val="20"/>
                <w:szCs w:val="20"/>
                <w:color w:val="auto"/>
              </w:rPr>
            </w:pPr>
            <w:r>
              <w:rPr>
                <w:rFonts w:ascii="Arial" w:cs="Arial" w:eastAsia="Arial" w:hAnsi="Arial"/>
                <w:sz w:val="18"/>
                <w:szCs w:val="18"/>
                <w:color w:val="auto"/>
              </w:rPr>
              <w:t>the initial public offering, net of underwriting</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300"/>
              <w:spacing w:after="0"/>
              <w:rPr>
                <w:sz w:val="20"/>
                <w:szCs w:val="20"/>
                <w:color w:val="auto"/>
              </w:rPr>
            </w:pPr>
            <w:r>
              <w:rPr>
                <w:rFonts w:ascii="Arial" w:cs="Arial" w:eastAsia="Arial" w:hAnsi="Arial"/>
                <w:sz w:val="18"/>
                <w:szCs w:val="18"/>
                <w:color w:val="auto"/>
              </w:rPr>
              <w:t>discounts and issuance costs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426,192</w:t>
            </w:r>
          </w:p>
        </w:tc>
        <w:tc>
          <w:tcPr>
            <w:tcW w:w="0" w:type="dxa"/>
            <w:vAlign w:val="bottom"/>
          </w:tcPr>
          <w:p>
            <w:pPr>
              <w:spacing w:after="0"/>
              <w:rPr>
                <w:sz w:val="1"/>
                <w:szCs w:val="1"/>
                <w:color w:val="auto"/>
              </w:rPr>
            </w:pPr>
          </w:p>
        </w:tc>
      </w:tr>
      <w:tr>
        <w:trPr>
          <w:trHeight w:val="188"/>
        </w:trPr>
        <w:tc>
          <w:tcPr>
            <w:tcW w:w="4020" w:type="dxa"/>
            <w:vAlign w:val="bottom"/>
            <w:shd w:val="clear" w:color="auto" w:fill="DBDBDB"/>
          </w:tcPr>
          <w:p>
            <w:pPr>
              <w:ind w:left="140"/>
              <w:spacing w:after="0" w:line="189" w:lineRule="exact"/>
              <w:rPr>
                <w:sz w:val="20"/>
                <w:szCs w:val="20"/>
                <w:color w:val="auto"/>
              </w:rPr>
            </w:pPr>
            <w:r>
              <w:rPr>
                <w:rFonts w:ascii="Arial" w:cs="Arial" w:eastAsia="Arial" w:hAnsi="Arial"/>
                <w:sz w:val="18"/>
                <w:szCs w:val="18"/>
                <w:color w:val="auto"/>
              </w:rPr>
              <w:t>Conversion of redeemable convertible preferred</w:t>
            </w: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0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DBDBDB"/>
          </w:tcPr>
          <w:p>
            <w:pPr>
              <w:ind w:left="300"/>
              <w:spacing w:after="0" w:line="176" w:lineRule="exact"/>
              <w:rPr>
                <w:sz w:val="20"/>
                <w:szCs w:val="20"/>
                <w:color w:val="auto"/>
              </w:rPr>
            </w:pPr>
            <w:r>
              <w:rPr>
                <w:rFonts w:ascii="Arial" w:cs="Arial" w:eastAsia="Arial" w:hAnsi="Arial"/>
                <w:sz w:val="18"/>
                <w:szCs w:val="18"/>
                <w:color w:val="auto"/>
              </w:rPr>
              <w:t>stock to Class A common stock in connection</w:t>
            </w:r>
          </w:p>
        </w:tc>
        <w:tc>
          <w:tcPr>
            <w:tcW w:w="9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0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DBDB"/>
          </w:tcPr>
          <w:p>
            <w:pPr>
              <w:ind w:left="300"/>
              <w:spacing w:after="0"/>
              <w:rPr>
                <w:sz w:val="20"/>
                <w:szCs w:val="20"/>
                <w:color w:val="auto"/>
              </w:rPr>
            </w:pPr>
            <w:r>
              <w:rPr>
                <w:rFonts w:ascii="Arial" w:cs="Arial" w:eastAsia="Arial" w:hAnsi="Arial"/>
                <w:sz w:val="18"/>
                <w:szCs w:val="18"/>
                <w:color w:val="auto"/>
              </w:rPr>
              <w:t>with initial public offering</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182,607</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40,804</w:t>
            </w:r>
          </w:p>
        </w:tc>
        <w:tc>
          <w:tcPr>
            <w:tcW w:w="0" w:type="dxa"/>
            <w:vAlign w:val="bottom"/>
          </w:tcPr>
          <w:p>
            <w:pPr>
              <w:spacing w:after="0"/>
              <w:rPr>
                <w:sz w:val="1"/>
                <w:szCs w:val="1"/>
                <w:color w:val="auto"/>
              </w:rPr>
            </w:pPr>
          </w:p>
        </w:tc>
      </w:tr>
      <w:tr>
        <w:trPr>
          <w:trHeight w:val="230"/>
        </w:trPr>
        <w:tc>
          <w:tcPr>
            <w:tcW w:w="4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4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12,480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Common stock repurchased and retired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4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Options repurchased</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4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Release of restricted stock units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(60,135)</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(60,135)</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BALANCE—December 31, 2021</w:t>
            </w: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683,966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513,056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40,804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43,475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Deferred cost of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(10,634)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Noncurrent assets and liabilities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17,708</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Issuance of common stock in connection with the initial public offering, net of underwriting</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60"/>
              <w:spacing w:after="0"/>
              <w:rPr>
                <w:sz w:val="20"/>
                <w:szCs w:val="20"/>
                <w:color w:val="auto"/>
              </w:rPr>
            </w:pPr>
            <w:r>
              <w:rPr>
                <w:rFonts w:ascii="Arial" w:cs="Arial" w:eastAsia="Arial" w:hAnsi="Arial"/>
                <w:sz w:val="18"/>
                <w:szCs w:val="18"/>
                <w:color w:val="auto"/>
              </w:rPr>
              <w:t>discounts and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proceeds from issuance of convertible preferred stock</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44,923</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Repurchases of stock options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430,468</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46,953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60,647</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59,843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9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operating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Implementation costs for cloud computing included in Current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 included in Current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included in Current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Duolingo, Inc. (the “Company” or “Duolingo”) was formed on August 18, 2011 and the Duolingo app was launched to the general public on June 19, 2012. The Company’s headquarters are located in Pittsburgh, Pennsylvania.</w:t>
      </w:r>
    </w:p>
    <w:p>
      <w:pPr>
        <w:spacing w:after="0" w:line="143"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On July 30, 2021, Duolingo completed its Initial Public Offering (“IPO”) of 5,872 shares of its Class A common stock at a price to the public of $102.00 per share, 4,466 of which were sold by the Company and 1,406 of which were sold by certain selling stockholders, which includes the exercise in full by the underwriters of their option to purchase from the Company an additional 766 shares of the Company’s Class A common stock. The gross proceeds to the Company from the IPO were $455,532, before deducting underwriting discounts and commissions and offering expenses payable by the Company. The Company did not receive any proceeds from the sale of shares of Class A common stock in the offering by the selling stockholders. Immediately prior to the completion of the IPO, all convertible preferred stock outstanding, totaling approximately 19,074 shares, was automatically converted into an equivalent number of shares of Class B common stock on a one-to-one basis and their carrying value of $182,609 was reclassified to additional paid-in capital within stockholders’ equity (deficit) . Additionally, on July 15, 2021, 6,930 shares held by our founders were exchanged from Class A common stock into Class B common stock.</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over 40 different languages, including Spanish, English, French, German, Italian, Portuguese, Japanese and Chinese. We have locations in the United States, China and Germany.</w:t>
      </w:r>
    </w:p>
    <w:p>
      <w:pPr>
        <w:spacing w:after="0" w:line="113"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subsidiaries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control. All intercompany transactions and balances have been eliminated.</w:t>
      </w:r>
    </w:p>
    <w:p>
      <w:pPr>
        <w:spacing w:after="0" w:line="9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Consolidated Financial Statements have been prepared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(“GAAP”) from the Company’s accounting records and reflect the consolidated financial position and results of operations for the years ended December 31, 2021 and 2020. Unless otherwise specified, all dollar amounts are referred to in thousands.</w:t>
      </w:r>
    </w:p>
    <w:p>
      <w:pPr>
        <w:spacing w:after="0" w:line="14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Consolidated Financial Statements have been prepared pursuant to the rules and regulations of the Securities and Exchange Commission (“SEC”).</w:t>
      </w:r>
    </w:p>
    <w:p>
      <w:pPr>
        <w:spacing w:after="0" w:line="108"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GAAP.</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28"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has three predominant sources of revenue; time-based subscriptions, in-app advertising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third parties, and the Duolingo English Test. See Footnote 3 for further discussion.</w:t>
      </w:r>
    </w:p>
    <w:p>
      <w:pPr>
        <w:spacing w:after="0" w:line="98"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Deferred Revenues—</w:t>
      </w:r>
      <w:r>
        <w:rPr>
          <w:rFonts w:ascii="Arial" w:cs="Arial" w:eastAsia="Arial" w:hAnsi="Arial"/>
          <w:sz w:val="18"/>
          <w:szCs w:val="18"/>
          <w:color w:val="auto"/>
        </w:rPr>
        <w:t>Revenue is recognized over the life of the subscription, or in the case of Duolingo English Test, revenue is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test is proctored. The Company classifies deferred revenue as a short-term liability on the consolidated balance sheets as the longest subscription plan is for twelve months, and Duolingo English Test purchases must be taken within 21 days.</w:t>
      </w:r>
    </w:p>
    <w:p>
      <w:pPr>
        <w:spacing w:after="0" w:line="116"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Cost of revenue predominantly consists of third-party payment processing fees charged by various distribution channel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hosting fees. To a much lesser extent, includes wages and stock-based compensation for certain employees in the capacity of customer support, amortization of revenue generating capitalized software, and depreciation of certain property and equipment.</w:t>
      </w:r>
    </w:p>
    <w:p>
      <w:pPr>
        <w:spacing w:after="0" w:line="11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Deferred Cost of Revenues—</w:t>
      </w:r>
      <w:r>
        <w:rPr>
          <w:rFonts w:ascii="Arial" w:cs="Arial" w:eastAsia="Arial" w:hAnsi="Arial"/>
          <w:sz w:val="18"/>
          <w:szCs w:val="18"/>
          <w:color w:val="auto"/>
        </w:rPr>
        <w:t>Deferred cost of revenue includes third-party payment processing fees amortized over the subscription terms</w:t>
      </w:r>
      <w:r>
        <w:rPr>
          <w:rFonts w:ascii="Arial" w:cs="Arial" w:eastAsia="Arial" w:hAnsi="Arial"/>
          <w:sz w:val="18"/>
          <w:szCs w:val="18"/>
          <w:b w:val="1"/>
          <w:bCs w:val="1"/>
          <w:color w:val="auto"/>
        </w:rPr>
        <w:t xml:space="preserve"> </w:t>
      </w:r>
      <w:r>
        <w:rPr>
          <w:rFonts w:ascii="Arial" w:cs="Arial" w:eastAsia="Arial" w:hAnsi="Arial"/>
          <w:sz w:val="18"/>
          <w:szCs w:val="18"/>
          <w:color w:val="auto"/>
        </w:rPr>
        <w:t>in proportion to the revenue 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121" w:lineRule="exact"/>
        <w:rPr>
          <w:sz w:val="20"/>
          <w:szCs w:val="20"/>
          <w:color w:val="auto"/>
        </w:rPr>
      </w:pPr>
    </w:p>
    <w:p>
      <w:pPr>
        <w:jc w:val="both"/>
        <w:ind w:right="120"/>
        <w:spacing w:after="0" w:line="284"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consist of direct incremental legal, accounting, and consulting fees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IPO, are capitalized. Deferred offering costs related to underwriting discounts and commissions and offering expenses of $4,865 were offset against IPO proceeds upon the consummation of the IPO.</w:t>
      </w:r>
    </w:p>
    <w:p>
      <w:pPr>
        <w:spacing w:after="0" w:line="11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44,165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20,428</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509,757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553,922</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the unadjusted, quoted prices in active markets for identical assets or liabilities at the measurement date.</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receivables are reported on the consolidated balance sheets at the outstanding principal amount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allowance for credit losses and any charge offs. The Company provides an allowance for credit losses to reduce trade receivables to their estimated net realizable value equal to the amount that is expected to be collected. This allowance is estimated based on historical collection experience, the aging of receivables, specific current and expected future macro-economic and market conditions, and assessments of the current creditworthiness and economic status of customers.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2021 and 2020, the Company has not recorded a reserve given the Company’s lack of historical write offs.</w:t>
      </w:r>
    </w:p>
    <w:p>
      <w:pPr>
        <w:spacing w:after="0" w:line="128"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stated at cost, less accumulated depreciation. Depreciation is computed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w:t>
            </w:r>
          </w:p>
        </w:tc>
        <w:tc>
          <w:tcPr>
            <w:tcW w:w="28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8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Furniture, fixtures and equipment</w:t>
            </w:r>
          </w:p>
        </w:tc>
        <w:tc>
          <w:tcPr>
            <w:tcW w:w="28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 to 7 years</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4 to 6 years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lesser of the life of the lease or the estimated useful life of the leasehold improvements.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maintenance and repairs that do not extend the assets’ useful life are expensed as incurred.</w:t>
      </w:r>
    </w:p>
    <w:p>
      <w:pPr>
        <w:spacing w:after="0" w:line="163"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Capitalized software</w:t>
      </w:r>
      <w:r>
        <w:rPr>
          <w:rFonts w:ascii="Arial" w:cs="Arial" w:eastAsia="Arial" w:hAnsi="Arial"/>
          <w:sz w:val="18"/>
          <w:szCs w:val="18"/>
          <w:color w:val="auto"/>
        </w:rPr>
        <w:t>—The Company develops software for internal use and capitalizes the software development costs incurred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provides for income taxes in accordance with the asset and liability method. Under this method,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 The Company limits the deferred tax assets recognized related to certain officers’ compensation to amounts that it estimates will be deductible in future periods based upon Internal Revenue Code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second step is to measure the tax benefit as the largest amount that is 50% likely of being realized upon settlement with a tax authority.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amounts recorded at December 31, 2021 and 2020 related to uncertain tax positions.</w:t>
      </w:r>
    </w:p>
    <w:p>
      <w:pPr>
        <w:spacing w:after="0" w:line="163"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 and its subsidiaries is the United States dollar. Transactions denominated in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other than the functional 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1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 accounts for certain assets and liabilities at fair value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guidance applicable to fair value measurements and disclosures. The carrying values of cash, cash equivalents, accounts receivable, accounts payable, and accrued expenses are deemed to be reasonable estimates of their fair values because of their short-term nature.</w:t>
      </w:r>
    </w:p>
    <w:p>
      <w:pPr>
        <w:spacing w:after="0" w:line="12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expenses are incurred as the Company maintains and enhances its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evaluates and develops other potential applications. Such expenses include compensation of engineering, product design and testing personnel, including stock-based compensation, materials, travel and direct costs associated with the design and required testing of our platform and depreciation of certain property and equipment.</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stock-based compensation for personnel engaged in sales and marketing functions, amortization of non-revenue generating capitalized software used to promote Duolingo, and depreciation of certain property and equipment. Advertising costs were approximately $42,964 and $27,352 for the years ended December 31, 2021 and 2020, respectively.</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 primarily consists of employee related compensation (including stock-based compensation) for management 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Contributors—</w:t>
      </w:r>
      <w:r>
        <w:rPr>
          <w:rFonts w:ascii="Arial" w:cs="Arial" w:eastAsia="Arial" w:hAnsi="Arial"/>
          <w:sz w:val="18"/>
          <w:szCs w:val="18"/>
          <w:color w:val="auto"/>
        </w:rPr>
        <w:t>On March 10, 2021, the Company announced that it was ending its non-employee volunteer program, which began in 2013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build and improve language courses. As part of this change, those contributors who participated in the program became eligible to receive a one-time award, up to an aggregate amount of approximately $4,220, including fees paid to process payments of approximately $526. The Company accounted for this under Financial Accounting Standards Board (“FASB”) Accounting Standards Codifications (“ASC”) 958-720, </w:t>
      </w:r>
      <w:r>
        <w:rPr>
          <w:rFonts w:ascii="Arial" w:cs="Arial" w:eastAsia="Arial" w:hAnsi="Arial"/>
          <w:sz w:val="18"/>
          <w:szCs w:val="18"/>
          <w:i w:val="1"/>
          <w:iCs w:val="1"/>
          <w:color w:val="auto"/>
        </w:rPr>
        <w:t xml:space="preserve">Not-For-Profit Entities - Other Expenses </w:t>
      </w:r>
      <w:r>
        <w:rPr>
          <w:rFonts w:ascii="Arial" w:cs="Arial" w:eastAsia="Arial" w:hAnsi="Arial"/>
          <w:sz w:val="18"/>
          <w:szCs w:val="18"/>
          <w:color w:val="auto"/>
        </w:rPr>
        <w:t>and ASC 720-25,</w:t>
      </w:r>
      <w:r>
        <w:rPr>
          <w:rFonts w:ascii="Arial" w:cs="Arial" w:eastAsia="Arial" w:hAnsi="Arial"/>
          <w:sz w:val="18"/>
          <w:szCs w:val="18"/>
          <w:i w:val="1"/>
          <w:iCs w:val="1"/>
          <w:color w:val="auto"/>
        </w:rPr>
        <w:t xml:space="preserve"> Contributions Made</w:t>
      </w:r>
      <w:r>
        <w:rPr>
          <w:rFonts w:ascii="Arial" w:cs="Arial" w:eastAsia="Arial" w:hAnsi="Arial"/>
          <w:sz w:val="18"/>
          <w:szCs w:val="18"/>
          <w:color w:val="auto"/>
        </w:rPr>
        <w:t>, based on the nature of this contribution, which is an</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 promise.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amount is included within Sales and marketing in the Consolidated Statement of Operations and Comprehensive Loss.</w:t>
      </w:r>
    </w:p>
    <w:p>
      <w:pPr>
        <w:spacing w:after="0" w:line="163"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providers. The top three, Apple, Google, and Stripe, accounted for 51.1%, 27.9%, and 10.1% of total Accounts receivable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respectively. The top three service providers, Apple, Google and Stripe, accounted for 47.8%, 28.9% and 13.8% of total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as of December 31, 2020, respectively.</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Three service providers, Apple, Google, and Stripe, processed 50.5%, 29.0%, and 10.1% of total Revenues for the year ended December 31, 2021. Two services providers, Apple and Google, processed 51.3% and 26.9% of total Revenues for the year ended December 31, 2020.</w:t>
      </w:r>
    </w:p>
    <w:p>
      <w:pPr>
        <w:spacing w:after="0" w:line="9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accounts for equity-based compensation using the fair value method as set forth in the ASC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the measurement and recognition of compensation expense for all stock-based payment awards based on estimated fair values. This method 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14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0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began to grant RSUs in November 2020. The fair value of RSUs is estimated based on the fair value of the Company’s common stock on the date of grant. Each RSU award granted prior to the IPO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The Company measures and recognizes compensation expense for all stock-based awards based on the estimated fair value of the award. Prior to July 30, 2021, no stock-based compensation expense had been recognized for RSUs because the liquidity-based vesting condition had not been probable of being satisfied. Upon the IPO, the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based vesting condition was satisfied and $2,035 of stock-based compensation expense was recognized related to these awards during the year ended December 31, 2021. Of that amount, $1,332, $210 and $493 was included within Research and development, Sales and marketing and General and administrative, respectively, in the Consolidated Statement of Operations and Comprehensive Loss.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June 2021, the Company granted 1,800 (one million eight-hundred thousand) performance-based RSUs to the Company’s founders (“Founder Awards”). The Founder Awards are divided into ten equal tranches with each tranche becoming eligible to vest upon achievement of the specified stock-price hurdles.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fair value of the Founder Awards is determined using a Monte Carlo simulation model.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 The first and second tranches were met during the year ended December 31, 2021. The Company recognized $16,463 of stock-based compensation expense related to these awards, which is included within General and administrative in the Consolidated Statement of Operations and Comprehensive Loss.</w:t>
      </w:r>
    </w:p>
    <w:p>
      <w:pPr>
        <w:spacing w:after="0" w:line="131"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—The Company records accruals for contingencies and legal proceedings expected to be incurred in connection with a loss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contingency when it is probable that a liability has been incurred and the amount can be reasonably estimated.</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2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Segment</w:t>
      </w:r>
      <w:r>
        <w:rPr>
          <w:rFonts w:ascii="Arial" w:cs="Arial" w:eastAsia="Arial" w:hAnsi="Arial"/>
          <w:sz w:val="18"/>
          <w:szCs w:val="18"/>
          <w:color w:val="auto"/>
        </w:rPr>
        <w:t>—The Company operates as a single operating segment. The chief operating decision maker of the Company is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who makes resource allocation decisions and assesses performance based on financial information presented on a consolidated basis, accompanied by disaggregated information of our revenue. Accordingly, the Company has determined that it has a single reportable segment and operating segment structure, and operates as one reporting unit.</w:t>
      </w:r>
    </w:p>
    <w:p>
      <w:pPr>
        <w:spacing w:after="0" w:line="12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—The Company accounts for leases in accordance with ASC 842,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requires virtually all leases, other than leases that</w:t>
      </w:r>
      <w:r>
        <w:rPr>
          <w:rFonts w:ascii="Arial" w:cs="Arial" w:eastAsia="Arial" w:hAnsi="Arial"/>
          <w:sz w:val="18"/>
          <w:szCs w:val="18"/>
          <w:b w:val="1"/>
          <w:bCs w:val="1"/>
          <w:color w:val="auto"/>
        </w:rPr>
        <w:t xml:space="preserve"> </w:t>
      </w:r>
      <w:r>
        <w:rPr>
          <w:rFonts w:ascii="Arial" w:cs="Arial" w:eastAsia="Arial" w:hAnsi="Arial"/>
          <w:sz w:val="18"/>
          <w:szCs w:val="18"/>
          <w:color w:val="auto"/>
        </w:rPr>
        <w:t>meet the definition of a short-term lease, to be recorded on the balance sheet with a right-of-use (“ROU”) asset and corresponding lease liability. ROU assets are periodically reviewed for impairment whenever events or changes in circumstances arise. During the years ended December 31, 2021 and 2020, the Company incurred no impairment charges on ROU assets.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the lease commencement date, each lease is classified as either finance or operating, depending on certain criteria. The Company determined that it only has operating leases as none of the criteria for finance lease classification were met. Operating lease expense is recognized on a straight-line basis on the Consolidated Statement of Operations and Comprehensive Loss in General and administrative expenses. On the Consolidated Statements of Changes in Cash Flows, payments for operating leases, including the interest component, are included in operating activities. As an accounting policy election, the Company has elected to not separate lease and non-lease components for all asset classes and made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accounting policy election for short-term leases which does not require the capitalization of leases with terms of 12 months or less at lease commencement. 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 xml:space="preserve">In August 2018, the FASB issued Accounting Standard Update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 (ASU 2018-15)</w:t>
      </w:r>
      <w:r>
        <w:rPr>
          <w:rFonts w:ascii="Arial" w:cs="Arial" w:eastAsia="Arial" w:hAnsi="Arial"/>
          <w:sz w:val="18"/>
          <w:szCs w:val="18"/>
          <w:color w:val="auto"/>
        </w:rPr>
        <w:t>. ASU 2018-15 aligns the requirements for capitalizing implementation costs incurred in a hosting arrangement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 with the requirements for capitalizing implementation costs incurred to develop or obtain internal-use software. The Company adopted this guidance on January 1, 2021 and it did not have a material impact on its Consolidated Financial Statements and related disclosures upon adoption.</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2020. The Company adopted this guidance on January 1, 2021 and it did not have a material impact on its Consolidated Financial Statements and related disclosures upon adoption.</w:t>
      </w:r>
    </w:p>
    <w:p>
      <w:pPr>
        <w:spacing w:after="0" w:line="11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three predominant sources of revenues;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Under the year-long subscription, users can also purchase a single plan or a family plan. The family plan includes up to six users to be on one subscription.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5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 the exam or their purchase will expire and revenue will be recognized. Virtually all customers complete their exams prior to expiration. Sometimes organizations may purchase tests in bulk via coupons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one year expiration date. The Company will defer revenue from all tests that haven’t been proctored nor expired.</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2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9"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which most closely depicts how the nature, amount, timing and uncertainty of revenue and cash flows are affected by economic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180,698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250,772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180,698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Duolingo English Test</w:t>
            </w: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24,658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15,155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250,772</w:t>
            </w:r>
          </w:p>
        </w:tc>
        <w:tc>
          <w:tcPr>
            <w:tcW w:w="100" w:type="dxa"/>
            <w:vAlign w:val="bottom"/>
            <w:tcBorders>
              <w:bottom w:val="single" w:sz="8" w:color="DBDBDB"/>
            </w:tcBorders>
            <w:shd w:val="clear" w:color="auto" w:fill="DBDBDB"/>
          </w:tcPr>
          <w:p>
            <w:pPr>
              <w:spacing w:after="0"/>
              <w:rPr>
                <w:sz w:val="24"/>
                <w:szCs w:val="24"/>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is mainly comprised of in-app purchases of virtual goods.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regarding geography of revenues is based upon the location where the users are located or, in the case of the Duolingo English Test, where the tests are taken: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109,163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70,978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15,245</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116,446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75,473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161,696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Customers located in the United States accounted for 44% of total revenues for both of the years ended December 31, 2021 and 2020, respectively, and customers located in the United Kingdom accounted for 10% and 9% for the years ended December 31, 2021 and 2020, respectively. No other country accounted for more than 10% of revenue in the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revenues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(139,371)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(91,193)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145,985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balance—December 31</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98,267</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80" w:type="dxa"/>
            <w:vAlign w:val="bottom"/>
          </w:tcPr>
          <w:p>
            <w:pPr>
              <w:spacing w:after="0"/>
              <w:rPr>
                <w:sz w:val="20"/>
                <w:szCs w:val="20"/>
                <w:color w:val="auto"/>
              </w:rPr>
            </w:pPr>
            <w:r>
              <w:rPr>
                <w:rFonts w:ascii="Arial" w:cs="Arial" w:eastAsia="Arial" w:hAnsi="Arial"/>
                <w:sz w:val="18"/>
                <w:szCs w:val="18"/>
                <w:color w:val="auto"/>
              </w:rPr>
              <w:t>Property and equipment consists of the following as of December 31, 2021 and 2020:</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Furniture, fixtures and equipment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property and equipment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13,311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Depreciation expense was $2,033 for the year ended December 31, 2021 and $1,624 for the year ended December 31, 2020, and is predominately included within General and administrative, with nominal amounts in Cost of revenues, Research and development and Sales and marketing in the Company’s Consolidated Statement of Operations and Comprehensive Loss.</w:t>
      </w:r>
    </w:p>
    <w:p>
      <w:pPr>
        <w:spacing w:after="0" w:line="1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CAPITALIZED SOFTWARE,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consists of the following as of December 31, 2021 and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DBDBDB"/>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11,144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5"/>
              <w:spacing w:after="0"/>
              <w:rPr>
                <w:sz w:val="20"/>
                <w:szCs w:val="20"/>
                <w:color w:val="auto"/>
              </w:rPr>
            </w:pPr>
            <w:r>
              <w:rPr>
                <w:rFonts w:ascii="Arial" w:cs="Arial" w:eastAsia="Arial" w:hAnsi="Arial"/>
                <w:sz w:val="18"/>
                <w:szCs w:val="18"/>
                <w:color w:val="auto"/>
                <w:w w:val="97"/>
              </w:rPr>
              <w:t>8,181</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(5,885)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center"/>
              <w:ind w:left="515"/>
              <w:spacing w:after="0"/>
              <w:rPr>
                <w:sz w:val="20"/>
                <w:szCs w:val="20"/>
                <w:color w:val="auto"/>
              </w:rPr>
            </w:pPr>
            <w:r>
              <w:rPr>
                <w:rFonts w:ascii="Arial" w:cs="Arial" w:eastAsia="Arial" w:hAnsi="Arial"/>
                <w:sz w:val="18"/>
                <w:szCs w:val="18"/>
                <w:color w:val="auto"/>
                <w:w w:val="97"/>
              </w:rPr>
              <w:t>2,296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of $693 for the year ended December 31, 2021, and $632 for the year ended December 31, 2020 is recorded in the Company’s Consolidated Statement of Operations and Comprehensive Loss,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included within the following financial statement line items within the Company’s Consolidated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Loss: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years ended December 31, 2021 and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0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has entered into various operating leases for its office space expiring between fiscal 2023 and 2035.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4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In November 2021, the Company signed a new lease for office space. The term of the newly executed lease is 162 months beginning on November 16, 2021 and expiring on April 30, 2035. The Company has the option to cancel the lease with at least twelve months prior written notice starting April 30, 2030. Additionally there are two five year extension options in the lease which the Company has not included in the lease term. The remaining payments related to this lease agreement as of December 31, 2021 are approximately $24,261.</w:t>
      </w:r>
    </w:p>
    <w:p>
      <w:pPr>
        <w:spacing w:after="0" w:line="1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In December 2021, the Company signed an extension for existing office space. The term of the amended lease is 30 months beginning on December 23, 2021 and expiring on May 31, 2024. The remaining payments related to this lease agreement as of December 31, 2021 are approximately $7,772.</w:t>
      </w:r>
    </w:p>
    <w:p>
      <w:pPr>
        <w:spacing w:after="0" w:line="14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represents the components of lease cost for the years ended December 31, 2021 and 2020 along with supplemental disclosures of cash flow information,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3"/>
        </w:trPr>
        <w:tc>
          <w:tcPr>
            <w:tcW w:w="772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r>
      <w:tr>
        <w:trPr>
          <w:trHeight w:val="22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3"/>
              </w:rPr>
              <w:t>1,721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Short term lease cost</w:t>
            </w:r>
          </w:p>
        </w:tc>
        <w:tc>
          <w:tcPr>
            <w:tcW w:w="360" w:type="dxa"/>
            <w:vAlign w:val="bottom"/>
          </w:tcPr>
          <w:p>
            <w:pPr>
              <w:spacing w:after="0"/>
              <w:rPr>
                <w:sz w:val="19"/>
                <w:szCs w:val="19"/>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317</w:t>
            </w:r>
          </w:p>
        </w:tc>
      </w:tr>
      <w:tr>
        <w:trPr>
          <w:trHeight w:val="22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Variable lease cost</w:t>
            </w:r>
          </w:p>
        </w:tc>
        <w:tc>
          <w:tcPr>
            <w:tcW w:w="36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2,038</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75"/>
        </w:trPr>
        <w:tc>
          <w:tcPr>
            <w:tcW w:w="7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2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22,274</w:t>
            </w:r>
          </w:p>
        </w:tc>
        <w:tc>
          <w:tcPr>
            <w:tcW w:w="100" w:type="dxa"/>
            <w:vAlign w:val="bottom"/>
          </w:tcPr>
          <w:p>
            <w:pPr>
              <w:spacing w:after="0"/>
              <w:rPr>
                <w:sz w:val="19"/>
                <w:szCs w:val="19"/>
                <w:color w:val="auto"/>
              </w:rPr>
            </w:pP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Right-of-use assets disposed modifying operating lease liabilities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ind w:right="8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Gain from termination of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0" w:type="dxa"/>
            <w:vAlign w:val="bottom"/>
            <w:shd w:val="clear" w:color="auto" w:fill="DBDBDB"/>
          </w:tcPr>
          <w:p>
            <w:pPr>
              <w:spacing w:after="0"/>
              <w:rPr>
                <w:sz w:val="19"/>
                <w:szCs w:val="19"/>
                <w:color w:val="auto"/>
              </w:rPr>
            </w:pPr>
          </w:p>
        </w:tc>
        <w:tc>
          <w:tcPr>
            <w:tcW w:w="1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9 years</w:t>
            </w: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 years, 11 months</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6.70 %</w:t>
            </w:r>
          </w:p>
        </w:tc>
      </w:tr>
    </w:tbl>
    <w:p>
      <w:pPr>
        <w:spacing w:after="0" w:line="2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reconciles future minimum undiscounted rental commitments for operating leases to operating lease liabilities recorded on the Consolidated Balance Sheet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60" w:type="dxa"/>
            <w:vAlign w:val="bottom"/>
            <w:tcBorders>
              <w:top w:val="single" w:sz="8" w:color="auto"/>
            </w:tcBorders>
          </w:tcPr>
          <w:p>
            <w:pPr>
              <w:jc w:val="right"/>
              <w:ind w:right="9030"/>
              <w:spacing w:after="0"/>
              <w:rPr>
                <w:sz w:val="20"/>
                <w:szCs w:val="20"/>
                <w:color w:val="auto"/>
              </w:rPr>
            </w:pPr>
            <w:r>
              <w:rPr>
                <w:rFonts w:ascii="Arial" w:cs="Arial" w:eastAsia="Arial" w:hAnsi="Arial"/>
                <w:sz w:val="18"/>
                <w:szCs w:val="18"/>
                <w:color w:val="auto"/>
              </w:rPr>
              <w:t>2022</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r>
      <w:tr>
        <w:trPr>
          <w:trHeight w:val="229"/>
        </w:trPr>
        <w:tc>
          <w:tcPr>
            <w:tcW w:w="9660" w:type="dxa"/>
            <w:vAlign w:val="bottom"/>
            <w:shd w:val="clear" w:color="auto" w:fill="DBDBDB"/>
          </w:tcPr>
          <w:p>
            <w:pPr>
              <w:jc w:val="right"/>
              <w:ind w:right="903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6,624</w:t>
            </w:r>
          </w:p>
        </w:tc>
      </w:tr>
      <w:tr>
        <w:trPr>
          <w:trHeight w:val="230"/>
        </w:trPr>
        <w:tc>
          <w:tcPr>
            <w:tcW w:w="9660" w:type="dxa"/>
            <w:vAlign w:val="bottom"/>
          </w:tcPr>
          <w:p>
            <w:pPr>
              <w:jc w:val="right"/>
              <w:ind w:right="903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4,572</w:t>
            </w:r>
          </w:p>
        </w:tc>
      </w:tr>
      <w:tr>
        <w:trPr>
          <w:trHeight w:val="229"/>
        </w:trPr>
        <w:tc>
          <w:tcPr>
            <w:tcW w:w="9660" w:type="dxa"/>
            <w:vAlign w:val="bottom"/>
            <w:shd w:val="clear" w:color="auto" w:fill="DBDBDB"/>
          </w:tcPr>
          <w:p>
            <w:pPr>
              <w:jc w:val="right"/>
              <w:ind w:right="903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3,106</w:t>
            </w:r>
          </w:p>
        </w:tc>
      </w:tr>
      <w:tr>
        <w:trPr>
          <w:trHeight w:val="230"/>
        </w:trPr>
        <w:tc>
          <w:tcPr>
            <w:tcW w:w="9660" w:type="dxa"/>
            <w:vAlign w:val="bottom"/>
          </w:tcPr>
          <w:p>
            <w:pPr>
              <w:jc w:val="right"/>
              <w:ind w:right="903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3,173</w:t>
            </w:r>
          </w:p>
        </w:tc>
      </w:tr>
      <w:tr>
        <w:trPr>
          <w:trHeight w:val="230"/>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21,763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44,391</w:t>
            </w:r>
          </w:p>
        </w:tc>
      </w:tr>
      <w:tr>
        <w:trPr>
          <w:trHeight w:val="229"/>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Present value adjustment</w:t>
            </w:r>
          </w:p>
        </w:tc>
        <w:tc>
          <w:tcPr>
            <w:tcW w:w="5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(11,931)</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32,460</w:t>
            </w:r>
          </w:p>
        </w:tc>
      </w:tr>
      <w:tr>
        <w:trPr>
          <w:trHeight w:val="20"/>
        </w:trPr>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Current lease liabilities of $3,336 and $1,111 are presented within Accrued expenses and other liabilities while non-current lease liabilities of $29,124 and $8,131 are presented within Long-term obligation under operating leases on the Consolidated Balance Sheets for the years ended December 31, 2021 and 2020 respectively.</w:t>
      </w:r>
    </w:p>
    <w:p>
      <w:pPr>
        <w:spacing w:after="0" w:line="114"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incurred $177 provision for income taxes for the year ended December 31, 2021, of which $97 was related to foreign income taxes and $80 for state income taxes. For the year ended December 31, 2020, the Company incurred $68 provision for income taxes, of which $26 was related to foreign income taxes and $42 for state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deferred tax assets (liabilities)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61,605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20,912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4,936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DTA</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Sales tax / VAT reserve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(76,293)</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(26,236)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108"/>
        </w:trPr>
        <w:tc>
          <w:tcPr>
            <w:tcW w:w="7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ROU asset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DTL</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(9,341)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(3,468)</w:t>
            </w:r>
          </w:p>
        </w:tc>
      </w:tr>
      <w:tr>
        <w:trPr>
          <w:trHeight w:val="338"/>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has provided a valuation allowance for the net deferred tax asset as it is not more likely than not that the asset will be realized. The movement in valuation allowance of $50,057 is primarily related to the generation of additional net operating losses and research and development credits.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activity in our valuation allowance for the years ended December 31, 2021 and 2020:</w:t>
      </w:r>
    </w:p>
    <w:p>
      <w:pPr>
        <w:spacing w:after="0" w:line="3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ectPr>
          <w:pgSz w:w="11900" w:h="16838" w:orient="portrait"/>
          <w:cols w:equalWidth="0" w:num="1">
            <w:col w:w="11240"/>
          </w:cols>
          <w:pgMar w:left="320" w:top="152"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balance—January 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Valuation allowances established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Release of valuation allowances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balance—December 31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(26,236)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(23,851)</w:t>
            </w:r>
          </w:p>
        </w:tc>
      </w:tr>
      <w:tr>
        <w:trPr>
          <w:trHeight w:val="230"/>
        </w:trPr>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(50,057)</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(2,928)</w:t>
            </w:r>
          </w:p>
        </w:tc>
      </w:tr>
      <w:tr>
        <w:trPr>
          <w:trHeight w:val="229"/>
        </w:trPr>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-633730</wp:posOffset>
            </wp:positionV>
            <wp:extent cx="710628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-333375</wp:posOffset>
            </wp:positionV>
            <wp:extent cx="710628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300"/>
          </w:cols>
          <w:pgMar w:left="320" w:top="152"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amounts computed by applying the federal statutory rate as follows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Borders>
              <w:bottom w:val="single" w:sz="8" w:color="DBDBDB"/>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30"/>
        </w:trPr>
        <w:tc>
          <w:tcPr>
            <w:tcW w:w="87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Federal statutory rate</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DBDBDB"/>
            </w:tcBorders>
            <w:shd w:val="clear" w:color="auto" w:fill="DBDBDB"/>
          </w:tcPr>
          <w:p>
            <w:pPr>
              <w:spacing w:after="0"/>
              <w:rPr>
                <w:sz w:val="20"/>
                <w:szCs w:val="20"/>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State taxes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1.8</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Sec. 162(m) limitation</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(18.4)</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Other permanent adjustments</w:t>
            </w:r>
          </w:p>
        </w:tc>
        <w:tc>
          <w:tcPr>
            <w:tcW w:w="68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(1.8)</w:t>
            </w:r>
          </w:p>
        </w:tc>
      </w:tr>
      <w:tr>
        <w:trPr>
          <w:trHeight w:val="24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10.2</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1020" w:type="dxa"/>
            <w:vAlign w:val="bottom"/>
            <w:tcBorders>
              <w:bottom w:val="single" w:sz="8" w:color="DBDBDB"/>
            </w:tcBorders>
            <w:shd w:val="clear" w:color="auto" w:fill="DBDBDB"/>
          </w:tcPr>
          <w:p>
            <w:pPr>
              <w:spacing w:after="0"/>
              <w:rPr>
                <w:sz w:val="23"/>
                <w:szCs w:val="23"/>
                <w:color w:val="auto"/>
              </w:rPr>
            </w:pPr>
          </w:p>
        </w:tc>
        <w:tc>
          <w:tcPr>
            <w:tcW w:w="68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DBDBDB"/>
            </w:tcBorders>
            <w:shd w:val="clear" w:color="auto" w:fill="DBDBDB"/>
          </w:tcPr>
          <w:p>
            <w:pPr>
              <w:spacing w:after="0"/>
              <w:rPr>
                <w:sz w:val="23"/>
                <w:szCs w:val="23"/>
                <w:color w:val="auto"/>
              </w:rPr>
            </w:pPr>
          </w:p>
        </w:tc>
        <w:tc>
          <w:tcPr>
            <w:tcW w:w="17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(13.2)</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0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2021 and 2020 effective tax rate is less than the statutory rate primarily as a result of the valuation allowance for net deferred tax assets.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approximately $257,115 in federal net operating loss carryforwards and approximately $98,131 in state net operating loss carryforwards. Certain of these loss carryforwards have an indefinite</w:t>
      </w:r>
    </w:p>
    <w:p>
      <w:pPr>
        <w:sectPr>
          <w:pgSz w:w="11900" w:h="16838" w:orient="portrait"/>
          <w:cols w:equalWidth="0" w:num="1">
            <w:col w:w="11240"/>
          </w:cols>
          <w:pgMar w:left="320" w:top="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life and other amounts are available to offset future taxable income through 2041. The Company has approximately $14,480 in federal general business credits that are available to offset future taxable income through 2041. The Company has analyzed the impact of Internal Revenue Code (“IRC”) Sections 382 and 383 on these tax attributes and has determined that no prior ownership changes have occurred which would limit the Company’s ability to utilize the NOLs and research and development tax credits.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through the 2021 tax year remain subject to examination by federal and state tax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uncertain tax benefits have been recorded in 2021 and 2020, respectively.</w:t>
      </w:r>
    </w:p>
    <w:p>
      <w:pPr>
        <w:spacing w:after="0" w:line="149"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Immediately prior to the completion of the IPO on July 30, 2021, all convertible preferred stock outstanding, totaling approximately 19,074 shares, was automatically converted into an equivalent number of shares of Class B common stock on a one-to-one basis and their carrying value of $182,609 was reclassified to additional paid-in capital within stockholders’ equity (deficit).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convertible preferred stock outstanding immediately prior to the conversion into common stock and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5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Shares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Per share price</w:t>
            </w: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2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liquidation</w:t>
            </w:r>
          </w:p>
        </w:tc>
        <w:tc>
          <w:tcPr>
            <w:tcW w:w="12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Funds received</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Fees incurred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1760" w:type="dxa"/>
            <w:vAlign w:val="bottom"/>
            <w:tcBorders>
              <w:bottom w:val="single" w:sz="8" w:color="DBDBDB"/>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23"/>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F</w:t>
            </w:r>
          </w:p>
        </w:tc>
        <w:tc>
          <w:tcPr>
            <w:tcW w:w="12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76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Prior to the IPO, the Company granted options to purchase shares of the Company’s common stock and restricted stock units in respect of shares of the Company’s common stock to employees, directors and consultants under the Company’s 2011 Equity Incentive Plan. In July 2021, Duolingo adopted the 2021 Incentive Award Plan (2021 Plan) and the 2021 Employee Stock Purchase Plan (“ESPP”), each of which became effective on July 26, 2021 in connection with the IPO. An aggregate of 7,946 shares and 1,119 shares of Class A common stock were made available for future issuance under the 2021 Plan and ESPP, respectively. The 2021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underlying Class A common stock at the date of the grant.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December 31, 2021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585,339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exercisable at December 31,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4,420</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422,076</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total intrinsic value of options exercised was approximately $194,513 and $6,058 for the years ended December 31, 2021 and 2020, respectively. The total weighted-average grant date fair value of options granted was $24.61 and $9.77 and for the years ended December 31, 2021 and 2020, respectively.</w:t>
      </w:r>
    </w:p>
    <w:p>
      <w:pPr>
        <w:spacing w:after="0" w:line="149" w:lineRule="exact"/>
        <w:rPr>
          <w:sz w:val="20"/>
          <w:szCs w:val="20"/>
          <w:color w:val="auto"/>
        </w:rPr>
      </w:pPr>
    </w:p>
    <w:p>
      <w:pPr>
        <w:ind w:right="820"/>
        <w:spacing w:after="0" w:line="274"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95"/>
              <w:spacing w:after="0"/>
              <w:rPr>
                <w:sz w:val="20"/>
                <w:szCs w:val="20"/>
                <w:color w:val="auto"/>
              </w:rPr>
            </w:pPr>
            <w:r>
              <w:rPr>
                <w:rFonts w:ascii="Arial" w:cs="Arial" w:eastAsia="Arial" w:hAnsi="Arial"/>
                <w:sz w:val="14"/>
                <w:szCs w:val="14"/>
                <w:b w:val="1"/>
                <w:bCs w:val="1"/>
                <w:color w:val="auto"/>
              </w:rPr>
              <w:t>2020</w:t>
            </w:r>
          </w:p>
        </w:tc>
      </w:tr>
      <w:tr>
        <w:trPr>
          <w:trHeight w:val="223"/>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12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 1.14%</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w:t>
            </w:r>
          </w:p>
        </w:tc>
        <w:tc>
          <w:tcPr>
            <w:tcW w:w="1140" w:type="dxa"/>
            <w:vAlign w:val="bottom"/>
            <w:shd w:val="clear" w:color="auto" w:fill="DBDBDB"/>
          </w:tcPr>
          <w:p>
            <w:pPr>
              <w:ind w:left="40"/>
              <w:spacing w:after="0"/>
              <w:rPr>
                <w:sz w:val="20"/>
                <w:szCs w:val="20"/>
                <w:color w:val="auto"/>
              </w:rPr>
            </w:pPr>
            <w:r>
              <w:rPr>
                <w:rFonts w:ascii="Arial" w:cs="Arial" w:eastAsia="Arial" w:hAnsi="Arial"/>
                <w:sz w:val="18"/>
                <w:szCs w:val="18"/>
                <w:color w:val="auto"/>
              </w:rPr>
              <w:t>– 0.68%</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2020" w:type="dxa"/>
            <w:vAlign w:val="bottom"/>
            <w:gridSpan w:val="3"/>
          </w:tcPr>
          <w:p>
            <w:pPr>
              <w:ind w:left="540"/>
              <w:spacing w:after="0"/>
              <w:rPr>
                <w:sz w:val="20"/>
                <w:szCs w:val="20"/>
                <w:color w:val="auto"/>
              </w:rPr>
            </w:pPr>
            <w:r>
              <w:rPr>
                <w:rFonts w:ascii="Arial" w:cs="Arial" w:eastAsia="Arial" w:hAnsi="Arial"/>
                <w:sz w:val="18"/>
                <w:szCs w:val="18"/>
                <w:color w:val="auto"/>
              </w:rPr>
              <w:t>5.90 years</w:t>
            </w:r>
          </w:p>
        </w:tc>
        <w:tc>
          <w:tcPr>
            <w:tcW w:w="1940" w:type="dxa"/>
            <w:vAlign w:val="bottom"/>
            <w:gridSpan w:val="2"/>
          </w:tcPr>
          <w:p>
            <w:pPr>
              <w:ind w:left="560"/>
              <w:spacing w:after="0"/>
              <w:rPr>
                <w:sz w:val="20"/>
                <w:szCs w:val="20"/>
                <w:color w:val="auto"/>
              </w:rPr>
            </w:pPr>
            <w:r>
              <w:rPr>
                <w:rFonts w:ascii="Arial" w:cs="Arial" w:eastAsia="Arial" w:hAnsi="Arial"/>
                <w:sz w:val="18"/>
                <w:szCs w:val="18"/>
                <w:color w:val="auto"/>
              </w:rPr>
              <w:t>6.01 years</w:t>
            </w:r>
          </w:p>
        </w:tc>
      </w:tr>
      <w:tr>
        <w:trPr>
          <w:trHeight w:val="229"/>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48.90</w:t>
            </w:r>
          </w:p>
        </w:tc>
        <w:tc>
          <w:tcPr>
            <w:tcW w:w="12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 49.12%</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45.50</w:t>
            </w:r>
          </w:p>
        </w:tc>
        <w:tc>
          <w:tcPr>
            <w:tcW w:w="1140" w:type="dxa"/>
            <w:vAlign w:val="bottom"/>
            <w:shd w:val="clear" w:color="auto" w:fill="DBDBDB"/>
          </w:tcPr>
          <w:p>
            <w:pPr>
              <w:ind w:left="40"/>
              <w:spacing w:after="0"/>
              <w:rPr>
                <w:sz w:val="20"/>
                <w:szCs w:val="20"/>
                <w:color w:val="auto"/>
              </w:rPr>
            </w:pPr>
            <w:r>
              <w:rPr>
                <w:rFonts w:ascii="Arial" w:cs="Arial" w:eastAsia="Arial" w:hAnsi="Arial"/>
                <w:sz w:val="18"/>
                <w:szCs w:val="18"/>
                <w:color w:val="auto"/>
              </w:rPr>
              <w:t>– 49.38%</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00" w:type="dxa"/>
            <w:vAlign w:val="bottom"/>
          </w:tcPr>
          <w:p>
            <w:pPr>
              <w:spacing w:after="0"/>
              <w:rPr>
                <w:sz w:val="19"/>
                <w:szCs w:val="19"/>
                <w:color w:val="auto"/>
              </w:rPr>
            </w:pPr>
          </w:p>
        </w:tc>
        <w:tc>
          <w:tcPr>
            <w:tcW w:w="12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1140" w:type="dxa"/>
            <w:vAlign w:val="bottom"/>
          </w:tcPr>
          <w:p>
            <w:pPr>
              <w:jc w:val="center"/>
              <w:ind w:right="715"/>
              <w:spacing w:after="0"/>
              <w:rPr>
                <w:sz w:val="20"/>
                <w:szCs w:val="20"/>
                <w:color w:val="auto"/>
              </w:rPr>
            </w:pPr>
            <w:r>
              <w:rPr>
                <w:rFonts w:ascii="Arial" w:cs="Arial" w:eastAsia="Arial" w:hAnsi="Arial"/>
                <w:sz w:val="18"/>
                <w:szCs w:val="18"/>
                <w:color w:val="auto"/>
                <w:w w:val="99"/>
              </w:rPr>
              <w:t>—%</w:t>
            </w: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common stock</w:t>
            </w:r>
          </w:p>
        </w:tc>
        <w:tc>
          <w:tcPr>
            <w:tcW w:w="2020" w:type="dxa"/>
            <w:vAlign w:val="bottom"/>
            <w:gridSpan w:val="3"/>
            <w:shd w:val="clear" w:color="auto" w:fill="DBDBDB"/>
          </w:tcPr>
          <w:p>
            <w:pPr>
              <w:jc w:val="center"/>
              <w:ind w:right="80"/>
              <w:spacing w:after="0"/>
              <w:rPr>
                <w:sz w:val="20"/>
                <w:szCs w:val="20"/>
                <w:color w:val="auto"/>
              </w:rPr>
            </w:pPr>
            <w:r>
              <w:rPr>
                <w:rFonts w:ascii="Arial" w:cs="Arial" w:eastAsia="Arial" w:hAnsi="Arial"/>
                <w:sz w:val="18"/>
                <w:szCs w:val="18"/>
                <w:color w:val="auto"/>
                <w:w w:val="99"/>
              </w:rPr>
              <w:t>$38.08 – $52.80</w:t>
            </w:r>
          </w:p>
        </w:tc>
        <w:tc>
          <w:tcPr>
            <w:tcW w:w="194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w w:val="99"/>
              </w:rPr>
              <w:t>$14.42 – $38.08</w:t>
            </w:r>
          </w:p>
        </w:tc>
      </w:tr>
    </w:tbl>
    <w:p>
      <w:pPr>
        <w:spacing w:after="0" w:line="25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risk-free interest rate is based on the US treasury yield curve in effect as of the grant date. When establishing the expected life assumptions, the Company annually reviews historical employee exercise behavior of option grants and other economic data impacting the period the stock options are expected to remain outstanding. Expected volatility is determined using a benchmark index of similar public companies. The Company based the assumed dividend yield on its expectation of not paying dividends in the foreseeable future. Because the Company’s common stock was not yet publicly traded at the time the options were granted, the Company estimated the fair value of common stock. The Board estimated the fair value of the common stock at the time awards were granted based on factors such as valuations of comparable companies, the status of the Company’s development and sales efforts, revenue growth, and additional objective and subjective factors relating to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RSU activity as of December 31,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Restricted stock units</w:t>
            </w: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29"/>
        </w:trPr>
        <w:tc>
          <w:tcPr>
            <w:tcW w:w="8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Released</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December 31, 2021</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July 30, 2021, no stock-based compensation expense had been recognized for RSUs because the liquidity-based vesting condition had not been probable of being satisfied. Upon the IPO, the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based vesting condition was met and $2,035 of stock-based compensation expense was recognized related to these awards.</w:t>
      </w:r>
    </w:p>
    <w:p>
      <w:pPr>
        <w:spacing w:after="0" w:line="18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As of December 31, 2021, there was approximately $13,428 of unrecognized compensation cost related to stock options granted under the plan with a weighted-average period of approximately two years. The amount of unrecognized compensation expense for RSUs as of December 31, 2021 was $52,478 with a weighted average remaining contractual life of three years, for a total unrecognized compensation expense of $65,906.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were 7,754 shares available for grant at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June 2021, the Company granted an aggregate of 1,800 performance-based RSUs (the “Founder Awards”) to the Company’s founders. The Founder Awards vest upon the satisfaction of both a service-based condition and a performance-based condition and generally are settled 1 year after vesting. The service-based condition is satisfied as to 25% of the Founder Awards on each anniversary of the completion of the IPO, subject to the continuous service of the founders through the applicable date. The performance-based condition will be satisfied with respect to each of 10 equal tranches only if the trailing 60-calendar day volume-weighted average closing trading price of the Company’s Class A common stock reaches certain stock-price hurdles for each such tranche, as set forth below, over a period of 10 years from the date of grant.</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stock-price hurdles fail to be reached prior to the tenth anniversary of the date of grant, no portion of the Founder Awards will vest. Further, any RSUs associated with stock-prices hurdle not achieved by the tenth anniversary of the date of grant will terminate and be cancelled for no additional consideration to the founders. The stock-price hurdles and number of RSUs eligible to vest will be adjusted to reflect any stock splits, stock dividends, combinations, reorganizations, reclassifications, or similar events under the 2021 Plan. The Founder Awards will be settled in shares of the Company’s Class B common stock.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ind w:left="2000"/>
              <w:spacing w:after="0"/>
              <w:rPr>
                <w:sz w:val="20"/>
                <w:szCs w:val="20"/>
                <w:color w:val="auto"/>
              </w:rPr>
            </w:pPr>
            <w:r>
              <w:rPr>
                <w:rFonts w:ascii="Arial" w:cs="Arial" w:eastAsia="Arial" w:hAnsi="Arial"/>
                <w:sz w:val="14"/>
                <w:szCs w:val="14"/>
                <w:b w:val="1"/>
                <w:bCs w:val="1"/>
                <w:color w:val="auto"/>
              </w:rPr>
              <w:t>Tranche</w:t>
            </w:r>
          </w:p>
        </w:tc>
        <w:tc>
          <w:tcPr>
            <w:tcW w:w="1320" w:type="dxa"/>
            <w:vAlign w:val="bottom"/>
          </w:tcPr>
          <w:p>
            <w:pPr>
              <w:spacing w:after="0"/>
              <w:rPr>
                <w:sz w:val="16"/>
                <w:szCs w:val="16"/>
                <w:color w:val="auto"/>
              </w:rPr>
            </w:pPr>
          </w:p>
        </w:tc>
        <w:tc>
          <w:tcPr>
            <w:tcW w:w="29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Company Stock Price Hurdle</w:t>
            </w:r>
          </w:p>
        </w:tc>
        <w:tc>
          <w:tcPr>
            <w:tcW w:w="3380" w:type="dxa"/>
            <w:vAlign w:val="bottom"/>
          </w:tcPr>
          <w:p>
            <w:pPr>
              <w:jc w:val="right"/>
              <w:ind w:right="492"/>
              <w:spacing w:after="0"/>
              <w:rPr>
                <w:sz w:val="20"/>
                <w:szCs w:val="20"/>
                <w:color w:val="auto"/>
              </w:rPr>
            </w:pPr>
            <w:r>
              <w:rPr>
                <w:rFonts w:ascii="Arial" w:cs="Arial" w:eastAsia="Arial" w:hAnsi="Arial"/>
                <w:sz w:val="14"/>
                <w:szCs w:val="14"/>
                <w:b w:val="1"/>
                <w:bCs w:val="1"/>
                <w:color w:val="auto"/>
              </w:rPr>
              <w:t>Number of RSUs Eligible to Vest</w:t>
            </w:r>
          </w:p>
        </w:tc>
      </w:tr>
      <w:tr>
        <w:trPr>
          <w:trHeight w:val="223"/>
        </w:trPr>
        <w:tc>
          <w:tcPr>
            <w:tcW w:w="3560" w:type="dxa"/>
            <w:vAlign w:val="bottom"/>
            <w:tcBorders>
              <w:top w:val="single" w:sz="8" w:color="auto"/>
            </w:tcBorders>
            <w:shd w:val="clear" w:color="auto" w:fill="DBDBDB"/>
          </w:tcPr>
          <w:p>
            <w:pPr>
              <w:jc w:val="center"/>
              <w:ind w:left="892"/>
              <w:spacing w:after="0"/>
              <w:rPr>
                <w:sz w:val="20"/>
                <w:szCs w:val="20"/>
                <w:color w:val="auto"/>
              </w:rPr>
            </w:pPr>
            <w:r>
              <w:rPr>
                <w:rFonts w:ascii="Arial" w:cs="Arial" w:eastAsia="Arial" w:hAnsi="Arial"/>
                <w:sz w:val="18"/>
                <w:szCs w:val="18"/>
                <w:color w:val="auto"/>
                <w:w w:val="99"/>
              </w:rPr>
              <w:t>1</w:t>
            </w:r>
          </w:p>
        </w:tc>
        <w:tc>
          <w:tcPr>
            <w:tcW w:w="132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127.50</w:t>
            </w:r>
          </w:p>
        </w:tc>
        <w:tc>
          <w:tcPr>
            <w:tcW w:w="240" w:type="dxa"/>
            <w:vAlign w:val="bottom"/>
            <w:tcBorders>
              <w:top w:val="single" w:sz="8" w:color="DBDBDB"/>
            </w:tcBorders>
            <w:shd w:val="clear" w:color="auto" w:fill="DBDBDB"/>
          </w:tcPr>
          <w:p>
            <w:pPr>
              <w:spacing w:after="0"/>
              <w:rPr>
                <w:sz w:val="19"/>
                <w:szCs w:val="19"/>
                <w:color w:val="auto"/>
              </w:rPr>
            </w:pPr>
          </w:p>
        </w:tc>
        <w:tc>
          <w:tcPr>
            <w:tcW w:w="3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560" w:type="dxa"/>
            <w:vAlign w:val="bottom"/>
          </w:tcPr>
          <w:p>
            <w:pPr>
              <w:jc w:val="center"/>
              <w:ind w:left="892"/>
              <w:spacing w:after="0"/>
              <w:rPr>
                <w:sz w:val="20"/>
                <w:szCs w:val="20"/>
                <w:color w:val="auto"/>
              </w:rPr>
            </w:pPr>
            <w:r>
              <w:rPr>
                <w:rFonts w:ascii="Arial" w:cs="Arial" w:eastAsia="Arial" w:hAnsi="Arial"/>
                <w:sz w:val="18"/>
                <w:szCs w:val="18"/>
                <w:color w:val="auto"/>
                <w:w w:val="99"/>
              </w:rPr>
              <w:t>2</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153.00</w:t>
            </w:r>
          </w:p>
        </w:tc>
        <w:tc>
          <w:tcPr>
            <w:tcW w:w="2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3560" w:type="dxa"/>
            <w:vAlign w:val="bottom"/>
            <w:shd w:val="clear" w:color="auto" w:fill="DBDBDB"/>
          </w:tcPr>
          <w:p>
            <w:pPr>
              <w:jc w:val="center"/>
              <w:ind w:left="892"/>
              <w:spacing w:after="0"/>
              <w:rPr>
                <w:sz w:val="20"/>
                <w:szCs w:val="20"/>
                <w:color w:val="auto"/>
              </w:rPr>
            </w:pPr>
            <w:r>
              <w:rPr>
                <w:rFonts w:ascii="Arial" w:cs="Arial" w:eastAsia="Arial" w:hAnsi="Arial"/>
                <w:sz w:val="18"/>
                <w:szCs w:val="18"/>
                <w:color w:val="auto"/>
                <w:w w:val="99"/>
              </w:rPr>
              <w:t>3</w:t>
            </w:r>
          </w:p>
        </w:tc>
        <w:tc>
          <w:tcPr>
            <w:tcW w:w="1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178.50</w:t>
            </w:r>
          </w:p>
        </w:tc>
        <w:tc>
          <w:tcPr>
            <w:tcW w:w="24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560" w:type="dxa"/>
            <w:vAlign w:val="bottom"/>
          </w:tcPr>
          <w:p>
            <w:pPr>
              <w:jc w:val="center"/>
              <w:ind w:left="892"/>
              <w:spacing w:after="0"/>
              <w:rPr>
                <w:sz w:val="20"/>
                <w:szCs w:val="20"/>
                <w:color w:val="auto"/>
              </w:rPr>
            </w:pPr>
            <w:r>
              <w:rPr>
                <w:rFonts w:ascii="Arial" w:cs="Arial" w:eastAsia="Arial" w:hAnsi="Arial"/>
                <w:sz w:val="18"/>
                <w:szCs w:val="18"/>
                <w:color w:val="auto"/>
                <w:w w:val="99"/>
              </w:rPr>
              <w:t>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204.00</w:t>
            </w:r>
          </w:p>
        </w:tc>
        <w:tc>
          <w:tcPr>
            <w:tcW w:w="2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60" w:type="dxa"/>
            <w:vAlign w:val="bottom"/>
            <w:shd w:val="clear" w:color="auto" w:fill="DBDBDB"/>
          </w:tcPr>
          <w:p>
            <w:pPr>
              <w:jc w:val="center"/>
              <w:ind w:left="892"/>
              <w:spacing w:after="0"/>
              <w:rPr>
                <w:sz w:val="20"/>
                <w:szCs w:val="20"/>
                <w:color w:val="auto"/>
              </w:rPr>
            </w:pPr>
            <w:r>
              <w:rPr>
                <w:rFonts w:ascii="Arial" w:cs="Arial" w:eastAsia="Arial" w:hAnsi="Arial"/>
                <w:sz w:val="18"/>
                <w:szCs w:val="18"/>
                <w:color w:val="auto"/>
                <w:w w:val="99"/>
              </w:rPr>
              <w:t>5</w:t>
            </w:r>
          </w:p>
        </w:tc>
        <w:tc>
          <w:tcPr>
            <w:tcW w:w="1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255.00</w:t>
            </w:r>
          </w:p>
        </w:tc>
        <w:tc>
          <w:tcPr>
            <w:tcW w:w="24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60" w:type="dxa"/>
            <w:vAlign w:val="bottom"/>
          </w:tcPr>
          <w:p>
            <w:pPr>
              <w:jc w:val="center"/>
              <w:ind w:left="892"/>
              <w:spacing w:after="0"/>
              <w:rPr>
                <w:sz w:val="20"/>
                <w:szCs w:val="20"/>
                <w:color w:val="auto"/>
              </w:rPr>
            </w:pPr>
            <w:r>
              <w:rPr>
                <w:rFonts w:ascii="Arial" w:cs="Arial" w:eastAsia="Arial" w:hAnsi="Arial"/>
                <w:sz w:val="18"/>
                <w:szCs w:val="18"/>
                <w:color w:val="auto"/>
                <w:w w:val="99"/>
              </w:rPr>
              <w:t>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306.00</w:t>
            </w:r>
          </w:p>
        </w:tc>
        <w:tc>
          <w:tcPr>
            <w:tcW w:w="2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560" w:type="dxa"/>
            <w:vAlign w:val="bottom"/>
            <w:shd w:val="clear" w:color="auto" w:fill="DBDBDB"/>
          </w:tcPr>
          <w:p>
            <w:pPr>
              <w:jc w:val="center"/>
              <w:ind w:left="892"/>
              <w:spacing w:after="0"/>
              <w:rPr>
                <w:sz w:val="20"/>
                <w:szCs w:val="20"/>
                <w:color w:val="auto"/>
              </w:rPr>
            </w:pPr>
            <w:r>
              <w:rPr>
                <w:rFonts w:ascii="Arial" w:cs="Arial" w:eastAsia="Arial" w:hAnsi="Arial"/>
                <w:sz w:val="18"/>
                <w:szCs w:val="18"/>
                <w:color w:val="auto"/>
                <w:w w:val="99"/>
              </w:rPr>
              <w:t>7</w:t>
            </w:r>
          </w:p>
        </w:tc>
        <w:tc>
          <w:tcPr>
            <w:tcW w:w="1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357.00</w:t>
            </w:r>
          </w:p>
        </w:tc>
        <w:tc>
          <w:tcPr>
            <w:tcW w:w="24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60" w:type="dxa"/>
            <w:vAlign w:val="bottom"/>
          </w:tcPr>
          <w:p>
            <w:pPr>
              <w:jc w:val="center"/>
              <w:ind w:left="892"/>
              <w:spacing w:after="0"/>
              <w:rPr>
                <w:sz w:val="20"/>
                <w:szCs w:val="20"/>
                <w:color w:val="auto"/>
              </w:rPr>
            </w:pPr>
            <w:r>
              <w:rPr>
                <w:rFonts w:ascii="Arial" w:cs="Arial" w:eastAsia="Arial" w:hAnsi="Arial"/>
                <w:sz w:val="18"/>
                <w:szCs w:val="18"/>
                <w:color w:val="auto"/>
                <w:w w:val="99"/>
              </w:rPr>
              <w:t>8</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408.00</w:t>
            </w:r>
          </w:p>
        </w:tc>
        <w:tc>
          <w:tcPr>
            <w:tcW w:w="2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60" w:type="dxa"/>
            <w:vAlign w:val="bottom"/>
            <w:shd w:val="clear" w:color="auto" w:fill="DBDBDB"/>
          </w:tcPr>
          <w:p>
            <w:pPr>
              <w:jc w:val="center"/>
              <w:ind w:left="892"/>
              <w:spacing w:after="0"/>
              <w:rPr>
                <w:sz w:val="20"/>
                <w:szCs w:val="20"/>
                <w:color w:val="auto"/>
              </w:rPr>
            </w:pPr>
            <w:r>
              <w:rPr>
                <w:rFonts w:ascii="Arial" w:cs="Arial" w:eastAsia="Arial" w:hAnsi="Arial"/>
                <w:sz w:val="18"/>
                <w:szCs w:val="18"/>
                <w:color w:val="auto"/>
                <w:w w:val="99"/>
              </w:rPr>
              <w:t>9</w:t>
            </w:r>
          </w:p>
        </w:tc>
        <w:tc>
          <w:tcPr>
            <w:tcW w:w="1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612.00</w:t>
            </w:r>
          </w:p>
        </w:tc>
        <w:tc>
          <w:tcPr>
            <w:tcW w:w="24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3560" w:type="dxa"/>
            <w:vAlign w:val="bottom"/>
          </w:tcPr>
          <w:p>
            <w:pPr>
              <w:jc w:val="center"/>
              <w:ind w:left="912"/>
              <w:spacing w:after="0"/>
              <w:rPr>
                <w:sz w:val="20"/>
                <w:szCs w:val="20"/>
                <w:color w:val="auto"/>
              </w:rPr>
            </w:pPr>
            <w:r>
              <w:rPr>
                <w:rFonts w:ascii="Arial" w:cs="Arial" w:eastAsia="Arial" w:hAnsi="Arial"/>
                <w:sz w:val="18"/>
                <w:szCs w:val="18"/>
                <w:color w:val="auto"/>
                <w:w w:val="99"/>
              </w:rPr>
              <w:t>10</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816.00</w:t>
            </w:r>
          </w:p>
        </w:tc>
        <w:tc>
          <w:tcPr>
            <w:tcW w:w="2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69"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The Company estimated the grant date fair value of the Founder Awards using a model based on multiple stock-price paths developed through the use of a Monte Carlo simulation that incorporates into the valuation the possibility that the stock-price hurdles may not be satisfied. The weighted-average grant date fair value of the Founder Awards was estimated to be $61.56 per share using the below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Input</w:t>
            </w:r>
          </w:p>
        </w:tc>
        <w:tc>
          <w:tcPr>
            <w:tcW w:w="3760" w:type="dxa"/>
            <w:vAlign w:val="bottom"/>
            <w:tcBorders>
              <w:bottom w:val="single" w:sz="8" w:color="auto"/>
            </w:tcBorders>
          </w:tcPr>
          <w:p>
            <w:pPr>
              <w:jc w:val="center"/>
              <w:ind w:left="2120"/>
              <w:spacing w:after="0"/>
              <w:rPr>
                <w:sz w:val="20"/>
                <w:szCs w:val="20"/>
                <w:color w:val="auto"/>
              </w:rPr>
            </w:pPr>
            <w:r>
              <w:rPr>
                <w:rFonts w:ascii="Arial" w:cs="Arial" w:eastAsia="Arial" w:hAnsi="Arial"/>
                <w:sz w:val="14"/>
                <w:szCs w:val="14"/>
                <w:b w:val="1"/>
                <w:bCs w:val="1"/>
                <w:color w:val="auto"/>
              </w:rPr>
              <w:t>Assumption</w:t>
            </w:r>
          </w:p>
        </w:tc>
      </w:tr>
      <w:tr>
        <w:trPr>
          <w:trHeight w:val="209"/>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Valuation Date</w:t>
            </w:r>
          </w:p>
        </w:tc>
        <w:tc>
          <w:tcPr>
            <w:tcW w:w="3760" w:type="dxa"/>
            <w:vAlign w:val="bottom"/>
            <w:shd w:val="clear" w:color="auto" w:fill="DBDBDB"/>
          </w:tcPr>
          <w:p>
            <w:pPr>
              <w:jc w:val="center"/>
              <w:ind w:left="2120"/>
              <w:spacing w:after="0"/>
              <w:rPr>
                <w:sz w:val="20"/>
                <w:szCs w:val="20"/>
                <w:color w:val="auto"/>
              </w:rPr>
            </w:pPr>
            <w:r>
              <w:rPr>
                <w:rFonts w:ascii="Arial" w:cs="Arial" w:eastAsia="Arial" w:hAnsi="Arial"/>
                <w:sz w:val="16"/>
                <w:szCs w:val="16"/>
                <w:color w:val="auto"/>
              </w:rPr>
              <w:t>June 28, 2021</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100"/>
              <w:spacing w:after="0"/>
              <w:rPr>
                <w:sz w:val="20"/>
                <w:szCs w:val="20"/>
                <w:color w:val="auto"/>
              </w:rPr>
            </w:pPr>
            <w:r>
              <w:rPr>
                <w:rFonts w:ascii="Arial" w:cs="Arial" w:eastAsia="Arial" w:hAnsi="Arial"/>
                <w:sz w:val="16"/>
                <w:szCs w:val="16"/>
                <w:color w:val="auto"/>
              </w:rPr>
              <w:t>1.48%</w:t>
            </w:r>
          </w:p>
        </w:tc>
      </w:tr>
      <w:tr>
        <w:trPr>
          <w:trHeight w:val="229"/>
        </w:trPr>
        <w:tc>
          <w:tcPr>
            <w:tcW w:w="7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life</w:t>
            </w:r>
          </w:p>
        </w:tc>
        <w:tc>
          <w:tcPr>
            <w:tcW w:w="3760" w:type="dxa"/>
            <w:vAlign w:val="bottom"/>
            <w:shd w:val="clear" w:color="auto" w:fill="DBDBDB"/>
          </w:tcPr>
          <w:p>
            <w:pPr>
              <w:jc w:val="center"/>
              <w:ind w:left="2120"/>
              <w:spacing w:after="0"/>
              <w:rPr>
                <w:sz w:val="20"/>
                <w:szCs w:val="20"/>
                <w:color w:val="auto"/>
              </w:rPr>
            </w:pPr>
            <w:r>
              <w:rPr>
                <w:rFonts w:ascii="Arial" w:cs="Arial" w:eastAsia="Arial" w:hAnsi="Arial"/>
                <w:sz w:val="16"/>
                <w:szCs w:val="16"/>
                <w:color w:val="auto"/>
              </w:rPr>
              <w:t>9.98</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760" w:type="dxa"/>
            <w:vAlign w:val="bottom"/>
          </w:tcPr>
          <w:p>
            <w:pPr>
              <w:jc w:val="center"/>
              <w:ind w:left="2120"/>
              <w:spacing w:after="0"/>
              <w:rPr>
                <w:sz w:val="20"/>
                <w:szCs w:val="20"/>
                <w:color w:val="auto"/>
              </w:rPr>
            </w:pPr>
            <w:r>
              <w:rPr>
                <w:rFonts w:ascii="Arial" w:cs="Arial" w:eastAsia="Arial" w:hAnsi="Arial"/>
                <w:sz w:val="16"/>
                <w:szCs w:val="16"/>
                <w:color w:val="auto"/>
              </w:rPr>
              <w:t>51.67%</w:t>
            </w:r>
          </w:p>
        </w:tc>
      </w:tr>
      <w:tr>
        <w:trPr>
          <w:trHeight w:val="230"/>
        </w:trPr>
        <w:tc>
          <w:tcPr>
            <w:tcW w:w="7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DBDBDB"/>
          </w:tcPr>
          <w:p>
            <w:pPr>
              <w:jc w:val="center"/>
              <w:ind w:left="2100"/>
              <w:spacing w:after="0"/>
              <w:rPr>
                <w:sz w:val="20"/>
                <w:szCs w:val="20"/>
                <w:color w:val="auto"/>
              </w:rPr>
            </w:pPr>
            <w:r>
              <w:rPr>
                <w:rFonts w:ascii="Arial" w:cs="Arial" w:eastAsia="Arial" w:hAnsi="Arial"/>
                <w:sz w:val="16"/>
                <w:szCs w:val="16"/>
                <w:color w:val="auto"/>
              </w:rPr>
              <w:t>0.00%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Fair value of common stock</w:t>
            </w:r>
          </w:p>
        </w:tc>
        <w:tc>
          <w:tcPr>
            <w:tcW w:w="3760" w:type="dxa"/>
            <w:vAlign w:val="bottom"/>
          </w:tcPr>
          <w:p>
            <w:pPr>
              <w:jc w:val="center"/>
              <w:ind w:left="2100"/>
              <w:spacing w:after="0"/>
              <w:rPr>
                <w:sz w:val="20"/>
                <w:szCs w:val="20"/>
                <w:color w:val="auto"/>
              </w:rPr>
            </w:pPr>
            <w:r>
              <w:rPr>
                <w:rFonts w:ascii="Arial" w:cs="Arial" w:eastAsia="Arial" w:hAnsi="Arial"/>
                <w:sz w:val="16"/>
                <w:szCs w:val="16"/>
                <w:color w:val="auto"/>
              </w:rPr>
              <w:t>$95.00</w:t>
            </w:r>
          </w:p>
        </w:tc>
      </w:tr>
    </w:tbl>
    <w:p>
      <w:pPr>
        <w:spacing w:after="0" w:line="2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estimates that it will recognize total stock-based compensation expense of approximately $110,817 over the derived service period of each of the ten separate tranches which is between 3.58 – 5.92 years. If the stock-price hurdles are met sooner than the requisite service period, the stock-based compensation expense will be adjusted to prospectively recognize the remaining expense over the remaining derived service period. Provided that the founders continue to provide services to the Company, stock-based compensation expense is recognized over the derived service period, regardless of whether the stock-price hurdles are achieved. The first and second tranches were met during the year ended December 31, 2021. The Company recognized $16,463 of stock-based compensation expense related to these awards, which is included within General and administrative in the Consolidated Statement of Operations and Comprehensive Loss.</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decrease to Additional paid-in capital. As a result of this tender, 220 options were put back into the option pool and 23 shares were retired with an $868 decrease to Additional paid-in capital.</w:t>
      </w:r>
    </w:p>
    <w:p>
      <w:pPr>
        <w:spacing w:after="0" w:line="15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Upon the IPO, vesting of stock option grants to certain executive officers were accelerated, which resulted in an additional $5,574 of compensation expense during the year ended December 31, 2021. This is included within General and administrative in the Consolidated Statement of Operations and Comprehensive Loss.</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stock-based compensation expense was $40,804 for the year ended December 31, 2021, and $17,031 for the year ended December 31, 2020.</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Stock based compensation expense is included in the Consolidated Statement of Operations and Comprehensive Loss as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960" w:type="dxa"/>
            <w:vAlign w:val="bottom"/>
            <w:shd w:val="clear" w:color="auto" w:fill="DBDBDB"/>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30,617</w:t>
            </w:r>
          </w:p>
        </w:tc>
        <w:tc>
          <w:tcPr>
            <w:tcW w:w="10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13,904</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40,804</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17,031</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Nominal amounts of stock based compensation expense is capitalized into capitalized software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 The outcome of any such claims or proceedings, regardless of the merits, is inherently uncertain. The Company is not currently party to any material legal proceedings</w:t>
      </w:r>
    </w:p>
    <w:p>
      <w:pPr>
        <w:spacing w:after="0" w:line="11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color w:val="auto"/>
        </w:rPr>
        <w:t>Sales and use and value-added tax (“VAT”)</w:t>
      </w:r>
      <w:r>
        <w:rPr>
          <w:rFonts w:ascii="Arial" w:cs="Arial" w:eastAsia="Arial" w:hAnsi="Arial"/>
          <w:sz w:val="17"/>
          <w:szCs w:val="17"/>
          <w:color w:val="auto"/>
        </w:rPr>
        <w:t>— The Company determined that it was required to pay sales and use and VAT taxes in</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98" w:lineRule="exact"/>
        <w:rPr>
          <w:sz w:val="20"/>
          <w:szCs w:val="20"/>
          <w:color w:val="auto"/>
        </w:rPr>
      </w:pPr>
    </w:p>
    <w:p>
      <w:pPr>
        <w:ind w:right="660"/>
        <w:spacing w:after="0" w:line="303" w:lineRule="auto"/>
        <w:rPr>
          <w:sz w:val="20"/>
          <w:szCs w:val="20"/>
          <w:color w:val="auto"/>
        </w:rPr>
      </w:pPr>
      <w:r>
        <w:rPr>
          <w:rFonts w:ascii="Arial" w:cs="Arial" w:eastAsia="Arial" w:hAnsi="Arial"/>
          <w:sz w:val="18"/>
          <w:szCs w:val="18"/>
          <w:b w:val="1"/>
          <w:bCs w:val="1"/>
          <w:color w:val="auto"/>
        </w:rPr>
        <w:t>Related Parties</w:t>
      </w:r>
      <w:r>
        <w:rPr>
          <w:rFonts w:ascii="Arial" w:cs="Arial" w:eastAsia="Arial" w:hAnsi="Arial"/>
          <w:sz w:val="18"/>
          <w:szCs w:val="18"/>
          <w:color w:val="auto"/>
        </w:rPr>
        <w:t>— The Company has determined that there were no transactions with related parties as of or during the years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 and 2020.</w:t>
      </w:r>
    </w:p>
    <w:p>
      <w:pPr>
        <w:spacing w:after="0" w:line="85" w:lineRule="exact"/>
        <w:rPr>
          <w:sz w:val="20"/>
          <w:szCs w:val="20"/>
          <w:color w:val="auto"/>
        </w:rPr>
      </w:pPr>
    </w:p>
    <w:p>
      <w:pPr>
        <w:ind w:right="5500"/>
        <w:spacing w:after="0" w:line="503" w:lineRule="auto"/>
        <w:rPr>
          <w:sz w:val="20"/>
          <w:szCs w:val="20"/>
          <w:color w:val="auto"/>
        </w:rPr>
      </w:pPr>
      <w:r>
        <w:rPr>
          <w:rFonts w:ascii="Arial" w:cs="Arial" w:eastAsia="Arial" w:hAnsi="Arial"/>
          <w:sz w:val="17"/>
          <w:szCs w:val="17"/>
          <w:b w:val="1"/>
          <w:bCs w:val="1"/>
          <w:color w:val="auto"/>
        </w:rPr>
        <w:t xml:space="preserve">11. ACCRUED EXPENSES AND OTHER CURRENT LIABILITIES </w:t>
      </w:r>
      <w:r>
        <w:rPr>
          <w:rFonts w:ascii="Arial" w:cs="Arial" w:eastAsia="Arial" w:hAnsi="Arial"/>
          <w:sz w:val="17"/>
          <w:szCs w:val="17"/>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Obligations under current leases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Employee-related benefits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Marketing related accruals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Plan provided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$3,438 for the year ended December 31, 2021, and $1,796 for the year ended December 31, 2020. The Company did not make any discretionary matching or profit sharing contributions during the years ended December 31, 2021 or 2020.</w:t>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Prior to the automatic conversion of all of its convertible preferred stock outstanding into Class B common stock upon the IPO, the Company considered all series of its convertible preferred stock to be participating securities.</w:t>
      </w:r>
    </w:p>
    <w:p>
      <w:pPr>
        <w:spacing w:after="0" w:line="149"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calculated by dividing the net loss by the weighted-average number of shares of common stock outstanding during the period, less shares subject to repurchase. The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attributable to common stockholders is calculated by giving effect to all potential dilutive common stock equivalents outstanding for the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 attributable to Class A and Class B common shareholders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in computing net loss per share attributable to Class A and Class B</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common stockholders, 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loss per common share</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Diluted loss per common share</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loss per share attributable to common stockholders will, therefore, be the same for both Class A and Class B common stock on an individual or combined basis.</w:t>
      </w:r>
    </w:p>
    <w:p>
      <w:pPr>
        <w:spacing w:after="0" w:line="15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Since the Company was in a net loss position for the years ended December 31, 2021 and 2020,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167"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Borders>
              <w:bottom w:val="single" w:sz="8" w:color="DBDBDB"/>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90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Founder awards where performance has been met</w:t>
            </w: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Vested RSUs</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r>
      <w:tr>
        <w:trPr>
          <w:trHeight w:val="243"/>
        </w:trPr>
        <w:tc>
          <w:tcPr>
            <w:tcW w:w="90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23,265</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Founder awards where performance has not been met of 1,620 are excluded from the above table because the stock-price hurdles for those awards had not been met as of December 31, 2021.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the design and operation of our disclosure controls and</w:t>
      </w:r>
    </w:p>
    <w:p>
      <w:pPr>
        <w:sectPr>
          <w:pgSz w:w="11900" w:h="16838" w:orient="portrait"/>
          <w:cols w:equalWidth="0" w:num="1">
            <w:col w:w="11240"/>
          </w:cols>
          <w:pgMar w:left="32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procedures, as defined in Rules 13a-15(e) and 15d-15(e) under the Exchange Act, as of the end of the period covered by this Annual Report on Form 10-K. Based on that evaluation, our principal executive officer and principal financial officer have concluded that our disclosure controls and procedures were effective as of the end of the period covered by this Annual Report on Form 10-K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As disclosed in the “Risk Factors” section of the Final Prospectus, we previously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Identified Material Weakness</w:t>
      </w:r>
    </w:p>
    <w:p>
      <w:pPr>
        <w:spacing w:after="0" w:line="207"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During 2020, we established a remediation plan to address the previously reported material weakness in internal control over financial reporting described in the “Risk Factors” section of the Final Prospectus and we have been actively engaged in the implementation of remediation efforts to address the material weakness. Specific remedial actions undertaken by management included, without limitation:</w:t>
      </w:r>
    </w:p>
    <w:p>
      <w:pPr>
        <w:spacing w:after="0" w:line="11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Hired a complement of accounting and finance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Implementation of timely review controls over certain account reconciliations;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Implementation of journal entry approval workflow within our key financial system;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Implementation of review controls over third party reported information</w:t>
      </w:r>
    </w:p>
    <w:p>
      <w:pPr>
        <w:spacing w:after="0" w:line="18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have completed the execution of our remediation plan and the applicable measures have been implemented for a sufficient period of time. As a result, as of December 31, 2021, management concluded that the Company had remediated the previously reported material weakness in the internal control over financial reporting by implementing controls that operated effectively for a reasonable period of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Except as otherwise described herein, there were no changes in our internal control over financial reporting, as defined in Rules 13a-15(f) and 15d-15(f) under the Exchange Act, during the quarter ended December 31, 2021 that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2022 Proxy Statement (the “2022 Proxy Statement”) to be filed with the SEC within 120 days after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within 120 days after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within 120 days after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within 120 days after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within 120 days after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Consolidated Financial Statements</w:t>
      </w:r>
    </w:p>
    <w:p>
      <w:pPr>
        <w:spacing w:after="0" w:line="2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2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the required information is shown in Part II, Item 8 of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Exhibits</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documents listed in the Exhibit Index of this Annual Report on Form 10-K are incorporated by reference or are filed with this Annual Report on Form 10-K, in each case as indicated herein (numbered in accordance with Item 601 of Regulation 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80" w:type="dxa"/>
            <w:vAlign w:val="bottom"/>
            <w:gridSpan w:val="5"/>
          </w:tcPr>
          <w:p>
            <w:pPr>
              <w:jc w:val="center"/>
              <w:ind w:left="260"/>
              <w:spacing w:after="0"/>
              <w:rPr>
                <w:sz w:val="20"/>
                <w:szCs w:val="20"/>
                <w:color w:val="auto"/>
              </w:rPr>
            </w:pPr>
            <w:r>
              <w:rPr>
                <w:rFonts w:ascii="Arial" w:cs="Arial" w:eastAsia="Arial" w:hAnsi="Arial"/>
                <w:sz w:val="14"/>
                <w:szCs w:val="14"/>
                <w:b w:val="1"/>
                <w:bCs w:val="1"/>
                <w:color w:val="auto"/>
              </w:rPr>
              <w:t>Incorporated by</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rPr>
              <w:t>Reference</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21"/>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tcPr>
          <w:p>
            <w:pPr>
              <w:jc w:val="center"/>
              <w:spacing w:after="0" w:line="169"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4240" w:type="dxa"/>
            <w:vAlign w:val="bottom"/>
            <w:gridSpan w:val="25"/>
          </w:tcPr>
          <w:p>
            <w:pPr>
              <w:spacing w:after="0" w:line="169" w:lineRule="exact"/>
              <w:rPr>
                <w:rFonts w:ascii="Arial" w:cs="Arial" w:eastAsia="Arial" w:hAnsi="Arial"/>
                <w:sz w:val="16"/>
                <w:szCs w:val="16"/>
                <w:color w:val="0000FF"/>
              </w:rPr>
            </w:pPr>
            <w:hyperlink r:id="rId123">
              <w:r>
                <w:rPr>
                  <w:rFonts w:ascii="Arial" w:cs="Arial" w:eastAsia="Arial" w:hAnsi="Arial"/>
                  <w:sz w:val="16"/>
                  <w:szCs w:val="16"/>
                  <w:color w:val="0000FF"/>
                </w:rPr>
                <w:t>Amended and Restated Certificate of Incorporation, as</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w w:val="99"/>
              </w:rPr>
              <w:t>001-40653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currently in effect</w:t>
              </w:r>
            </w:hyperlink>
          </w:p>
        </w:tc>
        <w:tc>
          <w:tcPr>
            <w:tcW w:w="2680" w:type="dxa"/>
            <w:vAlign w:val="bottom"/>
            <w:tcBorders>
              <w:top w:val="single" w:sz="8" w:color="0000FF"/>
            </w:tcBorders>
            <w:gridSpan w:val="18"/>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60" w:type="dxa"/>
            <w:vAlign w:val="bottom"/>
            <w:tcBorders>
              <w:bottom w:val="single" w:sz="8" w:color="0000FF"/>
            </w:tcBorders>
            <w:gridSpan w:val="6"/>
          </w:tcPr>
          <w:p>
            <w:pPr>
              <w:spacing w:after="0"/>
              <w:rPr>
                <w:rFonts w:ascii="Arial" w:cs="Arial" w:eastAsia="Arial" w:hAnsi="Arial"/>
                <w:sz w:val="16"/>
                <w:szCs w:val="16"/>
                <w:color w:val="0000FF"/>
              </w:rPr>
            </w:pPr>
            <w:hyperlink r:id="rId124">
              <w:r>
                <w:rPr>
                  <w:rFonts w:ascii="Arial" w:cs="Arial" w:eastAsia="Arial" w:hAnsi="Arial"/>
                  <w:sz w:val="16"/>
                  <w:szCs w:val="16"/>
                  <w:color w:val="0000FF"/>
                </w:rPr>
                <w:t>Bylaws, as currently in effect</w:t>
              </w:r>
            </w:hyperlink>
          </w:p>
        </w:tc>
        <w:tc>
          <w:tcPr>
            <w:tcW w:w="2180" w:type="dxa"/>
            <w:vAlign w:val="bottom"/>
            <w:gridSpan w:val="19"/>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8-K</w:t>
            </w:r>
          </w:p>
        </w:tc>
        <w:tc>
          <w:tcPr>
            <w:tcW w:w="1100" w:type="dxa"/>
            <w:vAlign w:val="bottom"/>
          </w:tcPr>
          <w:p>
            <w:pPr>
              <w:jc w:val="center"/>
              <w:ind w:left="60"/>
              <w:spacing w:after="0"/>
              <w:rPr>
                <w:sz w:val="20"/>
                <w:szCs w:val="20"/>
                <w:color w:val="auto"/>
              </w:rPr>
            </w:pPr>
            <w:r>
              <w:rPr>
                <w:rFonts w:ascii="Arial" w:cs="Arial" w:eastAsia="Arial" w:hAnsi="Arial"/>
                <w:sz w:val="16"/>
                <w:szCs w:val="16"/>
                <w:color w:val="auto"/>
                <w:w w:val="99"/>
              </w:rPr>
              <w:t>001-40653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100" w:type="dxa"/>
            <w:vAlign w:val="bottom"/>
            <w:gridSpan w:val="11"/>
            <w:vMerge w:val="restart"/>
          </w:tcPr>
          <w:p>
            <w:pPr>
              <w:spacing w:after="0"/>
              <w:rPr>
                <w:rFonts w:ascii="Arial" w:cs="Arial" w:eastAsia="Arial" w:hAnsi="Arial"/>
                <w:sz w:val="16"/>
                <w:szCs w:val="16"/>
                <w:color w:val="0000FF"/>
              </w:rPr>
            </w:pPr>
            <w:hyperlink r:id="rId125">
              <w:r>
                <w:rPr>
                  <w:rFonts w:ascii="Arial" w:cs="Arial" w:eastAsia="Arial" w:hAnsi="Arial"/>
                  <w:sz w:val="16"/>
                  <w:szCs w:val="16"/>
                  <w:color w:val="0000FF"/>
                </w:rPr>
                <w:t>Form of Class A Common Stock Certificate</w:t>
              </w:r>
            </w:hyperlink>
          </w:p>
        </w:tc>
        <w:tc>
          <w:tcPr>
            <w:tcW w:w="1140" w:type="dxa"/>
            <w:vAlign w:val="bottom"/>
            <w:gridSpan w:val="14"/>
            <w:vMerge w:val="restart"/>
          </w:tcPr>
          <w:p>
            <w:pPr>
              <w:spacing w:after="0"/>
              <w:rPr>
                <w:sz w:val="20"/>
                <w:szCs w:val="20"/>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Borders>
              <w:bottom w:val="single" w:sz="8" w:color="0000FF"/>
            </w:tcBorders>
            <w:gridSpan w:val="11"/>
            <w:vMerge w:val="continue"/>
          </w:tcPr>
          <w:p>
            <w:pPr>
              <w:spacing w:after="0"/>
              <w:rPr>
                <w:sz w:val="11"/>
                <w:szCs w:val="11"/>
                <w:color w:val="auto"/>
              </w:rPr>
            </w:pPr>
          </w:p>
        </w:tc>
        <w:tc>
          <w:tcPr>
            <w:tcW w:w="1140" w:type="dxa"/>
            <w:vAlign w:val="bottom"/>
            <w:gridSpan w:val="14"/>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4240" w:type="dxa"/>
            <w:vAlign w:val="bottom"/>
            <w:gridSpan w:val="25"/>
          </w:tcPr>
          <w:p>
            <w:pPr>
              <w:spacing w:after="0"/>
              <w:rPr>
                <w:rFonts w:ascii="Arial" w:cs="Arial" w:eastAsia="Arial" w:hAnsi="Arial"/>
                <w:sz w:val="16"/>
                <w:szCs w:val="16"/>
                <w:color w:val="0000FF"/>
              </w:rPr>
            </w:pPr>
            <w:hyperlink r:id="rId126">
              <w:r>
                <w:rPr>
                  <w:rFonts w:ascii="Arial" w:cs="Arial" w:eastAsia="Arial" w:hAnsi="Arial"/>
                  <w:sz w:val="16"/>
                  <w:szCs w:val="16"/>
                  <w:color w:val="0000FF"/>
                </w:rPr>
                <w:t>Amended and Restated Investors’ Rights Agreement,</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7"/>
              </w:rPr>
            </w:pPr>
            <w:hyperlink r:id="rId126">
              <w:r>
                <w:rPr>
                  <w:rFonts w:ascii="Arial" w:cs="Arial" w:eastAsia="Arial" w:hAnsi="Arial"/>
                  <w:sz w:val="16"/>
                  <w:szCs w:val="16"/>
                  <w:color w:val="0000FF"/>
                  <w:w w:val="97"/>
                </w:rPr>
                <w:t>dated November 6, 2020, by and among the Registrant</w:t>
              </w:r>
            </w:hyperlink>
          </w:p>
        </w:tc>
        <w:tc>
          <w:tcPr>
            <w:tcW w:w="6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gridSpan w:val="22"/>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and the investors listed therein</w:t>
              </w:r>
            </w:hyperlink>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4240" w:type="dxa"/>
            <w:vAlign w:val="bottom"/>
            <w:gridSpan w:val="25"/>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Description of Registered Securities</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10.1(a)#</w:t>
            </w:r>
          </w:p>
        </w:tc>
        <w:tc>
          <w:tcPr>
            <w:tcW w:w="1940" w:type="dxa"/>
            <w:vAlign w:val="bottom"/>
            <w:tcBorders>
              <w:top w:val="single" w:sz="8" w:color="0000FF"/>
              <w:bottom w:val="single" w:sz="8" w:color="0000FF"/>
            </w:tcBorders>
            <w:gridSpan w:val="5"/>
          </w:tcPr>
          <w:p>
            <w:pPr>
              <w:spacing w:after="0"/>
              <w:rPr>
                <w:rFonts w:ascii="Arial" w:cs="Arial" w:eastAsia="Arial" w:hAnsi="Arial"/>
                <w:sz w:val="16"/>
                <w:szCs w:val="16"/>
                <w:color w:val="0000FF"/>
              </w:rPr>
            </w:pPr>
            <w:hyperlink r:id="rId127">
              <w:r>
                <w:rPr>
                  <w:rFonts w:ascii="Arial" w:cs="Arial" w:eastAsia="Arial" w:hAnsi="Arial"/>
                  <w:sz w:val="16"/>
                  <w:szCs w:val="16"/>
                  <w:color w:val="0000FF"/>
                </w:rPr>
                <w:t>2021 Incentive Award Plan</w:t>
              </w:r>
            </w:hyperlink>
          </w:p>
        </w:tc>
        <w:tc>
          <w:tcPr>
            <w:tcW w:w="640" w:type="dxa"/>
            <w:vAlign w:val="bottom"/>
            <w:tcBorders>
              <w:top w:val="single" w:sz="8" w:color="0000FF"/>
            </w:tcBorders>
            <w:gridSpan w:val="4"/>
          </w:tcPr>
          <w:p>
            <w:pPr>
              <w:spacing w:after="0"/>
              <w:rPr>
                <w:sz w:val="17"/>
                <w:szCs w:val="17"/>
                <w:color w:val="auto"/>
              </w:rPr>
            </w:pPr>
          </w:p>
        </w:tc>
        <w:tc>
          <w:tcPr>
            <w:tcW w:w="1660" w:type="dxa"/>
            <w:vAlign w:val="bottom"/>
            <w:gridSpan w:val="16"/>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rPr>
              <w:t>10.3(a)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10.1(b)#</w:t>
            </w:r>
          </w:p>
        </w:tc>
        <w:tc>
          <w:tcPr>
            <w:tcW w:w="4240" w:type="dxa"/>
            <w:vAlign w:val="bottom"/>
            <w:gridSpan w:val="25"/>
          </w:tcPr>
          <w:p>
            <w:pPr>
              <w:spacing w:after="0"/>
              <w:rPr>
                <w:rFonts w:ascii="Arial" w:cs="Arial" w:eastAsia="Arial" w:hAnsi="Arial"/>
                <w:sz w:val="16"/>
                <w:szCs w:val="16"/>
                <w:color w:val="0000FF"/>
              </w:rPr>
            </w:pPr>
            <w:hyperlink r:id="rId128">
              <w:r>
                <w:rPr>
                  <w:rFonts w:ascii="Arial" w:cs="Arial" w:eastAsia="Arial" w:hAnsi="Arial"/>
                  <w:sz w:val="16"/>
                  <w:szCs w:val="16"/>
                  <w:color w:val="0000FF"/>
                </w:rPr>
                <w:t>Form of Stock Option Grant Notice and Stock Option</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10.3(b)</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Agreement under the 2021 Incentive Award Plan</w:t>
              </w:r>
            </w:hyperlink>
          </w:p>
        </w:tc>
        <w:tc>
          <w:tcPr>
            <w:tcW w:w="300" w:type="dxa"/>
            <w:vAlign w:val="bottom"/>
            <w:tcBorders>
              <w:top w:val="single" w:sz="8" w:color="0000FF"/>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10.1(c)#</w:t>
            </w:r>
          </w:p>
        </w:tc>
        <w:tc>
          <w:tcPr>
            <w:tcW w:w="3900" w:type="dxa"/>
            <w:vAlign w:val="bottom"/>
            <w:tcBorders>
              <w:bottom w:val="single" w:sz="8" w:color="0000FF"/>
            </w:tcBorders>
            <w:gridSpan w:val="20"/>
          </w:tcPr>
          <w:p>
            <w:pPr>
              <w:spacing w:after="0"/>
              <w:rPr>
                <w:rFonts w:ascii="Arial" w:cs="Arial" w:eastAsia="Arial" w:hAnsi="Arial"/>
                <w:sz w:val="16"/>
                <w:szCs w:val="16"/>
                <w:color w:val="0000FF"/>
              </w:rPr>
            </w:pPr>
            <w:hyperlink r:id="rId129">
              <w:r>
                <w:rPr>
                  <w:rFonts w:ascii="Arial" w:cs="Arial" w:eastAsia="Arial" w:hAnsi="Arial"/>
                  <w:sz w:val="16"/>
                  <w:szCs w:val="16"/>
                  <w:color w:val="0000FF"/>
                </w:rPr>
                <w:t>Form of Restricted Stock Unit Award Grant Notice and</w:t>
              </w:r>
            </w:hyperlink>
          </w:p>
        </w:tc>
        <w:tc>
          <w:tcPr>
            <w:tcW w:w="34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gridSpan w:val="25"/>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Restricted Stock Unit Award Agreement under the 2021</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10.3(c)</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Incentive Award Plan</w:t>
              </w:r>
            </w:hyperlink>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10.2(a)#</w:t>
            </w:r>
          </w:p>
        </w:tc>
        <w:tc>
          <w:tcPr>
            <w:tcW w:w="4240" w:type="dxa"/>
            <w:vAlign w:val="bottom"/>
            <w:gridSpan w:val="25"/>
          </w:tcPr>
          <w:p>
            <w:pPr>
              <w:spacing w:after="0"/>
              <w:rPr>
                <w:rFonts w:ascii="Arial" w:cs="Arial" w:eastAsia="Arial" w:hAnsi="Arial"/>
                <w:sz w:val="16"/>
                <w:szCs w:val="16"/>
                <w:color w:val="0000FF"/>
              </w:rPr>
            </w:pPr>
            <w:hyperlink r:id="rId130">
              <w:r>
                <w:rPr>
                  <w:rFonts w:ascii="Arial" w:cs="Arial" w:eastAsia="Arial" w:hAnsi="Arial"/>
                  <w:sz w:val="16"/>
                  <w:szCs w:val="16"/>
                  <w:color w:val="0000FF"/>
                </w:rPr>
                <w:t>2011 Equity Incentive Plan, as amended</w:t>
              </w:r>
            </w:hyperlink>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rPr>
              <w:t>10.2(a)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10.2(b)#</w:t>
            </w:r>
          </w:p>
        </w:tc>
        <w:tc>
          <w:tcPr>
            <w:tcW w:w="4240" w:type="dxa"/>
            <w:vAlign w:val="bottom"/>
            <w:gridSpan w:val="25"/>
          </w:tcPr>
          <w:p>
            <w:pPr>
              <w:spacing w:after="0"/>
              <w:rPr>
                <w:rFonts w:ascii="Arial" w:cs="Arial" w:eastAsia="Arial" w:hAnsi="Arial"/>
                <w:sz w:val="16"/>
                <w:szCs w:val="16"/>
                <w:color w:val="0000FF"/>
              </w:rPr>
            </w:pPr>
            <w:hyperlink r:id="rId131">
              <w:r>
                <w:rPr>
                  <w:rFonts w:ascii="Arial" w:cs="Arial" w:eastAsia="Arial" w:hAnsi="Arial"/>
                  <w:sz w:val="16"/>
                  <w:szCs w:val="16"/>
                  <w:color w:val="0000FF"/>
                </w:rPr>
                <w:t>Form of Stock Option Grant Notice and Stock Option</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Agreement under 2011 Equity Incentive Plan, as</w:t>
              </w:r>
            </w:hyperlink>
          </w:p>
        </w:tc>
        <w:tc>
          <w:tcPr>
            <w:tcW w:w="440" w:type="dxa"/>
            <w:vAlign w:val="bottom"/>
            <w:gridSpan w:val="7"/>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10.2(b)</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amended</w:t>
              </w:r>
            </w:hyperlink>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8"/>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10.2(c)#</w:t>
            </w:r>
          </w:p>
        </w:tc>
        <w:tc>
          <w:tcPr>
            <w:tcW w:w="4240" w:type="dxa"/>
            <w:vAlign w:val="bottom"/>
            <w:gridSpan w:val="25"/>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Form of Restricted Stock Unit Grant Notice and</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Restricted Stock Unit Award Agreement under</w:t>
              </w:r>
            </w:hyperlink>
          </w:p>
        </w:tc>
        <w:tc>
          <w:tcPr>
            <w:tcW w:w="320" w:type="dxa"/>
            <w:vAlign w:val="bottom"/>
            <w:tcBorders>
              <w:bottom w:val="single" w:sz="8" w:color="0000FF"/>
            </w:tcBorders>
            <w:gridSpan w:val="4"/>
          </w:tcPr>
          <w:p>
            <w:pPr>
              <w:jc w:val="right"/>
              <w:spacing w:after="0" w:line="142" w:lineRule="exact"/>
              <w:rPr>
                <w:rFonts w:ascii="Arial" w:cs="Arial" w:eastAsia="Arial" w:hAnsi="Arial"/>
                <w:sz w:val="16"/>
                <w:szCs w:val="16"/>
                <w:color w:val="0000FF"/>
                <w:w w:val="84"/>
              </w:rPr>
            </w:pPr>
            <w:hyperlink r:id="rId132">
              <w:r>
                <w:rPr>
                  <w:rFonts w:ascii="Arial" w:cs="Arial" w:eastAsia="Arial" w:hAnsi="Arial"/>
                  <w:sz w:val="16"/>
                  <w:szCs w:val="16"/>
                  <w:color w:val="0000FF"/>
                  <w:w w:val="84"/>
                </w:rPr>
                <w:t>2011</w:t>
              </w:r>
            </w:hyperlink>
          </w:p>
        </w:tc>
        <w:tc>
          <w:tcPr>
            <w:tcW w:w="60" w:type="dxa"/>
            <w:vAlign w:val="bottom"/>
          </w:tcPr>
          <w:p>
            <w:pPr>
              <w:spacing w:after="0"/>
              <w:rPr>
                <w:sz w:val="12"/>
                <w:szCs w:val="12"/>
                <w:color w:val="auto"/>
              </w:rPr>
            </w:pPr>
          </w:p>
        </w:tc>
        <w:tc>
          <w:tcPr>
            <w:tcW w:w="460" w:type="dxa"/>
            <w:vAlign w:val="bottom"/>
            <w:gridSpan w:val="8"/>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10.2(c)</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16"/>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Equity Incentive Plan, as amended</w:t>
              </w:r>
            </w:hyperlink>
          </w:p>
        </w:tc>
        <w:tc>
          <w:tcPr>
            <w:tcW w:w="60" w:type="dxa"/>
            <w:vAlign w:val="bottom"/>
          </w:tcPr>
          <w:p>
            <w:pPr>
              <w:spacing w:after="0"/>
              <w:rPr>
                <w:sz w:val="12"/>
                <w:szCs w:val="12"/>
                <w:color w:val="auto"/>
              </w:rPr>
            </w:pPr>
          </w:p>
        </w:tc>
        <w:tc>
          <w:tcPr>
            <w:tcW w:w="460" w:type="dxa"/>
            <w:vAlign w:val="bottom"/>
            <w:gridSpan w:val="8"/>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9"/>
              </w:rPr>
              <w:t>10.3#</w:t>
            </w:r>
          </w:p>
        </w:tc>
        <w:tc>
          <w:tcPr>
            <w:tcW w:w="100" w:type="dxa"/>
            <w:vAlign w:val="bottom"/>
          </w:tcPr>
          <w:p>
            <w:pPr>
              <w:spacing w:after="0"/>
              <w:rPr>
                <w:sz w:val="17"/>
                <w:szCs w:val="17"/>
                <w:color w:val="auto"/>
              </w:rPr>
            </w:pPr>
          </w:p>
        </w:tc>
        <w:tc>
          <w:tcPr>
            <w:tcW w:w="4240" w:type="dxa"/>
            <w:vAlign w:val="bottom"/>
            <w:gridSpan w:val="25"/>
          </w:tcPr>
          <w:p>
            <w:pPr>
              <w:spacing w:after="0"/>
              <w:rPr>
                <w:rFonts w:ascii="Arial" w:cs="Arial" w:eastAsia="Arial" w:hAnsi="Arial"/>
                <w:sz w:val="16"/>
                <w:szCs w:val="16"/>
                <w:color w:val="0000FF"/>
              </w:rPr>
            </w:pPr>
            <w:hyperlink r:id="rId133">
              <w:r>
                <w:rPr>
                  <w:rFonts w:ascii="Arial" w:cs="Arial" w:eastAsia="Arial" w:hAnsi="Arial"/>
                  <w:sz w:val="16"/>
                  <w:szCs w:val="16"/>
                  <w:color w:val="0000FF"/>
                </w:rPr>
                <w:t>Non-Employee Director Compensation Program</w:t>
              </w:r>
            </w:hyperlink>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80" w:type="dxa"/>
            <w:vAlign w:val="bottom"/>
            <w:gridSpan w:val="1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9"/>
              </w:rPr>
              <w:t>10.4#</w:t>
            </w:r>
          </w:p>
        </w:tc>
        <w:tc>
          <w:tcPr>
            <w:tcW w:w="100" w:type="dxa"/>
            <w:vAlign w:val="bottom"/>
          </w:tcPr>
          <w:p>
            <w:pPr>
              <w:spacing w:after="0"/>
              <w:rPr>
                <w:sz w:val="17"/>
                <w:szCs w:val="17"/>
                <w:color w:val="auto"/>
              </w:rPr>
            </w:pPr>
          </w:p>
        </w:tc>
        <w:tc>
          <w:tcPr>
            <w:tcW w:w="4240" w:type="dxa"/>
            <w:vAlign w:val="bottom"/>
            <w:gridSpan w:val="25"/>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Form of Indemnification Agreement for Directors and</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0"/>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10.12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Officers</w:t>
              </w:r>
            </w:hyperlink>
          </w:p>
        </w:tc>
        <w:tc>
          <w:tcPr>
            <w:tcW w:w="460" w:type="dxa"/>
            <w:vAlign w:val="bottom"/>
            <w:gridSpan w:val="8"/>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ectPr>
          <w:pgSz w:w="11900" w:h="16838" w:orient="portrait"/>
          <w:cols w:equalWidth="0" w:num="1">
            <w:col w:w="10740"/>
          </w:cols>
          <w:pgMar w:left="320" w:top="15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right="480" w:hanging="86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w:anchor="page115">
        <w:r>
          <w:rPr>
            <w:rFonts w:ascii="Arial" w:cs="Arial" w:eastAsia="Arial" w:hAnsi="Arial"/>
            <w:sz w:val="16"/>
            <w:szCs w:val="16"/>
            <w:u w:val="single" w:color="auto"/>
            <w:color w:val="0000FF"/>
          </w:rPr>
          <w:t>Lease by and between 5704 Penn Office, LLC and</w:t>
        </w:r>
      </w:hyperlink>
      <w:r>
        <w:rPr>
          <w:rFonts w:ascii="Arial" w:cs="Arial" w:eastAsia="Arial" w:hAnsi="Arial"/>
          <w:sz w:val="16"/>
          <w:szCs w:val="16"/>
          <w:u w:val="single" w:color="auto"/>
          <w:color w:val="0000FF"/>
        </w:rPr>
        <w:t xml:space="preserve"> </w:t>
      </w:r>
      <w:hyperlink w:anchor="page115">
        <w:r>
          <w:rPr>
            <w:rFonts w:ascii="Arial" w:cs="Arial" w:eastAsia="Arial" w:hAnsi="Arial"/>
            <w:sz w:val="16"/>
            <w:szCs w:val="16"/>
            <w:u w:val="single" w:color="auto"/>
            <w:color w:val="0000FF"/>
          </w:rPr>
          <w:t>Duolingo Inc. dated November 16, 2021</w:t>
        </w:r>
      </w:hyperlink>
    </w:p>
    <w:p>
      <w:pPr>
        <w:spacing w:after="0" w:line="22" w:lineRule="exact"/>
        <w:rPr>
          <w:sz w:val="20"/>
          <w:szCs w:val="20"/>
          <w:color w:val="auto"/>
        </w:rPr>
      </w:pPr>
    </w:p>
    <w:p>
      <w:pPr>
        <w:ind w:left="400"/>
        <w:spacing w:after="0"/>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36">
        <w:r>
          <w:rPr>
            <w:rFonts w:ascii="Arial" w:cs="Arial" w:eastAsia="Arial" w:hAnsi="Arial"/>
            <w:sz w:val="16"/>
            <w:szCs w:val="16"/>
            <w:u w:val="single" w:color="auto"/>
            <w:color w:val="0000FF"/>
          </w:rPr>
          <w:t>Form of Change in Control and Severance Agreement</w:t>
        </w:r>
      </w:hyperlink>
    </w:p>
    <w:p>
      <w:pPr>
        <w:spacing w:after="0" w:line="32" w:lineRule="exact"/>
        <w:rPr>
          <w:sz w:val="20"/>
          <w:szCs w:val="20"/>
          <w:color w:val="auto"/>
        </w:rPr>
      </w:pPr>
    </w:p>
    <w:p>
      <w:pPr>
        <w:ind w:left="1300" w:right="180" w:hanging="962"/>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10.7(a)</w:t>
      </w:r>
      <w:r>
        <w:rPr>
          <w:sz w:val="20"/>
          <w:szCs w:val="20"/>
          <w:color w:val="auto"/>
        </w:rPr>
        <w:tab/>
      </w:r>
      <w:hyperlink r:id="rId137">
        <w:r>
          <w:rPr>
            <w:rFonts w:ascii="Arial" w:cs="Arial" w:eastAsia="Arial" w:hAnsi="Arial"/>
            <w:sz w:val="16"/>
            <w:szCs w:val="16"/>
            <w:u w:val="single" w:color="auto"/>
            <w:color w:val="0000FF"/>
          </w:rPr>
          <w:t>Office Lease Agreement, dated November 18,2015, by</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and between Alpha 4, L.P. and the Registrant</w:t>
        </w:r>
      </w:hyperlink>
    </w:p>
    <w:p>
      <w:pPr>
        <w:ind w:left="340"/>
        <w:spacing w:after="0"/>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10.7(b)</w:t>
      </w:r>
      <w:r>
        <w:rPr>
          <w:sz w:val="20"/>
          <w:szCs w:val="20"/>
          <w:color w:val="auto"/>
        </w:rPr>
        <w:tab/>
      </w:r>
      <w:hyperlink r:id="rId138">
        <w:r>
          <w:rPr>
            <w:rFonts w:ascii="Arial" w:cs="Arial" w:eastAsia="Arial" w:hAnsi="Arial"/>
            <w:sz w:val="16"/>
            <w:szCs w:val="16"/>
            <w:u w:val="single" w:color="auto"/>
            <w:color w:val="0000FF"/>
          </w:rPr>
          <w:t>Amendment to Office Lease Agreement, dated June 16,</w:t>
        </w:r>
      </w:hyperlink>
    </w:p>
    <w:p>
      <w:pPr>
        <w:ind w:left="1300"/>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2016, by and between Alpha 4, L.P. and the Registrant</w:t>
        </w:r>
      </w:hyperlink>
    </w:p>
    <w:p>
      <w:pPr>
        <w:spacing w:after="0" w:line="32" w:lineRule="exact"/>
        <w:rPr>
          <w:sz w:val="20"/>
          <w:szCs w:val="20"/>
          <w:color w:val="auto"/>
        </w:rPr>
      </w:pPr>
    </w:p>
    <w:p>
      <w:pPr>
        <w:ind w:left="1300" w:right="80" w:hanging="957"/>
        <w:spacing w:after="0" w:line="225"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10.7(c)</w:t>
      </w:r>
      <w:r>
        <w:rPr>
          <w:sz w:val="20"/>
          <w:szCs w:val="20"/>
          <w:color w:val="auto"/>
        </w:rPr>
        <w:tab/>
      </w:r>
      <w:hyperlink r:id="rId139">
        <w:r>
          <w:rPr>
            <w:rFonts w:ascii="Arial" w:cs="Arial" w:eastAsia="Arial" w:hAnsi="Arial"/>
            <w:sz w:val="16"/>
            <w:szCs w:val="16"/>
            <w:u w:val="single" w:color="auto"/>
            <w:color w:val="0000FF"/>
          </w:rPr>
          <w:t>Second Amendment to Office Lease Agreement, dated</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October 16, 2017, by and between Alpha 4, L.P. and the</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Registrant</w:t>
        </w:r>
      </w:hyperlink>
    </w:p>
    <w:p>
      <w:pPr>
        <w:spacing w:after="0" w:line="23" w:lineRule="exact"/>
        <w:rPr>
          <w:rFonts w:ascii="Arial" w:cs="Arial" w:eastAsia="Arial" w:hAnsi="Arial"/>
          <w:sz w:val="16"/>
          <w:szCs w:val="16"/>
          <w:u w:val="single" w:color="auto"/>
          <w:color w:val="0000FF"/>
        </w:rPr>
      </w:pPr>
    </w:p>
    <w:p>
      <w:pPr>
        <w:ind w:left="1300" w:right="180" w:hanging="962"/>
        <w:spacing w:after="0" w:line="225"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10.7(d)</w:t>
      </w:r>
      <w:r>
        <w:rPr>
          <w:sz w:val="20"/>
          <w:szCs w:val="20"/>
          <w:color w:val="auto"/>
        </w:rPr>
        <w:tab/>
      </w:r>
      <w:hyperlink r:id="rId140">
        <w:r>
          <w:rPr>
            <w:rFonts w:ascii="Arial" w:cs="Arial" w:eastAsia="Arial" w:hAnsi="Arial"/>
            <w:sz w:val="16"/>
            <w:szCs w:val="16"/>
            <w:u w:val="single" w:color="auto"/>
            <w:color w:val="0000FF"/>
          </w:rPr>
          <w:t>Third Amendment to Office Lease Agreement, dated</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December 31, 2017, by and between Alpha 4, L.P. and</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the Registrant</w:t>
        </w:r>
      </w:hyperlink>
    </w:p>
    <w:p>
      <w:pPr>
        <w:spacing w:after="0" w:line="23" w:lineRule="exact"/>
        <w:rPr>
          <w:rFonts w:ascii="Arial" w:cs="Arial" w:eastAsia="Arial" w:hAnsi="Arial"/>
          <w:sz w:val="16"/>
          <w:szCs w:val="16"/>
          <w:u w:val="single" w:color="auto"/>
          <w:color w:val="0000FF"/>
        </w:rPr>
      </w:pPr>
    </w:p>
    <w:p>
      <w:pPr>
        <w:ind w:left="1300" w:right="160" w:hanging="962"/>
        <w:spacing w:after="0" w:line="225"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10.7(e)</w:t>
      </w:r>
      <w:r>
        <w:rPr>
          <w:sz w:val="20"/>
          <w:szCs w:val="20"/>
          <w:color w:val="auto"/>
        </w:rPr>
        <w:tab/>
      </w:r>
      <w:hyperlink r:id="rId141">
        <w:r>
          <w:rPr>
            <w:rFonts w:ascii="Arial" w:cs="Arial" w:eastAsia="Arial" w:hAnsi="Arial"/>
            <w:sz w:val="16"/>
            <w:szCs w:val="16"/>
            <w:u w:val="single" w:color="auto"/>
            <w:color w:val="0000FF"/>
          </w:rPr>
          <w:t>Fourth Amendment to Office Lease Agreement, dated</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August 10, 2018, by and between Alpha 4, L.P. and the</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Registrant</w:t>
        </w:r>
      </w:hyperlink>
    </w:p>
    <w:p>
      <w:pPr>
        <w:spacing w:after="0" w:line="23" w:lineRule="exact"/>
        <w:rPr>
          <w:rFonts w:ascii="Arial" w:cs="Arial" w:eastAsia="Arial" w:hAnsi="Arial"/>
          <w:sz w:val="16"/>
          <w:szCs w:val="16"/>
          <w:u w:val="single" w:color="auto"/>
          <w:color w:val="0000FF"/>
        </w:rPr>
      </w:pPr>
    </w:p>
    <w:p>
      <w:pPr>
        <w:ind w:left="1300" w:right="80" w:hanging="940"/>
        <w:spacing w:after="0" w:line="225"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10.7(f)</w:t>
      </w:r>
      <w:r>
        <w:rPr>
          <w:sz w:val="20"/>
          <w:szCs w:val="20"/>
          <w:color w:val="auto"/>
        </w:rPr>
        <w:tab/>
      </w:r>
      <w:hyperlink r:id="rId142">
        <w:r>
          <w:rPr>
            <w:rFonts w:ascii="Arial" w:cs="Arial" w:eastAsia="Arial" w:hAnsi="Arial"/>
            <w:sz w:val="16"/>
            <w:szCs w:val="16"/>
            <w:u w:val="single" w:color="auto"/>
            <w:color w:val="0000FF"/>
          </w:rPr>
          <w:t>Fifth Amendment to Office Lease Agreement, dated</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October 22, 2018, by and between Alpha 4, L.P. and the</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Registrant</w:t>
        </w:r>
      </w:hyperlink>
    </w:p>
    <w:p>
      <w:pPr>
        <w:spacing w:after="0" w:line="23" w:lineRule="exact"/>
        <w:rPr>
          <w:rFonts w:ascii="Arial" w:cs="Arial" w:eastAsia="Arial" w:hAnsi="Arial"/>
          <w:sz w:val="16"/>
          <w:szCs w:val="16"/>
          <w:u w:val="single" w:color="auto"/>
          <w:color w:val="0000FF"/>
        </w:rPr>
      </w:pPr>
    </w:p>
    <w:p>
      <w:pPr>
        <w:ind w:left="1300" w:hanging="962"/>
        <w:spacing w:after="0" w:line="225"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10.7(g)</w:t>
      </w:r>
      <w:r>
        <w:rPr>
          <w:sz w:val="20"/>
          <w:szCs w:val="20"/>
          <w:color w:val="auto"/>
        </w:rPr>
        <w:tab/>
      </w:r>
      <w:hyperlink r:id="rId143">
        <w:r>
          <w:rPr>
            <w:rFonts w:ascii="Arial" w:cs="Arial" w:eastAsia="Arial" w:hAnsi="Arial"/>
            <w:sz w:val="16"/>
            <w:szCs w:val="16"/>
            <w:u w:val="single" w:color="auto"/>
            <w:color w:val="0000FF"/>
          </w:rPr>
          <w:t>Sixth Amendment to Office Lease Agreement, dated</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November 8, 2019, by and between Alpha 4, L.P. and the</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Registrant</w:t>
        </w:r>
      </w:hyperlink>
    </w:p>
    <w:p>
      <w:pPr>
        <w:spacing w:after="0" w:line="23" w:lineRule="exact"/>
        <w:rPr>
          <w:rFonts w:ascii="Arial" w:cs="Arial" w:eastAsia="Arial" w:hAnsi="Arial"/>
          <w:sz w:val="16"/>
          <w:szCs w:val="16"/>
          <w:u w:val="single" w:color="auto"/>
          <w:color w:val="0000FF"/>
        </w:rPr>
      </w:pPr>
    </w:p>
    <w:p>
      <w:pPr>
        <w:ind w:left="1300" w:right="80" w:hanging="908"/>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144">
        <w:r>
          <w:rPr>
            <w:rFonts w:ascii="Arial" w:cs="Arial" w:eastAsia="Arial" w:hAnsi="Arial"/>
            <w:sz w:val="16"/>
            <w:szCs w:val="16"/>
            <w:u w:val="single" w:color="auto"/>
            <w:color w:val="0000FF"/>
          </w:rPr>
          <w:t>Offer Letter by and between the Registrant and Luis von</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Ahn</w:t>
        </w:r>
      </w:hyperlink>
    </w:p>
    <w:p>
      <w:pPr>
        <w:spacing w:after="0" w:line="22" w:lineRule="exact"/>
        <w:rPr>
          <w:sz w:val="20"/>
          <w:szCs w:val="20"/>
          <w:color w:val="auto"/>
        </w:rPr>
      </w:pPr>
    </w:p>
    <w:p>
      <w:pPr>
        <w:ind w:left="1300" w:right="140" w:hanging="908"/>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145">
        <w:r>
          <w:rPr>
            <w:rFonts w:ascii="Arial" w:cs="Arial" w:eastAsia="Arial" w:hAnsi="Arial"/>
            <w:sz w:val="16"/>
            <w:szCs w:val="16"/>
            <w:u w:val="single" w:color="auto"/>
            <w:color w:val="0000FF"/>
          </w:rPr>
          <w:t>Offer Letter by and between the Registrant and Severin</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Hacker</w:t>
        </w:r>
      </w:hyperlink>
    </w:p>
    <w:p>
      <w:pPr>
        <w:spacing w:after="0" w:line="22" w:lineRule="exact"/>
        <w:rPr>
          <w:sz w:val="20"/>
          <w:szCs w:val="20"/>
          <w:color w:val="auto"/>
        </w:rPr>
      </w:pPr>
    </w:p>
    <w:p>
      <w:pPr>
        <w:ind w:left="1300" w:right="80" w:hanging="95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146">
        <w:r>
          <w:rPr>
            <w:rFonts w:ascii="Arial" w:cs="Arial" w:eastAsia="Arial" w:hAnsi="Arial"/>
            <w:sz w:val="16"/>
            <w:szCs w:val="16"/>
            <w:u w:val="single" w:color="auto"/>
            <w:color w:val="0000FF"/>
          </w:rPr>
          <w:t>Offer Letter by and between the Registrant and Matthew</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Skaruppa</w:t>
        </w:r>
      </w:hyperlink>
    </w:p>
    <w:p>
      <w:pPr>
        <w:spacing w:after="0" w:line="22" w:lineRule="exact"/>
        <w:rPr>
          <w:sz w:val="20"/>
          <w:szCs w:val="20"/>
          <w:color w:val="auto"/>
        </w:rPr>
      </w:pPr>
    </w:p>
    <w:p>
      <w:pPr>
        <w:ind w:left="1300" w:right="200" w:hanging="95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147">
        <w:r>
          <w:rPr>
            <w:rFonts w:ascii="Arial" w:cs="Arial" w:eastAsia="Arial" w:hAnsi="Arial"/>
            <w:sz w:val="16"/>
            <w:szCs w:val="16"/>
            <w:u w:val="single" w:color="auto"/>
            <w:color w:val="0000FF"/>
          </w:rPr>
          <w:t>Offer Letter by and between the Registrant and Robert</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Meese</w:t>
        </w:r>
      </w:hyperlink>
    </w:p>
    <w:p>
      <w:pPr>
        <w:spacing w:after="0" w:line="22" w:lineRule="exact"/>
        <w:rPr>
          <w:sz w:val="20"/>
          <w:szCs w:val="20"/>
          <w:color w:val="auto"/>
        </w:rPr>
      </w:pPr>
    </w:p>
    <w:p>
      <w:pPr>
        <w:ind w:left="1300" w:right="180" w:hanging="95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48">
        <w:r>
          <w:rPr>
            <w:rFonts w:ascii="Arial" w:cs="Arial" w:eastAsia="Arial" w:hAnsi="Arial"/>
            <w:sz w:val="16"/>
            <w:szCs w:val="16"/>
            <w:u w:val="single" w:color="auto"/>
            <w:color w:val="0000FF"/>
          </w:rPr>
          <w:t>Offer Letter by and between the Registrant and Natalie</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Glance</w:t>
        </w:r>
      </w:hyperlink>
    </w:p>
    <w:p>
      <w:pPr>
        <w:spacing w:after="0" w:line="22" w:lineRule="exact"/>
        <w:rPr>
          <w:sz w:val="20"/>
          <w:szCs w:val="20"/>
          <w:color w:val="auto"/>
        </w:rPr>
      </w:pPr>
    </w:p>
    <w:p>
      <w:pPr>
        <w:ind w:left="1300" w:right="80" w:hanging="95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49">
        <w:r>
          <w:rPr>
            <w:rFonts w:ascii="Arial" w:cs="Arial" w:eastAsia="Arial" w:hAnsi="Arial"/>
            <w:sz w:val="16"/>
            <w:szCs w:val="16"/>
            <w:u w:val="single" w:color="auto"/>
            <w:color w:val="0000FF"/>
          </w:rPr>
          <w:t>Offer Letter by and between the Registrant and Stephen</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Chen</w:t>
        </w:r>
      </w:hyperlink>
    </w:p>
    <w:p>
      <w:pPr>
        <w:spacing w:after="0" w:line="22" w:lineRule="exact"/>
        <w:rPr>
          <w:sz w:val="20"/>
          <w:szCs w:val="20"/>
          <w:color w:val="auto"/>
        </w:rPr>
      </w:pPr>
    </w:p>
    <w:p>
      <w:pPr>
        <w:ind w:left="360"/>
        <w:spacing w:after="0"/>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50">
        <w:r>
          <w:rPr>
            <w:rFonts w:ascii="Arial" w:cs="Arial" w:eastAsia="Arial" w:hAnsi="Arial"/>
            <w:sz w:val="16"/>
            <w:szCs w:val="16"/>
            <w:u w:val="single" w:color="auto"/>
            <w:color w:val="0000FF"/>
          </w:rPr>
          <w:t>Employee Stock Purchase Plan</w:t>
        </w:r>
      </w:hyperlink>
    </w:p>
    <w:p>
      <w:pPr>
        <w:spacing w:after="0" w:line="32" w:lineRule="exact"/>
        <w:rPr>
          <w:sz w:val="20"/>
          <w:szCs w:val="20"/>
          <w:color w:val="auto"/>
        </w:rPr>
      </w:pPr>
    </w:p>
    <w:p>
      <w:pPr>
        <w:ind w:left="440"/>
        <w:spacing w:after="0"/>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21.1</w:t>
      </w:r>
      <w:r>
        <w:rPr>
          <w:sz w:val="20"/>
          <w:szCs w:val="20"/>
          <w:color w:val="auto"/>
        </w:rPr>
        <w:tab/>
      </w:r>
      <w:hyperlink w:anchor="page186">
        <w:r>
          <w:rPr>
            <w:rFonts w:ascii="Arial" w:cs="Arial" w:eastAsia="Arial" w:hAnsi="Arial"/>
            <w:sz w:val="16"/>
            <w:szCs w:val="16"/>
            <w:u w:val="single" w:color="auto"/>
            <w:color w:val="0000FF"/>
          </w:rPr>
          <w:t>List of Subsidiaries</w:t>
        </w:r>
      </w:hyperlink>
    </w:p>
    <w:p>
      <w:pPr>
        <w:spacing w:after="0" w:line="10" w:lineRule="exact"/>
        <w:rPr>
          <w:sz w:val="20"/>
          <w:szCs w:val="20"/>
          <w:color w:val="auto"/>
        </w:rPr>
      </w:pPr>
    </w:p>
    <w:p>
      <w:pPr>
        <w:ind w:left="440"/>
        <w:spacing w:after="0"/>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23.1</w:t>
      </w:r>
      <w:r>
        <w:rPr>
          <w:sz w:val="20"/>
          <w:szCs w:val="20"/>
          <w:color w:val="auto"/>
        </w:rPr>
        <w:tab/>
      </w:r>
      <w:hyperlink w:anchor="page187">
        <w:r>
          <w:rPr>
            <w:rFonts w:ascii="Arial" w:cs="Arial" w:eastAsia="Arial" w:hAnsi="Arial"/>
            <w:sz w:val="16"/>
            <w:szCs w:val="16"/>
            <w:u w:val="single" w:color="auto"/>
            <w:color w:val="0000FF"/>
          </w:rPr>
          <w:t>Consent of Deloitte &amp; Touche LLP, Independent</w:t>
        </w:r>
      </w:hyperlink>
    </w:p>
    <w:p>
      <w:pPr>
        <w:ind w:left="1300"/>
        <w:spacing w:after="0"/>
        <w:rPr>
          <w:rFonts w:ascii="Arial" w:cs="Arial" w:eastAsia="Arial" w:hAnsi="Arial"/>
          <w:sz w:val="16"/>
          <w:szCs w:val="16"/>
          <w:u w:val="single" w:color="auto"/>
          <w:color w:val="0000FF"/>
        </w:rPr>
      </w:pPr>
      <w:hyperlink w:anchor="page187">
        <w:r>
          <w:rPr>
            <w:rFonts w:ascii="Arial" w:cs="Arial" w:eastAsia="Arial" w:hAnsi="Arial"/>
            <w:sz w:val="16"/>
            <w:szCs w:val="16"/>
            <w:u w:val="single" w:color="auto"/>
            <w:color w:val="0000FF"/>
          </w:rPr>
          <w:t>Registered Public Accounting Firm</w:t>
        </w:r>
      </w:hyperlink>
    </w:p>
    <w:p>
      <w:pPr>
        <w:spacing w:after="0" w:line="32" w:lineRule="exact"/>
        <w:rPr>
          <w:sz w:val="20"/>
          <w:szCs w:val="20"/>
          <w:color w:val="auto"/>
        </w:rPr>
      </w:pPr>
    </w:p>
    <w:p>
      <w:pPr>
        <w:ind w:left="1300" w:right="280" w:hanging="86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188">
        <w:r>
          <w:rPr>
            <w:rFonts w:ascii="Arial" w:cs="Arial" w:eastAsia="Arial" w:hAnsi="Arial"/>
            <w:sz w:val="16"/>
            <w:szCs w:val="16"/>
            <w:u w:val="single" w:color="auto"/>
            <w:color w:val="0000FF"/>
          </w:rPr>
          <w:t>Certification of Principal Executive Officer pursuant to</w:t>
        </w:r>
      </w:hyperlink>
      <w:r>
        <w:rPr>
          <w:rFonts w:ascii="Arial" w:cs="Arial" w:eastAsia="Arial" w:hAnsi="Arial"/>
          <w:sz w:val="16"/>
          <w:szCs w:val="16"/>
          <w:u w:val="single" w:color="auto"/>
          <w:color w:val="0000FF"/>
        </w:rPr>
        <w:t xml:space="preserve"> </w:t>
      </w:r>
      <w:hyperlink w:anchor="page188">
        <w:r>
          <w:rPr>
            <w:rFonts w:ascii="Arial" w:cs="Arial" w:eastAsia="Arial" w:hAnsi="Arial"/>
            <w:sz w:val="16"/>
            <w:szCs w:val="16"/>
            <w:u w:val="single" w:color="auto"/>
            <w:color w:val="0000FF"/>
          </w:rPr>
          <w:t>Exchange Act Rule 13a-14(a)</w:t>
        </w:r>
      </w:hyperlink>
    </w:p>
    <w:p>
      <w:pPr>
        <w:spacing w:after="0" w:line="22" w:lineRule="exact"/>
        <w:rPr>
          <w:sz w:val="20"/>
          <w:szCs w:val="20"/>
          <w:color w:val="auto"/>
        </w:rPr>
      </w:pPr>
    </w:p>
    <w:p>
      <w:pPr>
        <w:ind w:left="1300" w:right="340" w:hanging="863"/>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189">
        <w:r>
          <w:rPr>
            <w:rFonts w:ascii="Arial" w:cs="Arial" w:eastAsia="Arial" w:hAnsi="Arial"/>
            <w:sz w:val="16"/>
            <w:szCs w:val="16"/>
            <w:u w:val="single" w:color="auto"/>
            <w:color w:val="0000FF"/>
          </w:rPr>
          <w:t>Certification of Principal Financial Officer pursuant to</w:t>
        </w:r>
      </w:hyperlink>
      <w:r>
        <w:rPr>
          <w:rFonts w:ascii="Arial" w:cs="Arial" w:eastAsia="Arial" w:hAnsi="Arial"/>
          <w:sz w:val="16"/>
          <w:szCs w:val="16"/>
          <w:u w:val="single" w:color="auto"/>
          <w:color w:val="0000FF"/>
        </w:rPr>
        <w:t xml:space="preserve"> </w:t>
      </w:r>
      <w:hyperlink w:anchor="page189">
        <w:r>
          <w:rPr>
            <w:rFonts w:ascii="Arial" w:cs="Arial" w:eastAsia="Arial" w:hAnsi="Arial"/>
            <w:sz w:val="16"/>
            <w:szCs w:val="16"/>
            <w:u w:val="single" w:color="auto"/>
            <w:color w:val="0000FF"/>
          </w:rPr>
          <w:t>Exchange Act Rule 13a-14(a)</w:t>
        </w:r>
      </w:hyperlink>
    </w:p>
    <w:p>
      <w:pPr>
        <w:spacing w:after="0" w:line="22" w:lineRule="exact"/>
        <w:rPr>
          <w:sz w:val="20"/>
          <w:szCs w:val="20"/>
          <w:color w:val="auto"/>
        </w:rPr>
      </w:pPr>
    </w:p>
    <w:p>
      <w:pPr>
        <w:ind w:left="1300" w:right="160" w:hanging="895"/>
        <w:spacing w:after="0" w:line="232" w:lineRule="auto"/>
        <w:tabs>
          <w:tab w:leader="none" w:pos="12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190">
        <w:r>
          <w:rPr>
            <w:rFonts w:ascii="Arial" w:cs="Arial" w:eastAsia="Arial" w:hAnsi="Arial"/>
            <w:sz w:val="16"/>
            <w:szCs w:val="16"/>
            <w:u w:val="single" w:color="auto"/>
            <w:color w:val="0000FF"/>
          </w:rPr>
          <w:t>Certification of Principal Executive Officer and Principal</w:t>
        </w:r>
      </w:hyperlink>
      <w:r>
        <w:rPr>
          <w:rFonts w:ascii="Arial" w:cs="Arial" w:eastAsia="Arial" w:hAnsi="Arial"/>
          <w:sz w:val="16"/>
          <w:szCs w:val="16"/>
          <w:u w:val="single" w:color="auto"/>
          <w:color w:val="0000FF"/>
        </w:rPr>
        <w:t xml:space="preserve"> </w:t>
      </w:r>
      <w:hyperlink w:anchor="page190">
        <w:r>
          <w:rPr>
            <w:rFonts w:ascii="Arial" w:cs="Arial" w:eastAsia="Arial" w:hAnsi="Arial"/>
            <w:sz w:val="16"/>
            <w:szCs w:val="16"/>
            <w:u w:val="single" w:color="auto"/>
            <w:color w:val="0000FF"/>
          </w:rPr>
          <w:t>Financial Officer pursuant to 18 U.S.C. Section 1350</w:t>
        </w:r>
      </w:hyperlink>
    </w:p>
    <w:p>
      <w:pPr>
        <w:spacing w:after="0" w:line="22" w:lineRule="exact"/>
        <w:rPr>
          <w:sz w:val="20"/>
          <w:szCs w:val="20"/>
          <w:color w:val="auto"/>
        </w:rPr>
      </w:pPr>
    </w:p>
    <w:p>
      <w:pPr>
        <w:ind w:left="1300" w:hanging="998"/>
        <w:spacing w:after="0" w:line="221" w:lineRule="auto"/>
        <w:tabs>
          <w:tab w:leader="none" w:pos="128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6"/>
          <w:szCs w:val="16"/>
          <w:color w:val="auto"/>
        </w:rPr>
        <w:t>Inline XBRL Instance Document - the Instance Document does not appear in the interactive data file because its XBRL tags are embedded within the Inline XBRL document</w:t>
      </w:r>
    </w:p>
    <w:p>
      <w:pPr>
        <w:spacing w:after="0" w:line="24"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10.14</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8"/>
              </w:rPr>
              <w:t>10.1(a)</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8"/>
              </w:rPr>
              <w:t>10.1(b)</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10.1(c)</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8"/>
              </w:rPr>
              <w:t>10.1(d)</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8"/>
              </w:rPr>
              <w:t>10.1(e)</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9"/>
              </w:rPr>
              <w:t>10.1(f)</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8"/>
              </w:rPr>
              <w:t>10.1(g)</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10.5</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10.6</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10.7</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10.8</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10.9</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10.10</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333-257483</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7/19/2021</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10.4</w:t>
            </w:r>
          </w:p>
        </w:tc>
      </w:tr>
    </w:tbl>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279" w:lineRule="exact"/>
        <w:rPr>
          <w:sz w:val="20"/>
          <w:szCs w:val="20"/>
          <w:color w:val="auto"/>
        </w:rPr>
      </w:pPr>
    </w:p>
    <w:p>
      <w:pPr>
        <w:sectPr>
          <w:pgSz w:w="11900" w:h="16838" w:orient="portrait"/>
          <w:cols w:equalWidth="0" w:num="2">
            <w:col w:w="5420" w:space="280"/>
            <w:col w:w="5040"/>
          </w:cols>
          <w:pgMar w:left="320" w:top="152"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52" w:right="8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Arial" w:cs="Arial" w:eastAsia="Arial" w:hAnsi="Arial"/>
                <w:sz w:val="16"/>
                <w:szCs w:val="16"/>
                <w:color w:val="auto"/>
              </w:rPr>
              <w:t>101.CAL</w:t>
            </w:r>
          </w:p>
        </w:tc>
        <w:tc>
          <w:tcPr>
            <w:tcW w:w="4240" w:type="dxa"/>
            <w:vAlign w:val="bottom"/>
          </w:tcPr>
          <w:p>
            <w:pPr>
              <w:ind w:left="180"/>
              <w:spacing w:after="0"/>
              <w:rPr>
                <w:sz w:val="20"/>
                <w:szCs w:val="20"/>
                <w:color w:val="auto"/>
              </w:rPr>
            </w:pPr>
            <w:r>
              <w:rPr>
                <w:rFonts w:ascii="Arial" w:cs="Arial" w:eastAsia="Arial" w:hAnsi="Arial"/>
                <w:sz w:val="16"/>
                <w:szCs w:val="16"/>
                <w:color w:val="auto"/>
              </w:rPr>
              <w:t>Inline XBRL Taxonomy Extension Calculation Linkbase</w:t>
            </w:r>
          </w:p>
        </w:tc>
      </w:tr>
      <w:tr>
        <w:trPr>
          <w:trHeight w:val="195"/>
        </w:trPr>
        <w:tc>
          <w:tcPr>
            <w:tcW w:w="840" w:type="dxa"/>
            <w:vAlign w:val="bottom"/>
          </w:tcPr>
          <w:p>
            <w:pPr>
              <w:spacing w:after="0"/>
              <w:rPr>
                <w:sz w:val="16"/>
                <w:szCs w:val="16"/>
                <w:color w:val="auto"/>
              </w:rPr>
            </w:pPr>
          </w:p>
        </w:tc>
        <w:tc>
          <w:tcPr>
            <w:tcW w:w="4240" w:type="dxa"/>
            <w:vAlign w:val="bottom"/>
          </w:tcPr>
          <w:p>
            <w:pPr>
              <w:ind w:left="180"/>
              <w:spacing w:after="0"/>
              <w:rPr>
                <w:sz w:val="20"/>
                <w:szCs w:val="20"/>
                <w:color w:val="auto"/>
              </w:rPr>
            </w:pPr>
            <w:r>
              <w:rPr>
                <w:rFonts w:ascii="Arial" w:cs="Arial" w:eastAsia="Arial" w:hAnsi="Arial"/>
                <w:sz w:val="16"/>
                <w:szCs w:val="16"/>
                <w:color w:val="auto"/>
              </w:rPr>
              <w:t>Document</w:t>
            </w:r>
          </w:p>
        </w:tc>
      </w:tr>
      <w:tr>
        <w:trPr>
          <w:trHeight w:val="183"/>
        </w:trPr>
        <w:tc>
          <w:tcPr>
            <w:tcW w:w="840" w:type="dxa"/>
            <w:vAlign w:val="bottom"/>
          </w:tcPr>
          <w:p>
            <w:pPr>
              <w:spacing w:after="0"/>
              <w:rPr>
                <w:sz w:val="20"/>
                <w:szCs w:val="20"/>
                <w:color w:val="auto"/>
              </w:rPr>
            </w:pPr>
            <w:r>
              <w:rPr>
                <w:rFonts w:ascii="Arial" w:cs="Arial" w:eastAsia="Arial" w:hAnsi="Arial"/>
                <w:sz w:val="16"/>
                <w:szCs w:val="16"/>
                <w:color w:val="auto"/>
              </w:rPr>
              <w:t>101.DEF</w:t>
            </w:r>
          </w:p>
        </w:tc>
        <w:tc>
          <w:tcPr>
            <w:tcW w:w="4240" w:type="dxa"/>
            <w:vAlign w:val="bottom"/>
          </w:tcPr>
          <w:p>
            <w:pPr>
              <w:ind w:left="180"/>
              <w:spacing w:after="0"/>
              <w:rPr>
                <w:sz w:val="20"/>
                <w:szCs w:val="20"/>
                <w:color w:val="auto"/>
              </w:rPr>
            </w:pPr>
            <w:r>
              <w:rPr>
                <w:rFonts w:ascii="Arial" w:cs="Arial" w:eastAsia="Arial" w:hAnsi="Arial"/>
                <w:sz w:val="16"/>
                <w:szCs w:val="16"/>
                <w:color w:val="auto"/>
              </w:rPr>
              <w:t>Inline XBRL Taxonomy Extension Definition Linkbase</w:t>
            </w:r>
          </w:p>
        </w:tc>
      </w:tr>
      <w:tr>
        <w:trPr>
          <w:trHeight w:val="195"/>
        </w:trPr>
        <w:tc>
          <w:tcPr>
            <w:tcW w:w="840" w:type="dxa"/>
            <w:vAlign w:val="bottom"/>
          </w:tcPr>
          <w:p>
            <w:pPr>
              <w:spacing w:after="0"/>
              <w:rPr>
                <w:sz w:val="16"/>
                <w:szCs w:val="16"/>
                <w:color w:val="auto"/>
              </w:rPr>
            </w:pPr>
          </w:p>
        </w:tc>
        <w:tc>
          <w:tcPr>
            <w:tcW w:w="4240" w:type="dxa"/>
            <w:vAlign w:val="bottom"/>
          </w:tcPr>
          <w:p>
            <w:pPr>
              <w:ind w:left="180"/>
              <w:spacing w:after="0"/>
              <w:rPr>
                <w:sz w:val="20"/>
                <w:szCs w:val="20"/>
                <w:color w:val="auto"/>
              </w:rPr>
            </w:pPr>
            <w:r>
              <w:rPr>
                <w:rFonts w:ascii="Arial" w:cs="Arial" w:eastAsia="Arial" w:hAnsi="Arial"/>
                <w:sz w:val="16"/>
                <w:szCs w:val="16"/>
                <w:color w:val="auto"/>
              </w:rPr>
              <w:t>Document</w:t>
            </w: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4240" w:type="dxa"/>
            <w:vAlign w:val="bottom"/>
          </w:tcPr>
          <w:p>
            <w:pPr>
              <w:ind w:left="180"/>
              <w:spacing w:after="0"/>
              <w:rPr>
                <w:sz w:val="20"/>
                <w:szCs w:val="20"/>
                <w:color w:val="auto"/>
              </w:rPr>
            </w:pPr>
            <w:r>
              <w:rPr>
                <w:rFonts w:ascii="Arial" w:cs="Arial" w:eastAsia="Arial" w:hAnsi="Arial"/>
                <w:sz w:val="16"/>
                <w:szCs w:val="16"/>
                <w:color w:val="auto"/>
              </w:rPr>
              <w:t>Inline XBRL Taxonomy Extension Label Linkbase</w:t>
            </w:r>
          </w:p>
        </w:tc>
      </w:tr>
      <w:tr>
        <w:trPr>
          <w:trHeight w:val="195"/>
        </w:trPr>
        <w:tc>
          <w:tcPr>
            <w:tcW w:w="840" w:type="dxa"/>
            <w:vAlign w:val="bottom"/>
          </w:tcPr>
          <w:p>
            <w:pPr>
              <w:spacing w:after="0"/>
              <w:rPr>
                <w:sz w:val="16"/>
                <w:szCs w:val="16"/>
                <w:color w:val="auto"/>
              </w:rPr>
            </w:pPr>
          </w:p>
        </w:tc>
        <w:tc>
          <w:tcPr>
            <w:tcW w:w="4240" w:type="dxa"/>
            <w:vAlign w:val="bottom"/>
          </w:tcPr>
          <w:p>
            <w:pPr>
              <w:ind w:left="180"/>
              <w:spacing w:after="0"/>
              <w:rPr>
                <w:sz w:val="20"/>
                <w:szCs w:val="20"/>
                <w:color w:val="auto"/>
              </w:rPr>
            </w:pPr>
            <w:r>
              <w:rPr>
                <w:rFonts w:ascii="Arial" w:cs="Arial" w:eastAsia="Arial" w:hAnsi="Arial"/>
                <w:sz w:val="16"/>
                <w:szCs w:val="16"/>
                <w:color w:val="auto"/>
              </w:rPr>
              <w:t>Document</w:t>
            </w: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4240" w:type="dxa"/>
            <w:vAlign w:val="bottom"/>
          </w:tcPr>
          <w:p>
            <w:pPr>
              <w:ind w:left="180"/>
              <w:spacing w:after="0"/>
              <w:rPr>
                <w:sz w:val="20"/>
                <w:szCs w:val="20"/>
                <w:color w:val="auto"/>
              </w:rPr>
            </w:pPr>
            <w:r>
              <w:rPr>
                <w:rFonts w:ascii="Arial" w:cs="Arial" w:eastAsia="Arial" w:hAnsi="Arial"/>
                <w:sz w:val="16"/>
                <w:szCs w:val="16"/>
                <w:color w:val="auto"/>
              </w:rPr>
              <w:t>Inline XBRL Taxonomy Extension Presentation Linkbase</w:t>
            </w:r>
          </w:p>
        </w:tc>
      </w:tr>
      <w:tr>
        <w:trPr>
          <w:trHeight w:val="195"/>
        </w:trPr>
        <w:tc>
          <w:tcPr>
            <w:tcW w:w="840" w:type="dxa"/>
            <w:vAlign w:val="bottom"/>
          </w:tcPr>
          <w:p>
            <w:pPr>
              <w:spacing w:after="0"/>
              <w:rPr>
                <w:sz w:val="16"/>
                <w:szCs w:val="16"/>
                <w:color w:val="auto"/>
              </w:rPr>
            </w:pPr>
          </w:p>
        </w:tc>
        <w:tc>
          <w:tcPr>
            <w:tcW w:w="4240" w:type="dxa"/>
            <w:vAlign w:val="bottom"/>
          </w:tcPr>
          <w:p>
            <w:pPr>
              <w:ind w:left="180"/>
              <w:spacing w:after="0"/>
              <w:rPr>
                <w:sz w:val="20"/>
                <w:szCs w:val="20"/>
                <w:color w:val="auto"/>
              </w:rPr>
            </w:pPr>
            <w:r>
              <w:rPr>
                <w:rFonts w:ascii="Arial" w:cs="Arial" w:eastAsia="Arial" w:hAnsi="Arial"/>
                <w:sz w:val="16"/>
                <w:szCs w:val="16"/>
                <w:color w:val="auto"/>
              </w:rPr>
              <w:t>Document</w:t>
            </w:r>
          </w:p>
        </w:tc>
      </w:tr>
    </w:tbl>
    <w:p>
      <w:pPr>
        <w:spacing w:after="0" w:line="21" w:lineRule="exact"/>
        <w:rPr>
          <w:sz w:val="20"/>
          <w:szCs w:val="20"/>
          <w:color w:val="auto"/>
        </w:rPr>
      </w:pPr>
    </w:p>
    <w:p>
      <w:pPr>
        <w:ind w:left="1300" w:right="6120" w:hanging="833"/>
        <w:spacing w:after="0" w:line="23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7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certification attached as Exhibit 32.1 that accompanies this Annual Report on Form 10-K pursuant to 18 U.S.C. Section 1350, as adopted pursuant to Section 906 of the Sarbanes-Oxley Act of 2002, is not deemed “filed” by the Registrant for purposes of Section 18 of the Securities Exchange Act of 1934, as amended.</w:t>
      </w:r>
    </w:p>
    <w:p>
      <w:pPr>
        <w:spacing w:after="0" w:line="149"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7"/>
                <w:szCs w:val="17"/>
                <w:color w:val="auto"/>
              </w:rPr>
            </w:pPr>
          </w:p>
        </w:tc>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7"/>
                <w:szCs w:val="17"/>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39"/>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Luis von Ahn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9"/>
              </w:rPr>
              <w:t>Luis von Ahn</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220" w:type="dxa"/>
            <w:vAlign w:val="bottom"/>
          </w:tcPr>
          <w:p>
            <w:pPr>
              <w:spacing w:after="0"/>
              <w:rPr>
                <w:sz w:val="19"/>
                <w:szCs w:val="19"/>
                <w:color w:val="auto"/>
              </w:rPr>
            </w:pPr>
          </w:p>
        </w:tc>
      </w:tr>
      <w:tr>
        <w:trPr>
          <w:trHeight w:val="236"/>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Matthew Skaruppa</w:t>
            </w:r>
          </w:p>
        </w:tc>
        <w:tc>
          <w:tcPr>
            <w:tcW w:w="34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9"/>
              </w:rPr>
              <w:t>Matthew Skaruppa</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3220" w:type="dxa"/>
            <w:vAlign w:val="bottom"/>
          </w:tcPr>
          <w:p>
            <w:pPr>
              <w:spacing w:after="0"/>
              <w:rPr>
                <w:sz w:val="19"/>
                <w:szCs w:val="19"/>
                <w:color w:val="auto"/>
              </w:rPr>
            </w:pPr>
          </w:p>
        </w:tc>
      </w:tr>
      <w:tr>
        <w:trPr>
          <w:trHeight w:val="344"/>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Amy Bohutinsky</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29"/>
        </w:trPr>
        <w:tc>
          <w:tcPr>
            <w:tcW w:w="2980" w:type="dxa"/>
            <w:vAlign w:val="bottom"/>
          </w:tcPr>
          <w:p>
            <w:pPr>
              <w:jc w:val="center"/>
              <w:spacing w:after="0"/>
              <w:rPr>
                <w:sz w:val="20"/>
                <w:szCs w:val="20"/>
                <w:color w:val="auto"/>
              </w:rPr>
            </w:pPr>
            <w:r>
              <w:rPr>
                <w:rFonts w:ascii="Arial" w:cs="Arial" w:eastAsia="Arial" w:hAnsi="Arial"/>
                <w:sz w:val="18"/>
                <w:szCs w:val="18"/>
                <w:color w:val="auto"/>
              </w:rPr>
              <w:t>Amy Bohutinsky</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493"/>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Sara Clemens</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29"/>
        </w:trPr>
        <w:tc>
          <w:tcPr>
            <w:tcW w:w="2980" w:type="dxa"/>
            <w:vAlign w:val="bottom"/>
          </w:tcPr>
          <w:p>
            <w:pPr>
              <w:jc w:val="center"/>
              <w:spacing w:after="0"/>
              <w:rPr>
                <w:sz w:val="20"/>
                <w:szCs w:val="20"/>
                <w:color w:val="auto"/>
              </w:rPr>
            </w:pPr>
            <w:r>
              <w:rPr>
                <w:rFonts w:ascii="Arial" w:cs="Arial" w:eastAsia="Arial" w:hAnsi="Arial"/>
                <w:sz w:val="18"/>
                <w:szCs w:val="18"/>
                <w:color w:val="auto"/>
                <w:w w:val="99"/>
              </w:rPr>
              <w:t>Sara Clemens</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453"/>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Bing Gordon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rPr>
              <w:t>Bing Gordon</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493"/>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Severin Hacker</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Chief Technology Officer and 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9"/>
              </w:rPr>
              <w:t>Severin Hacker</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506"/>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John Lilly</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8"/>
              </w:rPr>
              <w:t>John Lilly</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493"/>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Gillian Munson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9"/>
              </w:rPr>
              <w:t>Gillian Munson</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506"/>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Jim Shelton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9"/>
              </w:rPr>
              <w:t>Jim Shelton</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506"/>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Laela Sturdy</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rPr>
              <w:t>Laela Sturdy</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5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11"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i w:val="1"/>
          <w:iCs w:val="1"/>
          <w:color w:val="auto"/>
        </w:rPr>
        <w:t>The following is a description of the capital stock of Duolingo, Inc. (the “Company,” “we,” “us,” and “our”) and the material provisions of our amended and restated certificate of incorporation and our amended and restated bylaws, each as amended from time to time,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the full text of our amended and restated certificate of incorporation, amended and restated bylaws, and amended and restated investors’ rights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two classes of authorized common stock: Class A and Class B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authorizes capital stock consisting of:</w:t>
      </w:r>
    </w:p>
    <w:p>
      <w:pPr>
        <w:spacing w:after="0" w:line="121"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18"/>
          <w:szCs w:val="18"/>
          <w:color w:val="auto"/>
        </w:rPr>
        <w:t>2,000,000,000 shares of Class A common stock, $0.0001 par value per share;</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18"/>
          <w:szCs w:val="18"/>
          <w:color w:val="auto"/>
        </w:rPr>
        <w:t>30,000,000 shares of Class B common stock, $0.0001 par value per share; and</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18"/>
          <w:szCs w:val="18"/>
          <w:color w:val="auto"/>
        </w:rPr>
        <w:t>20,000,000 shares of preferred stock, $0.0001 par value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3" w:lineRule="exact"/>
        <w:rPr>
          <w:sz w:val="20"/>
          <w:szCs w:val="20"/>
          <w:color w:val="auto"/>
        </w:rPr>
      </w:pPr>
    </w:p>
    <w:p>
      <w:pPr>
        <w:ind w:right="260"/>
        <w:spacing w:after="0" w:line="213" w:lineRule="auto"/>
        <w:rPr>
          <w:sz w:val="20"/>
          <w:szCs w:val="20"/>
          <w:color w:val="auto"/>
        </w:rPr>
      </w:pPr>
      <w:r>
        <w:rPr>
          <w:rFonts w:ascii="Arial" w:cs="Arial" w:eastAsia="Arial" w:hAnsi="Arial"/>
          <w:sz w:val="18"/>
          <w:szCs w:val="18"/>
          <w:color w:val="auto"/>
        </w:rPr>
        <w:t>Each holder of our Class A common stock is entitled to one (1) vote per share, and each holder of our Class B common stock is entitled to twenty (20) votes per share, on all matters submitted to a vote of the stockholders. The holders of our Class A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21" w:lineRule="exact"/>
        <w:rPr>
          <w:sz w:val="20"/>
          <w:szCs w:val="20"/>
          <w:color w:val="auto"/>
        </w:rPr>
      </w:pPr>
    </w:p>
    <w:p>
      <w:pPr>
        <w:ind w:left="980" w:right="380" w:hanging="324"/>
        <w:spacing w:after="0" w:line="22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21" w:lineRule="exact"/>
        <w:rPr>
          <w:rFonts w:ascii="Arial" w:cs="Arial" w:eastAsia="Arial" w:hAnsi="Arial"/>
          <w:sz w:val="18"/>
          <w:szCs w:val="18"/>
          <w:color w:val="auto"/>
        </w:rPr>
      </w:pPr>
    </w:p>
    <w:p>
      <w:pPr>
        <w:ind w:left="980" w:right="400" w:hanging="324"/>
        <w:spacing w:after="0" w:line="219"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22" w:lineRule="exact"/>
        <w:rPr>
          <w:sz w:val="20"/>
          <w:szCs w:val="20"/>
          <w:color w:val="auto"/>
        </w:rPr>
      </w:pPr>
    </w:p>
    <w:p>
      <w:pPr>
        <w:ind w:right="1680"/>
        <w:spacing w:after="0" w:line="391" w:lineRule="auto"/>
        <w:rPr>
          <w:sz w:val="20"/>
          <w:szCs w:val="20"/>
          <w:color w:val="auto"/>
        </w:rPr>
      </w:pPr>
      <w:r>
        <w:rPr>
          <w:rFonts w:ascii="Arial" w:cs="Arial" w:eastAsia="Arial" w:hAnsi="Arial"/>
          <w:sz w:val="18"/>
          <w:szCs w:val="18"/>
          <w:color w:val="auto"/>
        </w:rPr>
        <w:t xml:space="preserve">Our amended and restated certificate of incorporation does not provide for cumulative voting for the election of directors. </w:t>
      </w:r>
      <w:r>
        <w:rPr>
          <w:rFonts w:ascii="Arial" w:cs="Arial" w:eastAsia="Arial" w:hAnsi="Arial"/>
          <w:sz w:val="18"/>
          <w:szCs w:val="18"/>
          <w:b w:val="1"/>
          <w:bCs w:val="1"/>
          <w:i w:val="1"/>
          <w:iCs w:val="1"/>
          <w:color w:val="auto"/>
        </w:rPr>
        <w:t>Dividend Rights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holders of our Class A and Class B common stock are entitled to receive dividends as may be declared from time to time by our board of directors out of legally available funds.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53"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further described in our amended and restated certificate of incorporation, including estate planning or charitable transfers where exclusive voting control with respect to the shares of Class B common stock is retained by the transferring holder, transfers from one Founder to the other Founder, and transfers to affiliates or certain other related entities of the transferring holder. We refer to Luis von Ahn and Severin Hacker, together, as our Founders and each, a Founder.</w:t>
      </w:r>
    </w:p>
    <w:p>
      <w:pPr>
        <w:spacing w:after="0" w:line="123"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All outstanding shares of our Class B common stock will convert automatically into shares of our Class A common stock at 5:00 p.m. New York City time on a date fixed by our board of directors that is not less than 60 days nor more than 180 days following the date the aggregate number of shares of our Class B common stock then outstanding ceases to represent at least 5% of the aggregate number of all shares of</w:t>
      </w:r>
    </w:p>
    <w:p>
      <w:pPr>
        <w:sectPr>
          <w:pgSz w:w="11900" w:h="16838" w:orient="portrait"/>
          <w:cols w:equalWidth="0" w:num="1">
            <w:col w:w="11240"/>
          </w:cols>
          <w:pgMar w:left="320" w:top="111" w:right="339" w:bottom="1440" w:gutter="0" w:footer="0" w:header="0"/>
        </w:sectPr>
      </w:pPr>
    </w:p>
    <w:bookmarkStart w:id="109" w:name="page110"/>
    <w:bookmarkEnd w:id="109"/>
    <w:p>
      <w:pPr>
        <w:ind w:right="360"/>
        <w:spacing w:after="0" w:line="215" w:lineRule="auto"/>
        <w:rPr>
          <w:sz w:val="20"/>
          <w:szCs w:val="20"/>
          <w:color w:val="auto"/>
        </w:rPr>
      </w:pPr>
      <w:r>
        <w:rPr>
          <w:rFonts w:ascii="Arial" w:cs="Arial" w:eastAsia="Arial" w:hAnsi="Arial"/>
          <w:sz w:val="18"/>
          <w:szCs w:val="18"/>
          <w:color w:val="auto"/>
        </w:rPr>
        <w:t>our common stock then outstanding. In addition, each share of Class B common stock held by our Founders (or any of such Founders’ permitted transferees, other than the other Founder) will automatically convert into one share of Class A common stock at 5:00 p.m. New York City time on a date fixed by our board of directors that is not less than 60 nor more than 180 days following the death or disability of such Founder.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Once converted into Class A common stock, the Class B common stock may not be reissued.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53"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In the event of our liquidation, dissolution, or winding up of the Company, holders of our Class A and Class B common stock will be entitled to share ratably in the net assets legally available for distribution to stockholders after the payment of all of our debts and other liabilities of the Corporation of whatever kind available for distribution to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5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Holders of our Class A and Class B common stock have no preemptive, conversion (except as noted above), or subscription rights, and there are no redemption or sinking fund provisions applicable to our Class A common stock or Class B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and Class B common stock are fully paid and non-assessable.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53"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our preferred stock are issued and outstanding and we have no present plan to issue any shares of preferred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53" w:lineRule="exact"/>
        <w:rPr>
          <w:sz w:val="20"/>
          <w:szCs w:val="20"/>
          <w:color w:val="auto"/>
        </w:rPr>
      </w:pPr>
    </w:p>
    <w:p>
      <w:pPr>
        <w:ind w:right="40"/>
        <w:spacing w:after="0" w:line="207" w:lineRule="auto"/>
        <w:rPr>
          <w:sz w:val="20"/>
          <w:szCs w:val="20"/>
          <w:color w:val="auto"/>
        </w:rPr>
      </w:pPr>
      <w:r>
        <w:rPr>
          <w:rFonts w:ascii="Arial" w:cs="Arial" w:eastAsia="Arial" w:hAnsi="Arial"/>
          <w:sz w:val="18"/>
          <w:szCs w:val="18"/>
          <w:color w:val="auto"/>
        </w:rPr>
        <w:t>We and certain holders of our Class A common stock and convertible preferred stock are parties to the investors’ rights agreement, pursuant to which certain holders of our Class B common stock and Class A common stock are entitled to rights with respect to the registration of their shares under the Securities Act of 1933, as amended (the “Securities Act”). The registration rights set forth in the investors’ rights agreement terminate upon the earlier to occur of (1) three years following the completion of our initial public offering, and (2) with respect to any particular stockholder, such earlier time after the completion of our initial public offering, at which (x) such stockholder can sell all of its Registrable Securities, as defined in the investors’ rights agreement, in compliance with Rule 144(b)(1), or (y) such stockholder holds 1% or less of our outstanding common stock and such stockholder is able to sell all of its Registrable Securities, without restriction pursuant to Rule 144 under the Securities Act during any three-month period. We will pay the registration expenses (other than any underwriting discounts and selling commissions) of the holders of the shares registered for sale pursuant to the registrations described below, including the reasonable fees of one counsel for the selling holders not to exceed $25,000. However, we will not be required to bear the expenses in connection with the exercise of the demand registration rights of a registration if the request is subsequently withdrawn at the request of the selling stockholders holding a majority of securities to be registered, subject to specified exceptions. In an underwritten public offering, the underwriters have the right, subject to specified conditions, to limit the number of shares such holders may include.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53"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Certain holders of our Class B common stock are entitled to certain demand registration rights. At any time beginning six months after the completion of our initial public offering, the holders of at least 55% of these shares then outstanding can request that we register the offer and sale of their shares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110" w:name="page111"/>
    <w:bookmarkEnd w:id="110"/>
    <w:p>
      <w:pPr>
        <w:ind w:right="100"/>
        <w:spacing w:after="0" w:line="211" w:lineRule="auto"/>
        <w:rPr>
          <w:sz w:val="20"/>
          <w:szCs w:val="20"/>
          <w:color w:val="auto"/>
        </w:rPr>
      </w:pPr>
      <w:r>
        <w:rPr>
          <w:rFonts w:ascii="Arial" w:cs="Arial" w:eastAsia="Arial" w:hAnsi="Arial"/>
          <w:sz w:val="18"/>
          <w:szCs w:val="18"/>
          <w:color w:val="auto"/>
        </w:rPr>
        <w:t>registration statement on Form S-1 if we are eligible to file a registration statement on Form S-1 so long as the request covers at least that number of shares with an anticipated offering price, net of underwriting discounts and commissions, of at least $15.0 million. We are obligated to effect only two such registrations. If we determine that it would materially impede, delay or interfere with any material pending or proposed transaction or require disclosure of material non-public information that that, if disclosed, would be materially harmful to the company and its stockholders, we have the right to defer such registration, not more than once in any 12-month period, for a period of up to 90 days.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53"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Certain holders of our Class B common stock are entitled to certain Form S-3 registration rights. The holders of Registrable Securities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commissions) of at least $5.0 million. These stockholders may make an unlimited number of requests for registration on Form S-3; however, we will not be required to effect a registration on Form S-3 if we have effected two such registrations within the 12-month period preceding the date of the request. In addition, if we determine that it would be materially detrimental to us and our stockholders to effect such a registration, we have the right to defer such registration, not more than once in any 12 -month period, for a period of up to 90 days. Lastly, we will not be required to effect a demand registration on Form S-3 if we give notice to such stockholders of our bona fide intention to file a registration statement within 120 days of receipt of a request for registration by such stockholders.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53"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If we propose to register the offer and sale of our common stock under the Securities Act, in connection with the public offering of such common stock, certain holders our Class B common stock will be entitled to certain “piggyback” registration rights allowing the holders to include their shares in such registration, subject to certain marketing and other limitations, which, in the case of an underwritten offering, will be in the sole discretion of the underwriters. As a result, whenever we propose to file a registration statement under the Securities Act, other than with respect to (1) a demand registration described above, (2) a registration related solely to a company stock plan, (3) a registration relating to a corporate reorganization or transaction under Rule 145 of the Securities Act, (4) a registration on any form that does not include substantially the same information as would be required to be included in a registration statement covering the public offering of our common stock, or (5)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53" w:lineRule="exact"/>
        <w:rPr>
          <w:sz w:val="20"/>
          <w:szCs w:val="20"/>
          <w:color w:val="auto"/>
        </w:rPr>
      </w:pPr>
    </w:p>
    <w:p>
      <w:pPr>
        <w:ind w:right="340"/>
        <w:spacing w:after="0" w:line="211"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53"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53"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make the following actions and transactions, among others, more difficult: acquisition of us by means of a tender offer; acquisition of us by means of a proxy contest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111" w:name="page112"/>
    <w:bookmarkEnd w:id="111"/>
    <w:p>
      <w:pPr>
        <w:ind w:right="220"/>
        <w:spacing w:after="0" w:line="219" w:lineRule="auto"/>
        <w:rPr>
          <w:sz w:val="20"/>
          <w:szCs w:val="20"/>
          <w:color w:val="auto"/>
        </w:rPr>
      </w:pPr>
      <w:r>
        <w:rPr>
          <w:rFonts w:ascii="Arial" w:cs="Arial" w:eastAsia="Arial" w:hAnsi="Arial"/>
          <w:sz w:val="18"/>
          <w:szCs w:val="18"/>
          <w:color w:val="auto"/>
        </w:rPr>
        <w:t>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22" w:lineRule="exact"/>
        <w:rPr>
          <w:sz w:val="20"/>
          <w:szCs w:val="20"/>
          <w:color w:val="auto"/>
        </w:rPr>
      </w:pPr>
    </w:p>
    <w:p>
      <w:pPr>
        <w:ind w:right="60"/>
        <w:spacing w:after="0" w:line="213"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53"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Our amended and restated certificate of incorporation provides for a dual class common stock structure, which provides our Founders and certain other investors with significant influence over all matters requiring stockholder approval, including the election of directors and significant corporate transactions, such as a merger or other sale of our company or its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53" w:lineRule="exact"/>
        <w:rPr>
          <w:sz w:val="20"/>
          <w:szCs w:val="20"/>
          <w:color w:val="auto"/>
        </w:rPr>
      </w:pPr>
    </w:p>
    <w:p>
      <w:pPr>
        <w:jc w:val="both"/>
        <w:ind w:right="120"/>
        <w:spacing w:after="0" w:line="219" w:lineRule="auto"/>
        <w:rPr>
          <w:sz w:val="20"/>
          <w:szCs w:val="20"/>
          <w:color w:val="auto"/>
        </w:rPr>
      </w:pPr>
      <w:r>
        <w:rPr>
          <w:rFonts w:ascii="Arial" w:cs="Arial" w:eastAsia="Arial" w:hAnsi="Arial"/>
          <w:sz w:val="18"/>
          <w:szCs w:val="18"/>
          <w:color w:val="auto"/>
        </w:rPr>
        <w:t>The ability to authorize undesignated preferred stock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3"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Our amended and restated bylaws provide that a special meeting of stockholders may only be called by an officer of our company pursuant to a resolution adopted by a majority of our board of directors then in office or the chairperson of our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53"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Our amended and restated certificate of incorporation provides that from and after the date holders of our Class B common stock represent less than 50% of the voting power of the outstanding shares of our capital stock, no action may be taken by our stockholders by written consent.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Proposals and Nominations</w:t>
      </w:r>
    </w:p>
    <w:p>
      <w:pPr>
        <w:spacing w:after="0" w:line="153"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53"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Our board of directors is divided into three classes, divided as nearly as equal in number as possible.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the then outstanding capital stock will be able to elect all of our directors. Our amended and certificate of incorporation provide for the removal of any of our directors only for cause and require a stockholder vote by the holders of a majority of the voting power of the then outstanding capital stock. For more information on the classified board, see the section titled “Management-Classified Board of Directors.”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112" w:name="page113"/>
    <w:bookmarkEnd w:id="112"/>
    <w:p>
      <w:pPr>
        <w:ind w:right="20"/>
        <w:spacing w:after="0" w:line="20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of 1934, as amended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shall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27" w:lineRule="exact"/>
        <w:rPr>
          <w:sz w:val="20"/>
          <w:szCs w:val="20"/>
          <w:color w:val="auto"/>
        </w:rPr>
      </w:pPr>
    </w:p>
    <w:p>
      <w:pPr>
        <w:ind w:right="240"/>
        <w:spacing w:after="0" w:line="209"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24"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53" w:lineRule="exact"/>
        <w:rPr>
          <w:sz w:val="20"/>
          <w:szCs w:val="20"/>
          <w:color w:val="auto"/>
        </w:rPr>
      </w:pPr>
    </w:p>
    <w:p>
      <w:pPr>
        <w:ind w:right="200"/>
        <w:spacing w:after="0" w:line="213" w:lineRule="auto"/>
        <w:rPr>
          <w:sz w:val="20"/>
          <w:szCs w:val="20"/>
          <w:color w:val="auto"/>
        </w:rPr>
      </w:pPr>
      <w:r>
        <w:rPr>
          <w:rFonts w:ascii="Arial" w:cs="Arial" w:eastAsia="Arial" w:hAnsi="Arial"/>
          <w:sz w:val="18"/>
          <w:szCs w:val="18"/>
          <w:color w:val="auto"/>
        </w:rPr>
        <w:t>Any amendment of the above provisions in our amended and restated certificate of incorporation would require approval by holders of at least 66 2/3% of the voting power of all of the then outstanding capital stock entitled to vote generally in the election of directors, voting together as a single class. In addition, the affirmative vote of holders of at least 80% of the shares of Class B common stock outstanding at the time of such vote, voting as a separate series, is required to amend or repeal, or adopt any provision of our amended and restated certificate of incorporation relating to the rights and preferences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53"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Our amended and restated certificate of incorporation and our amended and restated bylaws, among other things, limit our directors’ liability, and provide that we may indemnify our directors and officers to the fullest extent permitted under the Delaware General Corporation Law. As authorized by the Delaware General Corporation Law, our amended and restated certificate of incorporation provides that to the fullest extent permitted by Delaware law, our directors will not be personally liable to us or our stockholders for monetary damages for breach of fiduciary duty as directors, except for liability for any:</w:t>
      </w:r>
    </w:p>
    <w:p>
      <w:pPr>
        <w:spacing w:after="0" w:line="9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ind w:left="660" w:hanging="328"/>
        <w:spacing w:after="0" w:line="20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ind w:left="660" w:hanging="328"/>
        <w:spacing w:after="0" w:line="20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unlawful payment of dividends or unlawful redemption or repurchase of shares in violation of Delaware law; or</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1" w:right="359" w:bottom="1440" w:gutter="0" w:footer="0" w:header="0"/>
        </w:sectPr>
      </w:pPr>
    </w:p>
    <w:bookmarkStart w:id="113" w:name="page114"/>
    <w:bookmarkEnd w:id="113"/>
    <w:p>
      <w:pPr>
        <w:ind w:right="680"/>
        <w:spacing w:after="0" w:line="22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21" w:lineRule="exact"/>
        <w:rPr>
          <w:sz w:val="20"/>
          <w:szCs w:val="20"/>
          <w:color w:val="auto"/>
        </w:rPr>
      </w:pPr>
    </w:p>
    <w:p>
      <w:pPr>
        <w:jc w:val="both"/>
        <w:ind w:right="280"/>
        <w:spacing w:after="0" w:line="215" w:lineRule="auto"/>
        <w:rPr>
          <w:sz w:val="20"/>
          <w:szCs w:val="20"/>
          <w:color w:val="auto"/>
        </w:rPr>
      </w:pPr>
      <w:r>
        <w:rPr>
          <w:rFonts w:ascii="Arial" w:cs="Arial" w:eastAsia="Arial" w:hAnsi="Arial"/>
          <w:sz w:val="18"/>
          <w:szCs w:val="18"/>
          <w:color w:val="auto"/>
        </w:rPr>
        <w:t>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2"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2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In addition, we have entered, and intend to continue to enter, into separate indemnification agreements with our directors and officers. Subject to certain exceptions, these indemnification agreements, among other things, require us to indemnify such directors and officers to the fullest extent permitted by Delaware law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also require us to advance certain expenses (including attorneys’ fees and disbursements) actually and reasonably paid or incurred by such director and officer in advance of the final disposition of the action, suit or proceeding.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Class A and Class B common stock is American Stock Transfer &amp; Trust Company, LLC.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“DUOL.”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auto"/>
        </w:rPr>
        <w:t>LEASE</w:t>
      </w:r>
    </w:p>
    <w:p>
      <w:pPr>
        <w:spacing w:after="0" w:line="222"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AND BETWEEN</w:t>
      </w: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Arial" w:cs="Arial" w:eastAsia="Arial" w:hAnsi="Arial"/>
          <w:sz w:val="24"/>
          <w:szCs w:val="24"/>
          <w:b w:val="1"/>
          <w:bCs w:val="1"/>
          <w:color w:val="auto"/>
        </w:rPr>
        <w:t>5704 PENN OFFICE, LLC</w:t>
      </w:r>
    </w:p>
    <w:p>
      <w:pPr>
        <w:spacing w:after="0" w:line="135" w:lineRule="exact"/>
        <w:rPr>
          <w:sz w:val="20"/>
          <w:szCs w:val="20"/>
          <w:color w:val="auto"/>
        </w:rPr>
      </w:pPr>
    </w:p>
    <w:p>
      <w:pPr>
        <w:jc w:val="center"/>
        <w:ind w:right="-1000"/>
        <w:spacing w:after="0"/>
        <w:rPr>
          <w:sz w:val="20"/>
          <w:szCs w:val="20"/>
          <w:color w:val="auto"/>
        </w:rPr>
      </w:pPr>
      <w:r>
        <w:rPr>
          <w:rFonts w:ascii="Arial" w:cs="Arial" w:eastAsia="Arial" w:hAnsi="Arial"/>
          <w:sz w:val="20"/>
          <w:szCs w:val="20"/>
          <w:color w:val="auto"/>
        </w:rPr>
        <w:t>“LANDLORD” AND</w:t>
      </w:r>
    </w:p>
    <w:p>
      <w:pPr>
        <w:spacing w:after="0" w:line="101" w:lineRule="exact"/>
        <w:rPr>
          <w:sz w:val="20"/>
          <w:szCs w:val="20"/>
          <w:color w:val="auto"/>
        </w:rPr>
      </w:pPr>
    </w:p>
    <w:p>
      <w:pPr>
        <w:jc w:val="center"/>
        <w:ind w:right="-1000"/>
        <w:spacing w:after="0"/>
        <w:rPr>
          <w:sz w:val="20"/>
          <w:szCs w:val="20"/>
          <w:color w:val="auto"/>
        </w:rPr>
      </w:pPr>
      <w:r>
        <w:rPr>
          <w:rFonts w:ascii="Arial" w:cs="Arial" w:eastAsia="Arial" w:hAnsi="Arial"/>
          <w:sz w:val="25"/>
          <w:szCs w:val="25"/>
          <w:b w:val="1"/>
          <w:bCs w:val="1"/>
          <w:color w:val="auto"/>
        </w:rPr>
        <w:t>DUOLINGO, INC.</w:t>
      </w:r>
    </w:p>
    <w:p>
      <w:pPr>
        <w:spacing w:after="0" w:line="12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“TENANT” OF</w:t>
      </w:r>
    </w:p>
    <w:p>
      <w:pPr>
        <w:spacing w:after="0" w:line="37"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141 S. St. Clair Street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Floor</w:t>
      </w:r>
    </w:p>
    <w:p>
      <w:pPr>
        <w:jc w:val="center"/>
        <w:ind w:right="-1000"/>
        <w:spacing w:after="0"/>
        <w:rPr>
          <w:sz w:val="20"/>
          <w:szCs w:val="20"/>
          <w:color w:val="auto"/>
        </w:rPr>
      </w:pPr>
      <w:r>
        <w:rPr>
          <w:rFonts w:ascii="Arial" w:cs="Arial" w:eastAsia="Arial" w:hAnsi="Arial"/>
          <w:sz w:val="20"/>
          <w:szCs w:val="20"/>
          <w:color w:val="auto"/>
        </w:rPr>
        <w:t>Pittsburgh, PA 15206</w:t>
      </w:r>
    </w:p>
    <w:p>
      <w:pPr>
        <w:spacing w:after="0" w:line="20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Dated: November 16, 2021</w:t>
      </w: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310908807.17</w:t>
      </w:r>
    </w:p>
    <w:p>
      <w:pPr>
        <w:sectPr>
          <w:pgSz w:w="11900" w:h="16838" w:orient="portrait"/>
          <w:cols w:equalWidth="0" w:num="1">
            <w:col w:w="10039"/>
          </w:cols>
          <w:pgMar w:left="420" w:top="1440" w:right="1440" w:bottom="1440" w:gutter="0" w:footer="0" w:header="0"/>
          <w:type w:val="continuous"/>
        </w:sectPr>
      </w:pPr>
    </w:p>
    <w:bookmarkStart w:id="115" w:name="page116"/>
    <w:bookmarkEnd w:id="115"/>
    <w:p>
      <w:pPr>
        <w:jc w:val="center"/>
        <w:ind w:right="-20"/>
        <w:spacing w:after="0"/>
        <w:rPr>
          <w:sz w:val="20"/>
          <w:szCs w:val="20"/>
          <w:color w:val="auto"/>
        </w:rPr>
      </w:pPr>
      <w:r>
        <w:rPr>
          <w:rFonts w:ascii="Arial" w:cs="Arial" w:eastAsia="Arial" w:hAnsi="Arial"/>
          <w:sz w:val="18"/>
          <w:szCs w:val="18"/>
          <w:color w:val="auto"/>
        </w:rPr>
        <w:t>DUOLINGO, INC. – LIBERTY EAST – 141 S. ST. CLAIR STREET LEASE INDEX</w:t>
      </w:r>
    </w:p>
    <w:p>
      <w:pPr>
        <w:spacing w:after="0" w:line="1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u w:val="single" w:color="auto"/>
          <w:color w:val="auto"/>
        </w:rPr>
        <w:t>Paragraph</w:t>
        <w:tab/>
        <w:t>Page</w:t>
      </w:r>
    </w:p>
    <w:p>
      <w:pPr>
        <w:spacing w:after="0" w:line="294" w:lineRule="exact"/>
        <w:rPr>
          <w:sz w:val="20"/>
          <w:szCs w:val="20"/>
          <w:color w:val="auto"/>
        </w:rPr>
      </w:pPr>
    </w:p>
    <w:p>
      <w:pPr>
        <w:spacing w:after="0"/>
        <w:tabs>
          <w:tab w:leader="none" w:pos="2840" w:val="left"/>
        </w:tabs>
        <w:rPr>
          <w:sz w:val="20"/>
          <w:szCs w:val="20"/>
          <w:color w:val="auto"/>
        </w:rPr>
      </w:pPr>
      <w:r>
        <w:rPr>
          <w:rFonts w:ascii="Arial" w:cs="Arial" w:eastAsia="Arial" w:hAnsi="Arial"/>
          <w:sz w:val="20"/>
          <w:szCs w:val="20"/>
          <w:color w:val="auto"/>
        </w:rPr>
        <w:t>1. BASIC LEASE PROVISIONS</w:t>
      </w:r>
      <w:r>
        <w:rPr>
          <w:sz w:val="20"/>
          <w:szCs w:val="20"/>
          <w:color w:val="auto"/>
        </w:rPr>
        <w:tab/>
      </w:r>
      <w:r>
        <w:rPr>
          <w:rFonts w:ascii="Arial" w:cs="Arial" w:eastAsia="Arial" w:hAnsi="Arial"/>
          <w:sz w:val="14"/>
          <w:szCs w:val="14"/>
          <w:color w:val="auto"/>
        </w:rPr>
        <w:t>1</w:t>
      </w:r>
    </w:p>
    <w:p>
      <w:pPr>
        <w:spacing w:after="0" w:line="67" w:lineRule="exact"/>
        <w:rPr>
          <w:sz w:val="20"/>
          <w:szCs w:val="20"/>
          <w:color w:val="auto"/>
        </w:rPr>
      </w:pPr>
    </w:p>
    <w:p>
      <w:pPr>
        <w:ind w:left="200" w:hanging="199"/>
        <w:spacing w:after="0"/>
        <w:tabs>
          <w:tab w:leader="none" w:pos="2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LEASING AGREEMENT  4</w:t>
      </w:r>
    </w:p>
    <w:p>
      <w:pPr>
        <w:spacing w:after="0" w:line="80" w:lineRule="exact"/>
        <w:rPr>
          <w:rFonts w:ascii="Arial" w:cs="Arial" w:eastAsia="Arial" w:hAnsi="Arial"/>
          <w:sz w:val="20"/>
          <w:szCs w:val="20"/>
          <w:color w:val="auto"/>
        </w:rPr>
      </w:pPr>
    </w:p>
    <w:p>
      <w:pPr>
        <w:ind w:left="200" w:hanging="199"/>
        <w:spacing w:after="0"/>
        <w:tabs>
          <w:tab w:leader="none" w:pos="2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RENT  4</w:t>
      </w:r>
    </w:p>
    <w:p>
      <w:pPr>
        <w:spacing w:after="0" w:line="67"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color w:val="auto"/>
        </w:rPr>
        <w:t>4. UTILITIES &amp; SERVICES</w:t>
      </w:r>
      <w:r>
        <w:rPr>
          <w:sz w:val="20"/>
          <w:szCs w:val="20"/>
          <w:color w:val="auto"/>
        </w:rPr>
        <w:tab/>
      </w:r>
      <w:r>
        <w:rPr>
          <w:rFonts w:ascii="Arial" w:cs="Arial" w:eastAsia="Arial" w:hAnsi="Arial"/>
          <w:sz w:val="16"/>
          <w:szCs w:val="16"/>
          <w:color w:val="auto"/>
        </w:rPr>
        <w:t>6</w:t>
      </w:r>
    </w:p>
    <w:p>
      <w:pPr>
        <w:spacing w:after="0" w:line="67" w:lineRule="exact"/>
        <w:rPr>
          <w:sz w:val="20"/>
          <w:szCs w:val="20"/>
          <w:color w:val="auto"/>
        </w:rPr>
      </w:pPr>
    </w:p>
    <w:p>
      <w:pPr>
        <w:spacing w:after="0"/>
        <w:tabs>
          <w:tab w:leader="none" w:pos="2940" w:val="left"/>
        </w:tabs>
        <w:rPr>
          <w:sz w:val="20"/>
          <w:szCs w:val="20"/>
          <w:color w:val="auto"/>
        </w:rPr>
      </w:pPr>
      <w:r>
        <w:rPr>
          <w:rFonts w:ascii="Arial" w:cs="Arial" w:eastAsia="Arial" w:hAnsi="Arial"/>
          <w:sz w:val="20"/>
          <w:szCs w:val="20"/>
          <w:color w:val="auto"/>
        </w:rPr>
        <w:t>5. MORTGAGE BY LANDLORD</w:t>
      </w:r>
      <w:r>
        <w:rPr>
          <w:sz w:val="20"/>
          <w:szCs w:val="20"/>
          <w:color w:val="auto"/>
        </w:rPr>
        <w:tab/>
      </w:r>
      <w:r>
        <w:rPr>
          <w:rFonts w:ascii="Arial" w:cs="Arial" w:eastAsia="Arial" w:hAnsi="Arial"/>
          <w:sz w:val="16"/>
          <w:szCs w:val="16"/>
          <w:color w:val="auto"/>
        </w:rPr>
        <w:t>8</w:t>
      </w:r>
    </w:p>
    <w:p>
      <w:pPr>
        <w:spacing w:after="0" w:line="81" w:lineRule="exact"/>
        <w:rPr>
          <w:sz w:val="20"/>
          <w:szCs w:val="20"/>
          <w:color w:val="auto"/>
        </w:rPr>
      </w:pPr>
    </w:p>
    <w:p>
      <w:pPr>
        <w:spacing w:after="0"/>
        <w:tabs>
          <w:tab w:leader="none" w:pos="4460" w:val="left"/>
        </w:tabs>
        <w:rPr>
          <w:sz w:val="20"/>
          <w:szCs w:val="20"/>
          <w:color w:val="auto"/>
        </w:rPr>
      </w:pPr>
      <w:r>
        <w:rPr>
          <w:rFonts w:ascii="Arial" w:cs="Arial" w:eastAsia="Arial" w:hAnsi="Arial"/>
          <w:sz w:val="20"/>
          <w:szCs w:val="20"/>
          <w:color w:val="auto"/>
        </w:rPr>
        <w:t>6. CERTAIN RIGHTS RESERVED TO LANDLORD</w:t>
      </w:r>
      <w:r>
        <w:rPr>
          <w:sz w:val="20"/>
          <w:szCs w:val="20"/>
          <w:color w:val="auto"/>
        </w:rPr>
        <w:tab/>
      </w:r>
      <w:r>
        <w:rPr>
          <w:rFonts w:ascii="Arial" w:cs="Arial" w:eastAsia="Arial" w:hAnsi="Arial"/>
          <w:sz w:val="16"/>
          <w:szCs w:val="16"/>
          <w:color w:val="auto"/>
        </w:rPr>
        <w:t>8</w:t>
      </w:r>
    </w:p>
    <w:p>
      <w:pPr>
        <w:spacing w:after="0" w:line="67" w:lineRule="exact"/>
        <w:rPr>
          <w:sz w:val="20"/>
          <w:szCs w:val="20"/>
          <w:color w:val="auto"/>
        </w:rPr>
      </w:pPr>
    </w:p>
    <w:p>
      <w:pPr>
        <w:spacing w:after="0"/>
        <w:tabs>
          <w:tab w:leader="none" w:pos="3780" w:val="left"/>
        </w:tabs>
        <w:rPr>
          <w:sz w:val="20"/>
          <w:szCs w:val="20"/>
          <w:color w:val="auto"/>
        </w:rPr>
      </w:pPr>
      <w:r>
        <w:rPr>
          <w:rFonts w:ascii="Arial" w:cs="Arial" w:eastAsia="Arial" w:hAnsi="Arial"/>
          <w:sz w:val="20"/>
          <w:szCs w:val="20"/>
          <w:color w:val="auto"/>
        </w:rPr>
        <w:t>7. INSURANCE AND INDEMNIFICATION</w:t>
      </w:r>
      <w:r>
        <w:rPr>
          <w:sz w:val="20"/>
          <w:szCs w:val="20"/>
          <w:color w:val="auto"/>
        </w:rPr>
        <w:tab/>
      </w:r>
      <w:r>
        <w:rPr>
          <w:rFonts w:ascii="Arial" w:cs="Arial" w:eastAsia="Arial" w:hAnsi="Arial"/>
          <w:sz w:val="16"/>
          <w:szCs w:val="16"/>
          <w:color w:val="auto"/>
        </w:rPr>
        <w:t>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40" w:type="dxa"/>
            <w:vAlign w:val="bottom"/>
          </w:tcPr>
          <w:p>
            <w:pPr>
              <w:spacing w:after="0"/>
              <w:rPr>
                <w:sz w:val="20"/>
                <w:szCs w:val="20"/>
                <w:color w:val="auto"/>
              </w:rPr>
            </w:pPr>
            <w:r>
              <w:rPr>
                <w:rFonts w:ascii="Arial" w:cs="Arial" w:eastAsia="Arial" w:hAnsi="Arial"/>
                <w:sz w:val="20"/>
                <w:szCs w:val="20"/>
                <w:color w:val="auto"/>
              </w:rPr>
              <w:t>8. CASUALTY  12</w:t>
            </w:r>
          </w:p>
        </w:tc>
        <w:tc>
          <w:tcPr>
            <w:tcW w:w="360" w:type="dxa"/>
            <w:vAlign w:val="bottom"/>
          </w:tcPr>
          <w:p>
            <w:pPr>
              <w:spacing w:after="0"/>
              <w:rPr>
                <w:sz w:val="21"/>
                <w:szCs w:val="2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20"/>
                <w:szCs w:val="20"/>
                <w:color w:val="auto"/>
                <w:w w:val="96"/>
              </w:rPr>
              <w:t>9. SURRENDER OF PREMISES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w w:val="89"/>
              </w:rPr>
              <w:t>13</w:t>
            </w:r>
          </w:p>
        </w:tc>
      </w:tr>
      <w:tr>
        <w:trPr>
          <w:trHeight w:val="297"/>
        </w:trPr>
        <w:tc>
          <w:tcPr>
            <w:tcW w:w="2840" w:type="dxa"/>
            <w:vAlign w:val="bottom"/>
          </w:tcPr>
          <w:p>
            <w:pPr>
              <w:spacing w:after="0"/>
              <w:rPr>
                <w:sz w:val="20"/>
                <w:szCs w:val="20"/>
                <w:color w:val="auto"/>
              </w:rPr>
            </w:pPr>
            <w:r>
              <w:rPr>
                <w:rFonts w:ascii="Arial" w:cs="Arial" w:eastAsia="Arial" w:hAnsi="Arial"/>
                <w:sz w:val="20"/>
                <w:szCs w:val="20"/>
                <w:color w:val="auto"/>
              </w:rPr>
              <w:t>10. ALTERATIONS  13</w:t>
            </w:r>
          </w:p>
        </w:tc>
        <w:tc>
          <w:tcPr>
            <w:tcW w:w="360" w:type="dxa"/>
            <w:vAlign w:val="bottom"/>
          </w:tcPr>
          <w:p>
            <w:pPr>
              <w:spacing w:after="0"/>
              <w:rPr>
                <w:sz w:val="24"/>
                <w:szCs w:val="24"/>
                <w:color w:val="auto"/>
              </w:rPr>
            </w:pPr>
          </w:p>
        </w:tc>
      </w:tr>
      <w:tr>
        <w:trPr>
          <w:trHeight w:val="311"/>
        </w:trPr>
        <w:tc>
          <w:tcPr>
            <w:tcW w:w="2840" w:type="dxa"/>
            <w:vAlign w:val="bottom"/>
          </w:tcPr>
          <w:p>
            <w:pPr>
              <w:spacing w:after="0"/>
              <w:rPr>
                <w:sz w:val="20"/>
                <w:szCs w:val="20"/>
                <w:color w:val="auto"/>
              </w:rPr>
            </w:pPr>
            <w:r>
              <w:rPr>
                <w:rFonts w:ascii="Arial" w:cs="Arial" w:eastAsia="Arial" w:hAnsi="Arial"/>
                <w:sz w:val="20"/>
                <w:szCs w:val="20"/>
                <w:color w:val="auto"/>
                <w:w w:val="96"/>
              </w:rPr>
              <w:t>11. REPAIRS &amp; MAINTENANCE</w:t>
            </w:r>
          </w:p>
        </w:tc>
        <w:tc>
          <w:tcPr>
            <w:tcW w:w="3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2840" w:type="dxa"/>
            <w:vAlign w:val="bottom"/>
          </w:tcPr>
          <w:p>
            <w:pPr>
              <w:spacing w:after="0"/>
              <w:rPr>
                <w:sz w:val="20"/>
                <w:szCs w:val="20"/>
                <w:color w:val="auto"/>
              </w:rPr>
            </w:pPr>
            <w:r>
              <w:rPr>
                <w:rFonts w:ascii="Arial" w:cs="Arial" w:eastAsia="Arial" w:hAnsi="Arial"/>
                <w:sz w:val="20"/>
                <w:szCs w:val="20"/>
                <w:color w:val="auto"/>
                <w:w w:val="95"/>
              </w:rPr>
              <w:t>12. RULES AND REGULATIONS</w:t>
            </w:r>
          </w:p>
        </w:tc>
        <w:tc>
          <w:tcPr>
            <w:tcW w:w="360" w:type="dxa"/>
            <w:vAlign w:val="bottom"/>
          </w:tcPr>
          <w:p>
            <w:pPr>
              <w:jc w:val="right"/>
              <w:spacing w:after="0"/>
              <w:rPr>
                <w:sz w:val="20"/>
                <w:szCs w:val="20"/>
                <w:color w:val="auto"/>
              </w:rPr>
            </w:pPr>
            <w:r>
              <w:rPr>
                <w:rFonts w:ascii="Arial" w:cs="Arial" w:eastAsia="Arial" w:hAnsi="Arial"/>
                <w:sz w:val="20"/>
                <w:szCs w:val="20"/>
                <w:color w:val="auto"/>
              </w:rPr>
              <w:t>16</w:t>
            </w:r>
          </w:p>
        </w:tc>
      </w:tr>
    </w:tbl>
    <w:p>
      <w:pPr>
        <w:spacing w:after="0" w:line="60" w:lineRule="exact"/>
        <w:rPr>
          <w:sz w:val="20"/>
          <w:szCs w:val="20"/>
          <w:color w:val="auto"/>
        </w:rPr>
      </w:pPr>
    </w:p>
    <w:p>
      <w:pPr>
        <w:spacing w:after="0"/>
        <w:tabs>
          <w:tab w:leader="none" w:pos="3480" w:val="left"/>
        </w:tabs>
        <w:rPr>
          <w:sz w:val="20"/>
          <w:szCs w:val="20"/>
          <w:color w:val="auto"/>
        </w:rPr>
      </w:pPr>
      <w:r>
        <w:rPr>
          <w:rFonts w:ascii="Arial" w:cs="Arial" w:eastAsia="Arial" w:hAnsi="Arial"/>
          <w:sz w:val="20"/>
          <w:szCs w:val="20"/>
          <w:color w:val="auto"/>
        </w:rPr>
        <w:t>13. ASSIGNMENT AND SUBLETTING</w:t>
      </w:r>
      <w:r>
        <w:rPr>
          <w:sz w:val="20"/>
          <w:szCs w:val="20"/>
          <w:color w:val="auto"/>
        </w:rPr>
        <w:tab/>
      </w:r>
      <w:r>
        <w:rPr>
          <w:rFonts w:ascii="Arial" w:cs="Arial" w:eastAsia="Arial" w:hAnsi="Arial"/>
          <w:sz w:val="16"/>
          <w:szCs w:val="16"/>
          <w:color w:val="auto"/>
        </w:rPr>
        <w:t>16</w:t>
      </w:r>
    </w:p>
    <w:p>
      <w:pPr>
        <w:spacing w:after="0" w:line="67" w:lineRule="exact"/>
        <w:rPr>
          <w:sz w:val="20"/>
          <w:szCs w:val="20"/>
          <w:color w:val="auto"/>
        </w:rPr>
      </w:pPr>
    </w:p>
    <w:p>
      <w:pPr>
        <w:ind w:left="280" w:hanging="279"/>
        <w:spacing w:after="0"/>
        <w:tabs>
          <w:tab w:leader="none" w:pos="2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HOLDING OVER  18</w:t>
      </w:r>
    </w:p>
    <w:p>
      <w:pPr>
        <w:spacing w:after="0" w:line="80" w:lineRule="exact"/>
        <w:rPr>
          <w:rFonts w:ascii="Arial" w:cs="Arial" w:eastAsia="Arial" w:hAnsi="Arial"/>
          <w:sz w:val="20"/>
          <w:szCs w:val="20"/>
          <w:color w:val="auto"/>
        </w:rPr>
      </w:pPr>
    </w:p>
    <w:p>
      <w:pPr>
        <w:ind w:left="280" w:hanging="279"/>
        <w:spacing w:after="0"/>
        <w:tabs>
          <w:tab w:leader="none" w:pos="2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DEFAULT  18</w:t>
      </w:r>
    </w:p>
    <w:p>
      <w:pPr>
        <w:spacing w:after="0" w:line="67" w:lineRule="exact"/>
        <w:rPr>
          <w:rFonts w:ascii="Arial" w:cs="Arial" w:eastAsia="Arial" w:hAnsi="Arial"/>
          <w:sz w:val="20"/>
          <w:szCs w:val="20"/>
          <w:color w:val="auto"/>
        </w:rPr>
      </w:pPr>
    </w:p>
    <w:p>
      <w:pPr>
        <w:ind w:left="280" w:hanging="279"/>
        <w:spacing w:after="0"/>
        <w:tabs>
          <w:tab w:leader="none" w:pos="2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REMEDIES  19</w:t>
      </w:r>
    </w:p>
    <w:p>
      <w:pPr>
        <w:spacing w:after="0" w:line="67"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color w:val="auto"/>
        </w:rPr>
        <w:t>17. CONDITION OF PREMISES</w:t>
      </w:r>
      <w:r>
        <w:rPr>
          <w:sz w:val="20"/>
          <w:szCs w:val="20"/>
          <w:color w:val="auto"/>
        </w:rPr>
        <w:tab/>
      </w:r>
      <w:r>
        <w:rPr>
          <w:rFonts w:ascii="Arial" w:cs="Arial" w:eastAsia="Arial" w:hAnsi="Arial"/>
          <w:sz w:val="16"/>
          <w:szCs w:val="16"/>
          <w:color w:val="auto"/>
        </w:rPr>
        <w:t>21</w:t>
      </w:r>
    </w:p>
    <w:p>
      <w:pPr>
        <w:spacing w:after="0" w:line="81" w:lineRule="exact"/>
        <w:rPr>
          <w:sz w:val="20"/>
          <w:szCs w:val="20"/>
          <w:color w:val="auto"/>
        </w:rPr>
      </w:pPr>
    </w:p>
    <w:p>
      <w:pPr>
        <w:ind w:left="280" w:hanging="279"/>
        <w:spacing w:after="0"/>
        <w:tabs>
          <w:tab w:leader="none" w:pos="2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ASSIGNMENT BY LANDLORD  22</w:t>
      </w:r>
    </w:p>
    <w:p>
      <w:pPr>
        <w:spacing w:after="0" w:line="67" w:lineRule="exact"/>
        <w:rPr>
          <w:rFonts w:ascii="Arial" w:cs="Arial" w:eastAsia="Arial" w:hAnsi="Arial"/>
          <w:sz w:val="20"/>
          <w:szCs w:val="20"/>
          <w:color w:val="auto"/>
        </w:rPr>
      </w:pPr>
    </w:p>
    <w:p>
      <w:pPr>
        <w:ind w:left="280" w:hanging="279"/>
        <w:spacing w:after="0"/>
        <w:tabs>
          <w:tab w:leader="none" w:pos="2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NOTICES  22</w:t>
      </w:r>
    </w:p>
    <w:p>
      <w:pPr>
        <w:spacing w:after="0" w:line="81" w:lineRule="exact"/>
        <w:rPr>
          <w:sz w:val="20"/>
          <w:szCs w:val="20"/>
          <w:color w:val="auto"/>
        </w:rPr>
      </w:pPr>
    </w:p>
    <w:p>
      <w:pPr>
        <w:spacing w:after="0"/>
        <w:tabs>
          <w:tab w:leader="none" w:pos="3120" w:val="left"/>
        </w:tabs>
        <w:rPr>
          <w:sz w:val="20"/>
          <w:szCs w:val="20"/>
          <w:color w:val="auto"/>
        </w:rPr>
      </w:pPr>
      <w:r>
        <w:rPr>
          <w:rFonts w:ascii="Arial" w:cs="Arial" w:eastAsia="Arial" w:hAnsi="Arial"/>
          <w:sz w:val="20"/>
          <w:szCs w:val="20"/>
          <w:color w:val="auto"/>
        </w:rPr>
        <w:t>20. QUALIFICATIONS AS TO USE</w:t>
      </w:r>
      <w:r>
        <w:rPr>
          <w:sz w:val="20"/>
          <w:szCs w:val="20"/>
          <w:color w:val="auto"/>
        </w:rPr>
        <w:tab/>
      </w:r>
      <w:r>
        <w:rPr>
          <w:rFonts w:ascii="Arial" w:cs="Arial" w:eastAsia="Arial" w:hAnsi="Arial"/>
          <w:sz w:val="16"/>
          <w:szCs w:val="16"/>
          <w:color w:val="auto"/>
        </w:rPr>
        <w:t>22</w:t>
      </w:r>
    </w:p>
    <w:p>
      <w:pPr>
        <w:spacing w:after="0" w:line="67" w:lineRule="exact"/>
        <w:rPr>
          <w:sz w:val="20"/>
          <w:szCs w:val="20"/>
          <w:color w:val="auto"/>
        </w:rPr>
      </w:pPr>
    </w:p>
    <w:p>
      <w:pPr>
        <w:ind w:left="280" w:hanging="279"/>
        <w:spacing w:after="0"/>
        <w:tabs>
          <w:tab w:leader="none" w:pos="2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TENANT IMPROVEMENTS  22</w:t>
      </w:r>
    </w:p>
    <w:p>
      <w:pPr>
        <w:spacing w:after="0" w:line="80" w:lineRule="exact"/>
        <w:rPr>
          <w:rFonts w:ascii="Arial" w:cs="Arial" w:eastAsia="Arial" w:hAnsi="Arial"/>
          <w:sz w:val="20"/>
          <w:szCs w:val="20"/>
          <w:color w:val="auto"/>
        </w:rPr>
      </w:pPr>
    </w:p>
    <w:p>
      <w:pPr>
        <w:ind w:left="280" w:hanging="279"/>
        <w:spacing w:after="0"/>
        <w:tabs>
          <w:tab w:leader="none" w:pos="2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HAZARDOUS SUBSTANCES  24</w:t>
      </w:r>
    </w:p>
    <w:p>
      <w:pPr>
        <w:spacing w:after="0" w:line="67" w:lineRule="exact"/>
        <w:rPr>
          <w:rFonts w:ascii="Arial" w:cs="Arial" w:eastAsia="Arial" w:hAnsi="Arial"/>
          <w:sz w:val="20"/>
          <w:szCs w:val="20"/>
          <w:color w:val="auto"/>
        </w:rPr>
      </w:pPr>
    </w:p>
    <w:p>
      <w:pPr>
        <w:ind w:left="280" w:hanging="279"/>
        <w:spacing w:after="0"/>
        <w:tabs>
          <w:tab w:leader="none" w:pos="2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CONFIDENTIALITY  25</w:t>
      </w:r>
    </w:p>
    <w:p>
      <w:pPr>
        <w:spacing w:after="0" w:line="67" w:lineRule="exact"/>
        <w:rPr>
          <w:rFonts w:ascii="Arial" w:cs="Arial" w:eastAsia="Arial" w:hAnsi="Arial"/>
          <w:sz w:val="20"/>
          <w:szCs w:val="20"/>
          <w:color w:val="auto"/>
        </w:rPr>
      </w:pPr>
    </w:p>
    <w:p>
      <w:pPr>
        <w:ind w:left="280" w:hanging="279"/>
        <w:spacing w:after="0"/>
        <w:tabs>
          <w:tab w:leader="none" w:pos="2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VEHICLE PARKING  25</w:t>
      </w:r>
    </w:p>
    <w:p>
      <w:pPr>
        <w:spacing w:after="0" w:line="81" w:lineRule="exact"/>
        <w:rPr>
          <w:sz w:val="20"/>
          <w:szCs w:val="20"/>
          <w:color w:val="auto"/>
        </w:rPr>
      </w:pPr>
    </w:p>
    <w:p>
      <w:pPr>
        <w:spacing w:after="0"/>
        <w:tabs>
          <w:tab w:leader="none" w:pos="2880" w:val="left"/>
        </w:tabs>
        <w:rPr>
          <w:sz w:val="20"/>
          <w:szCs w:val="20"/>
          <w:color w:val="auto"/>
        </w:rPr>
      </w:pPr>
      <w:r>
        <w:rPr>
          <w:rFonts w:ascii="Arial" w:cs="Arial" w:eastAsia="Arial" w:hAnsi="Arial"/>
          <w:sz w:val="20"/>
          <w:szCs w:val="20"/>
          <w:color w:val="auto"/>
        </w:rPr>
        <w:t>25. RIGHT OF FIRST REFUSAL</w:t>
      </w:r>
      <w:r>
        <w:rPr>
          <w:sz w:val="20"/>
          <w:szCs w:val="20"/>
          <w:color w:val="auto"/>
        </w:rPr>
        <w:tab/>
      </w:r>
      <w:r>
        <w:rPr>
          <w:rFonts w:ascii="Arial" w:cs="Arial" w:eastAsia="Arial" w:hAnsi="Arial"/>
          <w:sz w:val="16"/>
          <w:szCs w:val="16"/>
          <w:color w:val="auto"/>
        </w:rPr>
        <w:t>26</w:t>
      </w:r>
    </w:p>
    <w:p>
      <w:pPr>
        <w:spacing w:after="0" w:line="67" w:lineRule="exact"/>
        <w:rPr>
          <w:sz w:val="20"/>
          <w:szCs w:val="20"/>
          <w:color w:val="auto"/>
        </w:rPr>
      </w:pPr>
    </w:p>
    <w:p>
      <w:pPr>
        <w:ind w:left="280" w:hanging="279"/>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OUTDOOR TERRACE  27</w:t>
      </w:r>
    </w:p>
    <w:p>
      <w:pPr>
        <w:spacing w:after="0" w:line="80" w:lineRule="exact"/>
        <w:rPr>
          <w:rFonts w:ascii="Arial" w:cs="Arial" w:eastAsia="Arial" w:hAnsi="Arial"/>
          <w:sz w:val="20"/>
          <w:szCs w:val="20"/>
          <w:color w:val="auto"/>
        </w:rPr>
      </w:pPr>
    </w:p>
    <w:p>
      <w:pPr>
        <w:ind w:left="280" w:hanging="279"/>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SIGNAGE  27</w:t>
      </w:r>
    </w:p>
    <w:p>
      <w:pPr>
        <w:spacing w:after="0" w:line="67" w:lineRule="exact"/>
        <w:rPr>
          <w:rFonts w:ascii="Arial" w:cs="Arial" w:eastAsia="Arial" w:hAnsi="Arial"/>
          <w:sz w:val="20"/>
          <w:szCs w:val="20"/>
          <w:color w:val="auto"/>
        </w:rPr>
      </w:pPr>
    </w:p>
    <w:p>
      <w:pPr>
        <w:ind w:left="280" w:hanging="279"/>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MISCELLANEOUS  28</w:t>
      </w:r>
    </w:p>
    <w:p>
      <w:pPr>
        <w:spacing w:after="0" w:line="81" w:lineRule="exact"/>
        <w:rPr>
          <w:sz w:val="20"/>
          <w:szCs w:val="20"/>
          <w:color w:val="auto"/>
        </w:rPr>
      </w:pPr>
    </w:p>
    <w:p>
      <w:pPr>
        <w:spacing w:after="0"/>
        <w:tabs>
          <w:tab w:leader="none" w:pos="3280" w:val="left"/>
        </w:tabs>
        <w:rPr>
          <w:sz w:val="20"/>
          <w:szCs w:val="20"/>
          <w:color w:val="auto"/>
        </w:rPr>
      </w:pPr>
      <w:r>
        <w:rPr>
          <w:rFonts w:ascii="Arial" w:cs="Arial" w:eastAsia="Arial" w:hAnsi="Arial"/>
          <w:sz w:val="20"/>
          <w:szCs w:val="20"/>
          <w:color w:val="auto"/>
        </w:rPr>
        <w:t>29. EARLY TERMINATION OPTION</w:t>
      </w:r>
      <w:r>
        <w:rPr>
          <w:sz w:val="20"/>
          <w:szCs w:val="20"/>
          <w:color w:val="auto"/>
        </w:rPr>
        <w:tab/>
      </w:r>
      <w:r>
        <w:rPr>
          <w:rFonts w:ascii="Arial" w:cs="Arial" w:eastAsia="Arial" w:hAnsi="Arial"/>
          <w:sz w:val="16"/>
          <w:szCs w:val="16"/>
          <w:color w:val="auto"/>
        </w:rPr>
        <w:t>30</w:t>
      </w:r>
    </w:p>
    <w:p>
      <w:pPr>
        <w:spacing w:after="0" w:line="67" w:lineRule="exact"/>
        <w:rPr>
          <w:sz w:val="20"/>
          <w:szCs w:val="20"/>
          <w:color w:val="auto"/>
        </w:rPr>
      </w:pPr>
    </w:p>
    <w:p>
      <w:pPr>
        <w:spacing w:after="0"/>
        <w:tabs>
          <w:tab w:leader="none" w:pos="2460" w:val="left"/>
        </w:tabs>
        <w:rPr>
          <w:sz w:val="20"/>
          <w:szCs w:val="20"/>
          <w:color w:val="auto"/>
        </w:rPr>
      </w:pPr>
      <w:r>
        <w:rPr>
          <w:rFonts w:ascii="Arial" w:cs="Arial" w:eastAsia="Arial" w:hAnsi="Arial"/>
          <w:sz w:val="20"/>
          <w:szCs w:val="20"/>
          <w:color w:val="auto"/>
        </w:rPr>
        <w:t>30. OPTIONS TO EXTEND</w:t>
      </w:r>
      <w:r>
        <w:rPr>
          <w:sz w:val="20"/>
          <w:szCs w:val="20"/>
          <w:color w:val="auto"/>
        </w:rPr>
        <w:tab/>
      </w:r>
      <w:r>
        <w:rPr>
          <w:rFonts w:ascii="Arial" w:cs="Arial" w:eastAsia="Arial" w:hAnsi="Arial"/>
          <w:sz w:val="16"/>
          <w:szCs w:val="16"/>
          <w:color w:val="auto"/>
        </w:rPr>
        <w:t>31</w:t>
      </w:r>
    </w:p>
    <w:p>
      <w:pPr>
        <w:spacing w:after="0" w:line="67" w:lineRule="exact"/>
        <w:rPr>
          <w:sz w:val="20"/>
          <w:szCs w:val="20"/>
          <w:color w:val="auto"/>
        </w:rPr>
      </w:pPr>
    </w:p>
    <w:p>
      <w:pPr>
        <w:ind w:left="280" w:hanging="279"/>
        <w:spacing w:after="0"/>
        <w:tabs>
          <w:tab w:leader="none" w:pos="2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GENERATOR  33</w:t>
      </w:r>
    </w:p>
    <w:p>
      <w:pPr>
        <w:spacing w:after="0" w:line="80" w:lineRule="exact"/>
        <w:rPr>
          <w:rFonts w:ascii="Arial" w:cs="Arial" w:eastAsia="Arial" w:hAnsi="Arial"/>
          <w:sz w:val="20"/>
          <w:szCs w:val="20"/>
          <w:color w:val="auto"/>
        </w:rPr>
      </w:pPr>
    </w:p>
    <w:p>
      <w:pPr>
        <w:ind w:left="280" w:hanging="279"/>
        <w:spacing w:after="0"/>
        <w:tabs>
          <w:tab w:leader="none" w:pos="2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EXPANSION  33</w:t>
      </w:r>
    </w:p>
    <w:p>
      <w:pPr>
        <w:sectPr>
          <w:pgSz w:w="11900" w:h="16838" w:orient="portrait"/>
          <w:cols w:equalWidth="0" w:num="1">
            <w:col w:w="9719"/>
          </w:cols>
          <w:pgMar w:left="740" w:top="744" w:right="1440"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EXHIBITS</w:t>
      </w:r>
    </w:p>
    <w:p>
      <w:pPr>
        <w:ind w:left="640" w:hanging="639"/>
        <w:spacing w:after="0" w:line="225"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Premises</w:t>
      </w:r>
    </w:p>
    <w:p>
      <w:pPr>
        <w:ind w:left="640" w:hanging="639"/>
        <w:spacing w:after="0" w:line="211"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Tax and Operating Expenses Rider</w:t>
      </w:r>
    </w:p>
    <w:p>
      <w:pPr>
        <w:ind w:left="640" w:right="4579" w:hanging="639"/>
        <w:spacing w:after="0" w:line="197" w:lineRule="auto"/>
        <w:tabs>
          <w:tab w:leader="none" w:pos="632" w:val="left"/>
        </w:tabs>
        <w:numPr>
          <w:ilvl w:val="0"/>
          <w:numId w:val="63"/>
        </w:numPr>
        <w:rPr>
          <w:rFonts w:ascii="Arial" w:cs="Arial" w:eastAsia="Arial" w:hAnsi="Arial"/>
          <w:sz w:val="20"/>
          <w:szCs w:val="20"/>
          <w:color w:val="auto"/>
        </w:rPr>
      </w:pPr>
      <w:r>
        <w:rPr>
          <w:rFonts w:ascii="Arial" w:cs="Arial" w:eastAsia="Arial" w:hAnsi="Arial"/>
          <w:sz w:val="20"/>
          <w:szCs w:val="20"/>
          <w:color w:val="auto"/>
        </w:rPr>
        <w:t>Office Unit Rules and Regulations C-1. Dog Rules and Regulations</w:t>
      </w:r>
    </w:p>
    <w:p>
      <w:pPr>
        <w:ind w:left="640"/>
        <w:spacing w:after="0" w:line="197" w:lineRule="auto"/>
        <w:rPr>
          <w:rFonts w:ascii="Arial" w:cs="Arial" w:eastAsia="Arial" w:hAnsi="Arial"/>
          <w:sz w:val="20"/>
          <w:szCs w:val="20"/>
          <w:color w:val="auto"/>
        </w:rPr>
      </w:pPr>
      <w:r>
        <w:rPr>
          <w:rFonts w:ascii="Arial" w:cs="Arial" w:eastAsia="Arial" w:hAnsi="Arial"/>
          <w:sz w:val="20"/>
          <w:szCs w:val="20"/>
          <w:color w:val="auto"/>
        </w:rPr>
        <w:t>C-2.  Food Preparation Rules and Regulations</w:t>
      </w:r>
    </w:p>
    <w:p>
      <w:pPr>
        <w:ind w:left="640" w:hanging="639"/>
        <w:spacing w:after="0" w:line="225"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Janitorial Services</w:t>
      </w:r>
    </w:p>
    <w:p>
      <w:pPr>
        <w:ind w:left="640" w:hanging="639"/>
        <w:spacing w:after="0" w:line="225"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Form of Commencement Date Agreement</w:t>
      </w:r>
    </w:p>
    <w:p>
      <w:pPr>
        <w:ind w:left="640" w:hanging="639"/>
        <w:spacing w:after="0" w:line="211"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Outdoor Terrace</w:t>
      </w:r>
    </w:p>
    <w:p>
      <w:pPr>
        <w:ind w:left="640" w:hanging="639"/>
        <w:spacing w:after="0" w:line="197"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Landlord’s Work</w:t>
      </w:r>
    </w:p>
    <w:p>
      <w:pPr>
        <w:ind w:left="640" w:hanging="639"/>
        <w:spacing w:after="0" w:line="197"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ROFR Premises:</w:t>
      </w:r>
    </w:p>
    <w:p>
      <w:pPr>
        <w:ind w:left="640" w:right="4499"/>
        <w:spacing w:after="0" w:line="204" w:lineRule="auto"/>
        <w:rPr>
          <w:rFonts w:ascii="Arial" w:cs="Arial" w:eastAsia="Arial" w:hAnsi="Arial"/>
          <w:sz w:val="20"/>
          <w:szCs w:val="20"/>
          <w:color w:val="auto"/>
        </w:rPr>
      </w:pPr>
      <w:r>
        <w:rPr>
          <w:rFonts w:ascii="Arial" w:cs="Arial" w:eastAsia="Arial" w:hAnsi="Arial"/>
          <w:sz w:val="20"/>
          <w:szCs w:val="20"/>
          <w:color w:val="auto"/>
        </w:rPr>
        <w:t>H-1. 2nd Floor ROFR Premises H-2. 4th Floor ROFR Premises</w:t>
      </w:r>
    </w:p>
    <w:p>
      <w:pPr>
        <w:ind w:left="640" w:hanging="639"/>
        <w:spacing w:after="0" w:line="211"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Signage - Euclid Avenue Façade</w:t>
      </w:r>
    </w:p>
    <w:p>
      <w:pPr>
        <w:ind w:left="640" w:hanging="639"/>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Generator and Satellite Regulations</w:t>
      </w:r>
    </w:p>
    <w:p>
      <w:pPr>
        <w:sectPr>
          <w:pgSz w:w="11900" w:h="16838" w:orient="portrait"/>
          <w:cols w:equalWidth="0" w:num="1">
            <w:col w:w="9719"/>
          </w:cols>
          <w:pgMar w:left="740" w:top="975" w:right="1440" w:bottom="1440" w:gutter="0" w:footer="0" w:header="0"/>
        </w:sectPr>
      </w:pPr>
    </w:p>
    <w:bookmarkStart w:id="117" w:name="page118"/>
    <w:bookmarkEnd w:id="117"/>
    <w:p>
      <w:pPr>
        <w:ind w:left="640" w:hanging="639"/>
        <w:spacing w:after="0"/>
        <w:tabs>
          <w:tab w:leader="none" w:pos="64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BASIC LEASE PROVISIONS.</w:t>
      </w:r>
    </w:p>
    <w:p>
      <w:pPr>
        <w:spacing w:after="0" w:line="222"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The words and phrases defined below are hereby incorporated into and made a part of this Lease and are hereinafter referred to as the “Basic Lease Provisions”.</w:t>
      </w:r>
    </w:p>
    <w:p>
      <w:pPr>
        <w:spacing w:after="0" w:line="182" w:lineRule="exact"/>
        <w:rPr>
          <w:sz w:val="20"/>
          <w:szCs w:val="20"/>
          <w:color w:val="auto"/>
        </w:rPr>
      </w:pPr>
    </w:p>
    <w:p>
      <w:pPr>
        <w:ind w:left="640" w:hanging="639"/>
        <w:spacing w:after="0" w:line="242" w:lineRule="auto"/>
        <w:tabs>
          <w:tab w:leader="none" w:pos="629"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“Additional Rent” means all money, other than Fixed Basic Rent, payable by Tenant to Landlord under the Lease, including, but not limited to, the monies payable by Tenant to Landlord pursuant to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of this Lease.</w:t>
      </w:r>
    </w:p>
    <w:p>
      <w:pPr>
        <w:spacing w:after="0" w:line="261" w:lineRule="exact"/>
        <w:rPr>
          <w:rFonts w:ascii="Arial" w:cs="Arial" w:eastAsia="Arial" w:hAnsi="Arial"/>
          <w:sz w:val="19"/>
          <w:szCs w:val="19"/>
          <w:color w:val="auto"/>
        </w:rPr>
      </w:pPr>
    </w:p>
    <w:p>
      <w:pPr>
        <w:ind w:left="640" w:hanging="639"/>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“Base Year” means the calendar year 2023.</w:t>
      </w:r>
    </w:p>
    <w:p>
      <w:pPr>
        <w:spacing w:after="0" w:line="202" w:lineRule="exact"/>
        <w:rPr>
          <w:rFonts w:ascii="Arial" w:cs="Arial" w:eastAsia="Arial" w:hAnsi="Arial"/>
          <w:sz w:val="20"/>
          <w:szCs w:val="20"/>
          <w:color w:val="auto"/>
        </w:rPr>
      </w:pPr>
    </w:p>
    <w:p>
      <w:pPr>
        <w:ind w:left="640" w:hanging="639"/>
        <w:spacing w:after="0" w:line="229" w:lineRule="auto"/>
        <w:tabs>
          <w:tab w:leader="none" w:pos="632" w:val="left"/>
        </w:tabs>
        <w:numPr>
          <w:ilvl w:val="0"/>
          <w:numId w:val="65"/>
        </w:numPr>
        <w:rPr>
          <w:rFonts w:ascii="Arial" w:cs="Arial" w:eastAsia="Arial" w:hAnsi="Arial"/>
          <w:sz w:val="20"/>
          <w:szCs w:val="20"/>
          <w:color w:val="auto"/>
        </w:rPr>
      </w:pPr>
      <w:r>
        <w:rPr>
          <w:rFonts w:ascii="Arial" w:cs="Arial" w:eastAsia="Arial" w:hAnsi="Arial"/>
          <w:sz w:val="20"/>
          <w:szCs w:val="20"/>
          <w:color w:val="auto"/>
        </w:rPr>
        <w:t>“Building” means that certain building located at 141 S. St. Clair St., Pittsburgh, PA 15206 (which is under construction as of the date of this Lease).</w:t>
      </w:r>
    </w:p>
    <w:p>
      <w:pPr>
        <w:spacing w:after="0" w:line="182" w:lineRule="exact"/>
        <w:rPr>
          <w:rFonts w:ascii="Arial" w:cs="Arial" w:eastAsia="Arial" w:hAnsi="Arial"/>
          <w:sz w:val="20"/>
          <w:szCs w:val="20"/>
          <w:color w:val="auto"/>
        </w:rPr>
      </w:pPr>
    </w:p>
    <w:p>
      <w:pPr>
        <w:ind w:left="640" w:hanging="639"/>
        <w:spacing w:after="0" w:line="229" w:lineRule="auto"/>
        <w:tabs>
          <w:tab w:leader="none" w:pos="6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“Building Holidays” means New Year’s Day, Memorial Day, Independence Day, Labor Day, Thanksgiving Day, Christmas Day, and such other holidays as may be included by Landlord from time to time.</w:t>
      </w:r>
    </w:p>
    <w:p>
      <w:pPr>
        <w:spacing w:after="0" w:line="195" w:lineRule="exact"/>
        <w:rPr>
          <w:rFonts w:ascii="Arial" w:cs="Arial" w:eastAsia="Arial" w:hAnsi="Arial"/>
          <w:sz w:val="20"/>
          <w:szCs w:val="20"/>
          <w:color w:val="auto"/>
        </w:rPr>
      </w:pPr>
    </w:p>
    <w:p>
      <w:pPr>
        <w:ind w:left="640" w:right="440" w:hanging="639"/>
        <w:spacing w:after="0" w:line="218" w:lineRule="auto"/>
        <w:tabs>
          <w:tab w:leader="none" w:pos="634" w:val="left"/>
        </w:tabs>
        <w:numPr>
          <w:ilvl w:val="0"/>
          <w:numId w:val="65"/>
        </w:numPr>
        <w:rPr>
          <w:rFonts w:ascii="Arial" w:cs="Arial" w:eastAsia="Arial" w:hAnsi="Arial"/>
          <w:sz w:val="20"/>
          <w:szCs w:val="20"/>
          <w:color w:val="auto"/>
        </w:rPr>
      </w:pPr>
      <w:r>
        <w:rPr>
          <w:rFonts w:ascii="Arial" w:cs="Arial" w:eastAsia="Arial" w:hAnsi="Arial"/>
          <w:sz w:val="20"/>
          <w:szCs w:val="20"/>
          <w:color w:val="auto"/>
        </w:rPr>
        <w:t>“Building Hours” means Monday through Friday 8:00 a.m. to 6:00 p.m. and on those Saturdays from 8:00 a.m. to 1:00 p.m., but excluding Building Holidays. Regardless of Building hours, Tenant is permitted access to the Building and the Premises 24/7 every day.</w:t>
      </w:r>
    </w:p>
    <w:p>
      <w:pPr>
        <w:spacing w:after="0" w:line="183" w:lineRule="exact"/>
        <w:rPr>
          <w:rFonts w:ascii="Arial" w:cs="Arial" w:eastAsia="Arial" w:hAnsi="Arial"/>
          <w:sz w:val="20"/>
          <w:szCs w:val="20"/>
          <w:color w:val="auto"/>
        </w:rPr>
      </w:pPr>
    </w:p>
    <w:p>
      <w:pPr>
        <w:ind w:left="640" w:hanging="639"/>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“Building Manager” or “Manager” shall mean LG Realty Advisors, Inc.</w:t>
      </w:r>
    </w:p>
    <w:p>
      <w:pPr>
        <w:spacing w:after="0" w:line="215" w:lineRule="exact"/>
        <w:rPr>
          <w:rFonts w:ascii="Arial" w:cs="Arial" w:eastAsia="Arial" w:hAnsi="Arial"/>
          <w:sz w:val="20"/>
          <w:szCs w:val="20"/>
          <w:color w:val="auto"/>
        </w:rPr>
      </w:pPr>
    </w:p>
    <w:p>
      <w:pPr>
        <w:jc w:val="both"/>
        <w:ind w:left="640" w:hanging="639"/>
        <w:spacing w:after="0" w:line="226" w:lineRule="auto"/>
        <w:tabs>
          <w:tab w:leader="none" w:pos="6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“Common Areas” means all areas and facilities outside the Premises and within the exterior boundary line of the Property that are designated by Landlord from time to time for the general non-exclusive use of Landlord, Tenant, the other Building tenants, and their respective employees, suppliers, customers, and invitees, including, but not limited to, common entrances, lobbies, corridors, stairwells, elevators, fitness facilities, including showers and locker rooms, conference facilities, parking areas, loading and unloading areas, roadways and sidewalks. Landlord may also designate other land and improvements outside the boundaries of the Property to be a part of the Common Areas, provided that such other land and improvements have a reasonable and functional relationship to the Property. Landlord shall have the right to change the area, level, location, and arrangement of the Common Areas so long as in so doing Landlord does not materially and adversely affect ingress to and egress from the Building or the Premises and does not increase Tenant’s Proportionate Share or any amounts required to be paid by Tenant to Landlord under the Lease.</w:t>
      </w:r>
    </w:p>
    <w:p>
      <w:pPr>
        <w:spacing w:after="0" w:line="183" w:lineRule="exact"/>
        <w:rPr>
          <w:rFonts w:ascii="Arial" w:cs="Arial" w:eastAsia="Arial" w:hAnsi="Arial"/>
          <w:sz w:val="18"/>
          <w:szCs w:val="18"/>
          <w:color w:val="auto"/>
        </w:rPr>
      </w:pPr>
    </w:p>
    <w:p>
      <w:pPr>
        <w:ind w:left="640" w:hanging="639"/>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640" w:hanging="639"/>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“Calendar Year” means January 1 through December 31 of each year.</w:t>
      </w:r>
    </w:p>
    <w:p>
      <w:pPr>
        <w:spacing w:after="0" w:line="202" w:lineRule="exact"/>
        <w:rPr>
          <w:rFonts w:ascii="Arial" w:cs="Arial" w:eastAsia="Arial" w:hAnsi="Arial"/>
          <w:sz w:val="20"/>
          <w:szCs w:val="20"/>
          <w:color w:val="auto"/>
        </w:rPr>
      </w:pPr>
    </w:p>
    <w:p>
      <w:pPr>
        <w:ind w:left="640" w:hanging="639"/>
        <w:spacing w:after="0" w:line="229" w:lineRule="auto"/>
        <w:tabs>
          <w:tab w:leader="none" w:pos="631"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“Commencement Date” means the later to occur of the following two dates: (1) the date on which Landlord delivers the Premises to Tenant with Landlord’s Work having been substantially completed, or (2) May 1, 2022.</w:t>
      </w:r>
    </w:p>
    <w:p>
      <w:pPr>
        <w:spacing w:after="0" w:line="182" w:lineRule="exact"/>
        <w:rPr>
          <w:rFonts w:ascii="Arial" w:cs="Arial" w:eastAsia="Arial" w:hAnsi="Arial"/>
          <w:sz w:val="20"/>
          <w:szCs w:val="20"/>
          <w:color w:val="auto"/>
        </w:rPr>
      </w:pPr>
    </w:p>
    <w:p>
      <w:pPr>
        <w:jc w:val="both"/>
        <w:ind w:left="640" w:hanging="639"/>
        <w:spacing w:after="0" w:line="201" w:lineRule="auto"/>
        <w:tabs>
          <w:tab w:leader="none" w:pos="6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“Demised Premises” or “Premises” means and are agreed and deemed to be 38,258 rentable square feet consisting of all the office space on the third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 of the Office Unit as shown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Lease, which includes an allocable share of the Common Areas.</w:t>
      </w:r>
    </w:p>
    <w:p>
      <w:pPr>
        <w:sectPr>
          <w:pgSz w:w="11900" w:h="16838" w:orient="portrait"/>
          <w:cols w:equalWidth="0" w:num="1">
            <w:col w:w="10580"/>
          </w:cols>
          <w:pgMar w:left="740" w:top="1386" w:right="579" w:bottom="1440" w:gutter="0" w:footer="0" w:header="0"/>
        </w:sectPr>
      </w:pPr>
    </w:p>
    <w:bookmarkStart w:id="118" w:name="page119"/>
    <w:bookmarkEnd w:id="118"/>
    <w:p>
      <w:pPr>
        <w:spacing w:after="0" w:line="195" w:lineRule="exact"/>
        <w:rPr>
          <w:sz w:val="20"/>
          <w:szCs w:val="20"/>
          <w:color w:val="auto"/>
        </w:rPr>
      </w:pPr>
    </w:p>
    <w:p>
      <w:pPr>
        <w:ind w:left="640" w:hanging="639"/>
        <w:spacing w:after="0" w:line="229" w:lineRule="auto"/>
        <w:tabs>
          <w:tab w:leader="none" w:pos="634" w:val="left"/>
        </w:tabs>
        <w:numPr>
          <w:ilvl w:val="0"/>
          <w:numId w:val="66"/>
        </w:numPr>
        <w:rPr>
          <w:rFonts w:ascii="Arial" w:cs="Arial" w:eastAsia="Arial" w:hAnsi="Arial"/>
          <w:sz w:val="20"/>
          <w:szCs w:val="20"/>
          <w:color w:val="auto"/>
        </w:rPr>
      </w:pPr>
      <w:r>
        <w:rPr>
          <w:rFonts w:ascii="Arial" w:cs="Arial" w:eastAsia="Arial" w:hAnsi="Arial"/>
          <w:sz w:val="20"/>
          <w:szCs w:val="20"/>
          <w:color w:val="auto"/>
        </w:rPr>
        <w:t>“Expiration Date” means 11:59 p.m. on the last day of the one-hundred fifty-sixth (156) month after the Commencement Date.</w:t>
      </w:r>
    </w:p>
    <w:p>
      <w:pPr>
        <w:spacing w:after="0" w:line="182" w:lineRule="exact"/>
        <w:rPr>
          <w:rFonts w:ascii="Arial" w:cs="Arial" w:eastAsia="Arial" w:hAnsi="Arial"/>
          <w:sz w:val="20"/>
          <w:szCs w:val="20"/>
          <w:color w:val="auto"/>
        </w:rPr>
      </w:pPr>
    </w:p>
    <w:p>
      <w:pPr>
        <w:ind w:left="640" w:hanging="639"/>
        <w:spacing w:after="0"/>
        <w:tabs>
          <w:tab w:leader="none" w:pos="6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“Effective Date” means November 16, 2021.</w:t>
      </w:r>
    </w:p>
    <w:p>
      <w:pPr>
        <w:spacing w:after="0" w:line="202" w:lineRule="exact"/>
        <w:rPr>
          <w:rFonts w:ascii="Arial" w:cs="Arial" w:eastAsia="Arial" w:hAnsi="Arial"/>
          <w:sz w:val="20"/>
          <w:szCs w:val="20"/>
          <w:color w:val="auto"/>
        </w:rPr>
      </w:pPr>
    </w:p>
    <w:p>
      <w:pPr>
        <w:ind w:left="640" w:hanging="639"/>
        <w:spacing w:after="0"/>
        <w:tabs>
          <w:tab w:leader="none" w:pos="6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“Fixed Basic Rent” means the following:</w:t>
      </w:r>
    </w:p>
    <w:p>
      <w:pPr>
        <w:spacing w:after="0" w:line="253" w:lineRule="exact"/>
        <w:rPr>
          <w:sz w:val="20"/>
          <w:szCs w:val="20"/>
          <w:color w:val="auto"/>
        </w:rPr>
      </w:pPr>
    </w:p>
    <w:tbl>
      <w:tblPr>
        <w:tblLayout w:type="fixed"/>
        <w:tblInd w:w="110" w:type="dxa"/>
        <w:tblCellMar>
          <w:top w:w="0" w:type="dxa"/>
          <w:left w:w="0" w:type="dxa"/>
          <w:bottom w:w="0" w:type="dxa"/>
          <w:right w:w="0" w:type="dxa"/>
        </w:tblCellMar>
      </w:tblPr>
      <w:tr>
        <w:trPr>
          <w:trHeight w:val="257"/>
        </w:trPr>
        <w:tc>
          <w:tcPr>
            <w:tcW w:w="260" w:type="dxa"/>
            <w:vAlign w:val="bottom"/>
            <w:tcBorders>
              <w:top w:val="single" w:sz="8" w:color="auto"/>
              <w:left w:val="single" w:sz="8" w:color="auto"/>
              <w:bottom w:val="single" w:sz="8" w:color="auto"/>
            </w:tcBorders>
            <w:vMerge w:val="restart"/>
          </w:tcPr>
          <w:p>
            <w:pPr>
              <w:spacing w:after="0"/>
              <w:rPr>
                <w:sz w:val="22"/>
                <w:szCs w:val="22"/>
                <w:color w:val="auto"/>
              </w:rPr>
            </w:pPr>
          </w:p>
        </w:tc>
        <w:tc>
          <w:tcPr>
            <w:tcW w:w="1720" w:type="dxa"/>
            <w:vAlign w:val="bottom"/>
            <w:tcBorders>
              <w:top w:val="single" w:sz="8" w:color="auto"/>
              <w:bottom w:val="single" w:sz="8" w:color="auto"/>
              <w:right w:val="single" w:sz="8" w:color="auto"/>
            </w:tcBorders>
            <w:gridSpan w:val="2"/>
            <w:vMerge w:val="restart"/>
          </w:tcPr>
          <w:p>
            <w:pPr>
              <w:jc w:val="center"/>
              <w:ind w:right="620"/>
              <w:spacing w:after="0"/>
              <w:rPr>
                <w:sz w:val="20"/>
                <w:szCs w:val="20"/>
                <w:color w:val="auto"/>
              </w:rPr>
            </w:pPr>
            <w:r>
              <w:rPr>
                <w:rFonts w:ascii="Arial" w:cs="Arial" w:eastAsia="Arial" w:hAnsi="Arial"/>
                <w:sz w:val="20"/>
                <w:szCs w:val="20"/>
                <w:b w:val="1"/>
                <w:bCs w:val="1"/>
                <w:color w:val="auto"/>
                <w:w w:val="88"/>
              </w:rPr>
              <w:t>Lease Period</w:t>
            </w:r>
          </w:p>
        </w:tc>
        <w:tc>
          <w:tcPr>
            <w:tcW w:w="400" w:type="dxa"/>
            <w:vAlign w:val="bottom"/>
            <w:tcBorders>
              <w:top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Fixed Basic Rent</w:t>
            </w:r>
          </w:p>
        </w:tc>
        <w:tc>
          <w:tcPr>
            <w:tcW w:w="880" w:type="dxa"/>
            <w:vAlign w:val="bottom"/>
            <w:tcBorders>
              <w:top w:val="single" w:sz="8" w:color="auto"/>
              <w:bottom w:val="single" w:sz="8" w:color="auto"/>
              <w:right w:val="single" w:sz="8" w:color="auto"/>
            </w:tcBorders>
          </w:tcPr>
          <w:p>
            <w:pPr>
              <w:spacing w:after="0"/>
              <w:rPr>
                <w:sz w:val="22"/>
                <w:szCs w:val="22"/>
                <w:color w:val="auto"/>
              </w:rPr>
            </w:pPr>
          </w:p>
        </w:tc>
        <w:tc>
          <w:tcPr>
            <w:tcW w:w="340" w:type="dxa"/>
            <w:vAlign w:val="bottom"/>
            <w:tcBorders>
              <w:top w:val="single" w:sz="8" w:color="auto"/>
              <w:bottom w:val="single" w:sz="8" w:color="auto"/>
            </w:tcBorders>
            <w:vMerge w:val="restart"/>
          </w:tcPr>
          <w:p>
            <w:pPr>
              <w:spacing w:after="0"/>
              <w:rPr>
                <w:sz w:val="22"/>
                <w:szCs w:val="22"/>
                <w:color w:val="auto"/>
              </w:rPr>
            </w:pPr>
          </w:p>
        </w:tc>
        <w:tc>
          <w:tcPr>
            <w:tcW w:w="360" w:type="dxa"/>
            <w:vAlign w:val="bottom"/>
            <w:tcBorders>
              <w:top w:val="single" w:sz="8" w:color="auto"/>
              <w:bottom w:val="single" w:sz="8" w:color="auto"/>
            </w:tcBorders>
            <w:vMerge w:val="restart"/>
          </w:tcPr>
          <w:p>
            <w:pPr>
              <w:spacing w:after="0"/>
              <w:rPr>
                <w:sz w:val="22"/>
                <w:szCs w:val="22"/>
                <w:color w:val="auto"/>
              </w:rPr>
            </w:pPr>
          </w:p>
        </w:tc>
        <w:tc>
          <w:tcPr>
            <w:tcW w:w="1920" w:type="dxa"/>
            <w:vAlign w:val="bottom"/>
            <w:tcBorders>
              <w:top w:val="single" w:sz="8" w:color="auto"/>
              <w:bottom w:val="single" w:sz="8" w:color="auto"/>
              <w:right w:val="single" w:sz="8" w:color="auto"/>
            </w:tcBorders>
            <w:gridSpan w:val="5"/>
            <w:vMerge w:val="restart"/>
          </w:tcPr>
          <w:p>
            <w:pPr>
              <w:spacing w:after="0"/>
              <w:rPr>
                <w:sz w:val="20"/>
                <w:szCs w:val="20"/>
                <w:color w:val="auto"/>
              </w:rPr>
            </w:pPr>
            <w:r>
              <w:rPr>
                <w:rFonts w:ascii="Arial" w:cs="Arial" w:eastAsia="Arial" w:hAnsi="Arial"/>
                <w:sz w:val="20"/>
                <w:szCs w:val="20"/>
                <w:b w:val="1"/>
                <w:bCs w:val="1"/>
                <w:color w:val="auto"/>
              </w:rPr>
              <w:t>Monthly Fixed</w:t>
            </w:r>
          </w:p>
        </w:tc>
        <w:tc>
          <w:tcPr>
            <w:tcW w:w="380" w:type="dxa"/>
            <w:vAlign w:val="bottom"/>
            <w:tcBorders>
              <w:top w:val="single" w:sz="8" w:color="auto"/>
              <w:bottom w:val="single" w:sz="8" w:color="auto"/>
            </w:tcBorders>
            <w:vMerge w:val="restart"/>
          </w:tcPr>
          <w:p>
            <w:pPr>
              <w:spacing w:after="0"/>
              <w:rPr>
                <w:sz w:val="22"/>
                <w:szCs w:val="22"/>
                <w:color w:val="auto"/>
              </w:rPr>
            </w:pPr>
          </w:p>
        </w:tc>
        <w:tc>
          <w:tcPr>
            <w:tcW w:w="400" w:type="dxa"/>
            <w:vAlign w:val="bottom"/>
            <w:tcBorders>
              <w:top w:val="single" w:sz="8" w:color="auto"/>
              <w:bottom w:val="single" w:sz="8" w:color="auto"/>
            </w:tcBorders>
            <w:vMerge w:val="restart"/>
          </w:tcPr>
          <w:p>
            <w:pPr>
              <w:spacing w:after="0"/>
              <w:rPr>
                <w:sz w:val="22"/>
                <w:szCs w:val="22"/>
                <w:color w:val="auto"/>
              </w:rPr>
            </w:pPr>
          </w:p>
        </w:tc>
        <w:tc>
          <w:tcPr>
            <w:tcW w:w="1900" w:type="dxa"/>
            <w:vAlign w:val="bottom"/>
            <w:tcBorders>
              <w:top w:val="single" w:sz="8" w:color="auto"/>
              <w:bottom w:val="single" w:sz="8" w:color="auto"/>
              <w:right w:val="single" w:sz="8" w:color="auto"/>
            </w:tcBorders>
            <w:gridSpan w:val="5"/>
            <w:vMerge w:val="restart"/>
          </w:tcPr>
          <w:p>
            <w:pPr>
              <w:spacing w:after="0"/>
              <w:rPr>
                <w:sz w:val="20"/>
                <w:szCs w:val="20"/>
                <w:color w:val="auto"/>
              </w:rPr>
            </w:pPr>
            <w:r>
              <w:rPr>
                <w:rFonts w:ascii="Arial" w:cs="Arial" w:eastAsia="Arial" w:hAnsi="Arial"/>
                <w:sz w:val="20"/>
                <w:szCs w:val="20"/>
                <w:b w:val="1"/>
                <w:bCs w:val="1"/>
                <w:color w:val="auto"/>
              </w:rPr>
              <w:t>Annual Fixed</w:t>
            </w:r>
          </w:p>
        </w:tc>
        <w:tc>
          <w:tcPr>
            <w:tcW w:w="0" w:type="dxa"/>
            <w:vAlign w:val="bottom"/>
          </w:tcPr>
          <w:p>
            <w:pPr>
              <w:spacing w:after="0"/>
              <w:rPr>
                <w:sz w:val="1"/>
                <w:szCs w:val="1"/>
                <w:color w:val="auto"/>
              </w:rPr>
            </w:pPr>
          </w:p>
        </w:tc>
      </w:tr>
      <w:tr>
        <w:trPr>
          <w:trHeight w:val="20"/>
        </w:trPr>
        <w:tc>
          <w:tcPr>
            <w:tcW w:w="260" w:type="dxa"/>
            <w:vAlign w:val="bottom"/>
            <w:tcBorders>
              <w:left w:val="single" w:sz="8" w:color="auto"/>
            </w:tcBorders>
            <w:vMerge w:val="continue"/>
          </w:tcPr>
          <w:p>
            <w:pPr>
              <w:spacing w:after="0" w:line="20" w:lineRule="exact"/>
              <w:rPr>
                <w:sz w:val="1"/>
                <w:szCs w:val="1"/>
                <w:color w:val="auto"/>
              </w:rPr>
            </w:pPr>
          </w:p>
        </w:tc>
        <w:tc>
          <w:tcPr>
            <w:tcW w:w="1720" w:type="dxa"/>
            <w:vAlign w:val="bottom"/>
            <w:tcBorders>
              <w:right w:val="single" w:sz="8" w:color="auto"/>
            </w:tcBorders>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Borders>
              <w:right w:val="single" w:sz="8" w:color="auto"/>
            </w:tcBorders>
            <w:gridSpan w:val="4"/>
            <w:vMerge w:val="restart"/>
          </w:tcPr>
          <w:p>
            <w:pPr>
              <w:jc w:val="center"/>
              <w:ind w:right="920"/>
              <w:spacing w:after="0" w:line="169" w:lineRule="exact"/>
              <w:rPr>
                <w:sz w:val="20"/>
                <w:szCs w:val="20"/>
                <w:color w:val="auto"/>
              </w:rPr>
            </w:pPr>
            <w:r>
              <w:rPr>
                <w:rFonts w:ascii="Arial" w:cs="Arial" w:eastAsia="Arial" w:hAnsi="Arial"/>
                <w:sz w:val="19"/>
                <w:szCs w:val="19"/>
                <w:b w:val="1"/>
                <w:bCs w:val="1"/>
                <w:color w:val="auto"/>
                <w:w w:val="98"/>
              </w:rPr>
              <w:t>per/RSF</w:t>
            </w:r>
          </w:p>
        </w:tc>
        <w:tc>
          <w:tcPr>
            <w:tcW w:w="3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920" w:type="dxa"/>
            <w:vAlign w:val="bottom"/>
            <w:tcBorders>
              <w:right w:val="single" w:sz="8" w:color="auto"/>
            </w:tcBorders>
            <w:gridSpan w:val="5"/>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90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320" w:type="dxa"/>
            <w:vAlign w:val="bottom"/>
            <w:tcBorders>
              <w:right w:val="single" w:sz="8" w:color="auto"/>
            </w:tcBorders>
            <w:gridSpan w:val="4"/>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0" w:type="dxa"/>
            <w:vAlign w:val="bottom"/>
            <w:tcBorders>
              <w:left w:val="single" w:sz="8" w:color="auto"/>
            </w:tcBorders>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(Months)</w:t>
            </w:r>
          </w:p>
        </w:tc>
        <w:tc>
          <w:tcPr>
            <w:tcW w:w="620" w:type="dxa"/>
            <w:vAlign w:val="bottom"/>
            <w:tcBorders>
              <w:right w:val="single" w:sz="8" w:color="auto"/>
            </w:tcBorders>
            <w:vMerge w:val="restart"/>
          </w:tcPr>
          <w:p>
            <w:pPr>
              <w:spacing w:after="0"/>
              <w:rPr>
                <w:sz w:val="11"/>
                <w:szCs w:val="11"/>
                <w:color w:val="auto"/>
              </w:rPr>
            </w:pPr>
          </w:p>
        </w:tc>
        <w:tc>
          <w:tcPr>
            <w:tcW w:w="400" w:type="dxa"/>
            <w:vAlign w:val="bottom"/>
            <w:vMerge w:val="continue"/>
          </w:tcPr>
          <w:p>
            <w:pPr>
              <w:spacing w:after="0"/>
              <w:rPr>
                <w:sz w:val="11"/>
                <w:szCs w:val="11"/>
                <w:color w:val="auto"/>
              </w:rPr>
            </w:pPr>
          </w:p>
        </w:tc>
        <w:tc>
          <w:tcPr>
            <w:tcW w:w="2320" w:type="dxa"/>
            <w:vAlign w:val="bottom"/>
            <w:tcBorders>
              <w:right w:val="single" w:sz="8" w:color="auto"/>
            </w:tcBorders>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20"/>
                <w:szCs w:val="20"/>
                <w:b w:val="1"/>
                <w:bCs w:val="1"/>
                <w:color w:val="auto"/>
              </w:rPr>
              <w:t>Basic Rent</w:t>
            </w:r>
          </w:p>
        </w:tc>
        <w:tc>
          <w:tcPr>
            <w:tcW w:w="380" w:type="dxa"/>
            <w:vAlign w:val="bottom"/>
          </w:tcPr>
          <w:p>
            <w:pPr>
              <w:spacing w:after="0"/>
              <w:rPr>
                <w:sz w:val="11"/>
                <w:szCs w:val="11"/>
                <w:color w:val="auto"/>
              </w:rPr>
            </w:pPr>
          </w:p>
        </w:tc>
        <w:tc>
          <w:tcPr>
            <w:tcW w:w="230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20"/>
                <w:szCs w:val="20"/>
                <w:b w:val="1"/>
                <w:bCs w:val="1"/>
                <w:color w:val="auto"/>
              </w:rPr>
              <w:t>Basic Rent</w:t>
            </w:r>
          </w:p>
        </w:tc>
        <w:tc>
          <w:tcPr>
            <w:tcW w:w="0" w:type="dxa"/>
            <w:vAlign w:val="bottom"/>
          </w:tcPr>
          <w:p>
            <w:pPr>
              <w:spacing w:after="0"/>
              <w:rPr>
                <w:sz w:val="1"/>
                <w:szCs w:val="1"/>
                <w:color w:val="auto"/>
              </w:rPr>
            </w:pPr>
          </w:p>
        </w:tc>
      </w:tr>
      <w:tr>
        <w:trPr>
          <w:trHeight w:val="115"/>
        </w:trPr>
        <w:tc>
          <w:tcPr>
            <w:tcW w:w="260" w:type="dxa"/>
            <w:vAlign w:val="bottom"/>
            <w:tcBorders>
              <w:left w:val="single" w:sz="8" w:color="auto"/>
            </w:tcBorders>
          </w:tcPr>
          <w:p>
            <w:pPr>
              <w:spacing w:after="0"/>
              <w:rPr>
                <w:sz w:val="10"/>
                <w:szCs w:val="10"/>
                <w:color w:val="auto"/>
              </w:rPr>
            </w:pPr>
          </w:p>
        </w:tc>
        <w:tc>
          <w:tcPr>
            <w:tcW w:w="1100" w:type="dxa"/>
            <w:vAlign w:val="bottom"/>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tcBorders>
              <w:right w:val="single" w:sz="8" w:color="auto"/>
            </w:tcBorders>
            <w:gridSpan w:val="6"/>
            <w:vMerge w:val="continue"/>
          </w:tcPr>
          <w:p>
            <w:pPr>
              <w:spacing w:after="0"/>
              <w:rPr>
                <w:sz w:val="10"/>
                <w:szCs w:val="10"/>
                <w:color w:val="auto"/>
              </w:rPr>
            </w:pPr>
          </w:p>
        </w:tc>
        <w:tc>
          <w:tcPr>
            <w:tcW w:w="380" w:type="dxa"/>
            <w:vAlign w:val="bottom"/>
          </w:tcPr>
          <w:p>
            <w:pPr>
              <w:spacing w:after="0"/>
              <w:rPr>
                <w:sz w:val="10"/>
                <w:szCs w:val="10"/>
                <w:color w:val="auto"/>
              </w:rPr>
            </w:pPr>
          </w:p>
        </w:tc>
        <w:tc>
          <w:tcPr>
            <w:tcW w:w="230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26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5"/>
              </w:rPr>
              <w:t>1 to 12*</w:t>
            </w:r>
          </w:p>
        </w:tc>
        <w:tc>
          <w:tcPr>
            <w:tcW w:w="1460" w:type="dxa"/>
            <w:vAlign w:val="bottom"/>
            <w:gridSpan w:val="3"/>
          </w:tcPr>
          <w:p>
            <w:pPr>
              <w:jc w:val="center"/>
              <w:ind w:left="641"/>
              <w:spacing w:after="0"/>
              <w:rPr>
                <w:sz w:val="20"/>
                <w:szCs w:val="20"/>
                <w:color w:val="auto"/>
              </w:rPr>
            </w:pPr>
            <w:r>
              <w:rPr>
                <w:rFonts w:ascii="Arial" w:cs="Arial" w:eastAsia="Arial" w:hAnsi="Arial"/>
                <w:sz w:val="20"/>
                <w:szCs w:val="20"/>
                <w:color w:val="auto"/>
                <w:w w:val="91"/>
              </w:rPr>
              <w:t>$46.57</w:t>
            </w:r>
          </w:p>
        </w:tc>
        <w:tc>
          <w:tcPr>
            <w:tcW w:w="3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940" w:type="dxa"/>
            <w:vAlign w:val="bottom"/>
            <w:gridSpan w:val="6"/>
          </w:tcPr>
          <w:p>
            <w:pPr>
              <w:jc w:val="right"/>
              <w:ind w:right="380"/>
              <w:spacing w:after="0"/>
              <w:rPr>
                <w:sz w:val="20"/>
                <w:szCs w:val="20"/>
                <w:color w:val="auto"/>
              </w:rPr>
            </w:pPr>
            <w:r>
              <w:rPr>
                <w:rFonts w:ascii="Arial" w:cs="Arial" w:eastAsia="Arial" w:hAnsi="Arial"/>
                <w:sz w:val="20"/>
                <w:szCs w:val="20"/>
                <w:color w:val="auto"/>
              </w:rPr>
              <w:t>$148,466.17</w:t>
            </w:r>
          </w:p>
        </w:tc>
        <w:tc>
          <w:tcPr>
            <w:tcW w:w="680" w:type="dxa"/>
            <w:vAlign w:val="bottom"/>
            <w:tcBorders>
              <w:right w:val="single" w:sz="8" w:color="auto"/>
            </w:tcBorders>
          </w:tcPr>
          <w:p>
            <w:pPr>
              <w:spacing w:after="0"/>
              <w:rPr>
                <w:sz w:val="24"/>
                <w:szCs w:val="24"/>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20"/>
                <w:szCs w:val="20"/>
                <w:color w:val="auto"/>
              </w:rPr>
              <w:t>$1,781,594.00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13 to 24</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$46.57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$148,466.17</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$1,781,594.00</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25 to 36</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$47.50</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$151,435.49</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$1,817,225.88</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37 to 48</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$48.45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$154,464.20</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$1,853,570.40</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49 to 60</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$49.42</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$157,553.48</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$1,890,641.81</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61 to 72</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$50.41</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$160,705.55</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$1,928,454.64</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73 to 84</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$51.41</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$163,918.64</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$1,967,023.73</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1"/>
              </w:rPr>
              <w:t>85 to 96</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$52.44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$167,197.02</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$2,006,364.21</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88"/>
              </w:rPr>
              <w:t>97 to 108</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$53.49</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$170,540.96</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$2,046,491.49</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0"/>
              </w:rPr>
              <w:t>109 to 120</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$54.56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$173,951.78</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$2,087,421.32</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0"/>
              </w:rPr>
              <w:t>121 to 132</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$55.65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$177,430.81</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$2,129,169.75</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0"/>
              </w:rPr>
              <w:t>133 to 144</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$56.77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$180,979.43</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$2,171,753.14</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0" w:type="dxa"/>
            <w:vAlign w:val="bottom"/>
            <w:tcBorders>
              <w:left w:val="single" w:sz="8" w:color="auto"/>
              <w:bottom w:val="single" w:sz="8" w:color="auto"/>
            </w:tcBorders>
          </w:tcPr>
          <w:p>
            <w:pPr>
              <w:spacing w:after="0"/>
              <w:rPr>
                <w:sz w:val="22"/>
                <w:szCs w:val="22"/>
                <w:color w:val="auto"/>
              </w:rPr>
            </w:pPr>
          </w:p>
        </w:tc>
        <w:tc>
          <w:tcPr>
            <w:tcW w:w="172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0"/>
              </w:rPr>
              <w:t>144 to 156</w:t>
            </w:r>
          </w:p>
        </w:tc>
        <w:tc>
          <w:tcPr>
            <w:tcW w:w="14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91"/>
              </w:rPr>
              <w:t>$57.90</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20"/>
                <w:szCs w:val="20"/>
                <w:color w:val="auto"/>
              </w:rPr>
              <w:t>$184,599.02</w:t>
            </w:r>
          </w:p>
        </w:tc>
        <w:tc>
          <w:tcPr>
            <w:tcW w:w="6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20"/>
                <w:szCs w:val="20"/>
                <w:color w:val="auto"/>
              </w:rPr>
              <w:t>$2,215,188.21</w:t>
            </w: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*Notwithstanding anything to the contrary contained herein, provided that Tenant is not then in default under the Lease beyond any applicable cure periods, the Fixed Basic Rent shall be partially abated during the first through the twelfth months of the Term (the “Abatement Period”) in a total amount of</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$1,415,546.00 (the “Abatement Amount”). The Abatement Amount shall be applied equally on a monthly pro-rata basis during the Abatement Period, such that the monthly Fixed Basic Rent during the Abatement Period shall be $30,504.00 (the “Abatement Fixed Basic Rent”). Tenant shall remain obligated to pay all Additional Rent accruing during the Abatement Period. If Tenant is in default beyond any applicable cure periods of its obligations hereunder during the Abatement Period, Fixed Basic Rent shall accrue at a rate in accordance with the schedule above.</w:t>
      </w:r>
    </w:p>
    <w:p>
      <w:pPr>
        <w:spacing w:after="0" w:line="185" w:lineRule="exact"/>
        <w:rPr>
          <w:sz w:val="20"/>
          <w:szCs w:val="20"/>
          <w:color w:val="auto"/>
        </w:rPr>
      </w:pPr>
    </w:p>
    <w:p>
      <w:pPr>
        <w:jc w:val="both"/>
        <w:ind w:left="820" w:hanging="657"/>
        <w:spacing w:after="0" w:line="213" w:lineRule="auto"/>
        <w:tabs>
          <w:tab w:leader="none" w:pos="809" w:val="left"/>
        </w:tabs>
        <w:numPr>
          <w:ilvl w:val="1"/>
          <w:numId w:val="67"/>
        </w:numPr>
        <w:rPr>
          <w:rFonts w:ascii="Arial" w:cs="Arial" w:eastAsia="Arial" w:hAnsi="Arial"/>
          <w:sz w:val="20"/>
          <w:szCs w:val="20"/>
          <w:color w:val="auto"/>
        </w:rPr>
      </w:pPr>
      <w:r>
        <w:rPr>
          <w:rFonts w:ascii="Arial" w:cs="Arial" w:eastAsia="Arial" w:hAnsi="Arial"/>
          <w:sz w:val="20"/>
          <w:szCs w:val="20"/>
          <w:color w:val="auto"/>
        </w:rPr>
        <w:t>“HVAC After Hour Charge” shall be Landlord’s actual costs to provide after-hours HVAC service to the Demised Premises (only applicable if Tenant is requesting HVAC services after Building Hours), subject to Section 4.2 of the Lease. The HVAC After Hour Charge is subject to increase from time to time to reflect the actual increase in utility costs from the utility provider for providing such after-hours HVAC service.</w:t>
      </w:r>
    </w:p>
    <w:p>
      <w:pPr>
        <w:spacing w:after="0" w:line="182" w:lineRule="exact"/>
        <w:rPr>
          <w:rFonts w:ascii="Arial" w:cs="Arial" w:eastAsia="Arial" w:hAnsi="Arial"/>
          <w:sz w:val="20"/>
          <w:szCs w:val="20"/>
          <w:color w:val="auto"/>
        </w:rPr>
      </w:pPr>
    </w:p>
    <w:p>
      <w:pPr>
        <w:jc w:val="both"/>
        <w:ind w:left="640" w:hanging="639"/>
        <w:spacing w:after="0" w:line="213" w:lineRule="auto"/>
        <w:tabs>
          <w:tab w:leader="none" w:pos="615" w:val="left"/>
        </w:tabs>
        <w:numPr>
          <w:ilvl w:val="0"/>
          <w:numId w:val="68"/>
        </w:numPr>
        <w:rPr>
          <w:rFonts w:ascii="Arial" w:cs="Arial" w:eastAsia="Arial" w:hAnsi="Arial"/>
          <w:sz w:val="20"/>
          <w:szCs w:val="20"/>
          <w:color w:val="auto"/>
        </w:rPr>
      </w:pPr>
      <w:r>
        <w:rPr>
          <w:rFonts w:ascii="Arial" w:cs="Arial" w:eastAsia="Arial" w:hAnsi="Arial"/>
          <w:sz w:val="20"/>
          <w:szCs w:val="20"/>
          <w:color w:val="auto"/>
        </w:rPr>
        <w:t>“Legal Requirements” means all present and future laws and ordinances of federal, state, municipal and county governments, and rules, regulations, orders and directives of departments, subdivisions, bureaus, agencies and offices of such governments, or any other governmental, public or quasi- public authorities having jurisdiction over the Building, and the directions of any public officer pursuant to law.</w:t>
      </w:r>
    </w:p>
    <w:p>
      <w:pPr>
        <w:sectPr>
          <w:pgSz w:w="11900" w:h="16838" w:orient="portrait"/>
          <w:cols w:equalWidth="0" w:num="1">
            <w:col w:w="10580"/>
          </w:cols>
          <w:pgMar w:left="740" w:top="1440" w:right="579" w:bottom="1440" w:gutter="0" w:footer="0" w:header="0"/>
        </w:sectPr>
      </w:pPr>
    </w:p>
    <w:bookmarkStart w:id="119" w:name="page120"/>
    <w:bookmarkEnd w:id="119"/>
    <w:p>
      <w:pPr>
        <w:jc w:val="both"/>
        <w:spacing w:after="0" w:line="213" w:lineRule="auto"/>
        <w:tabs>
          <w:tab w:leader="none" w:pos="615" w:val="left"/>
        </w:tabs>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line="195" w:lineRule="exact"/>
        <w:rPr>
          <w:sz w:val="20"/>
          <w:szCs w:val="20"/>
          <w:color w:val="auto"/>
        </w:rPr>
      </w:pPr>
    </w:p>
    <w:p>
      <w:pPr>
        <w:ind w:left="639" w:hanging="639"/>
        <w:spacing w:after="0"/>
        <w:tabs>
          <w:tab w:leader="none" w:pos="639" w:val="left"/>
        </w:tabs>
        <w:numPr>
          <w:ilvl w:val="0"/>
          <w:numId w:val="69"/>
        </w:numPr>
        <w:rPr>
          <w:rFonts w:ascii="Arial" w:cs="Arial" w:eastAsia="Arial" w:hAnsi="Arial"/>
          <w:sz w:val="20"/>
          <w:szCs w:val="20"/>
          <w:color w:val="auto"/>
        </w:rPr>
      </w:pPr>
      <w:r>
        <w:rPr>
          <w:rFonts w:ascii="Arial" w:cs="Arial" w:eastAsia="Arial" w:hAnsi="Arial"/>
          <w:sz w:val="20"/>
          <w:szCs w:val="20"/>
          <w:color w:val="auto"/>
        </w:rPr>
        <w:t>“Notice Address” shall mean the following:</w:t>
      </w:r>
    </w:p>
    <w:p>
      <w:pPr>
        <w:spacing w:after="0" w:line="190" w:lineRule="exact"/>
        <w:rPr>
          <w:rFonts w:ascii="Arial" w:cs="Arial" w:eastAsia="Arial" w:hAnsi="Arial"/>
          <w:sz w:val="20"/>
          <w:szCs w:val="20"/>
          <w:color w:val="auto"/>
        </w:rPr>
      </w:pPr>
    </w:p>
    <w:p>
      <w:pPr>
        <w:ind w:left="639"/>
        <w:spacing w:after="0"/>
        <w:rPr>
          <w:rFonts w:ascii="Arial" w:cs="Arial" w:eastAsia="Arial" w:hAnsi="Arial"/>
          <w:sz w:val="20"/>
          <w:szCs w:val="20"/>
          <w:color w:val="auto"/>
        </w:rPr>
      </w:pPr>
      <w:r>
        <w:rPr>
          <w:rFonts w:ascii="Arial" w:cs="Arial" w:eastAsia="Arial" w:hAnsi="Arial"/>
          <w:sz w:val="20"/>
          <w:szCs w:val="20"/>
          <w:color w:val="auto"/>
        </w:rPr>
        <w:t>If to Tenant:  Duolingo Inc.</w:t>
      </w:r>
    </w:p>
    <w:p>
      <w:pPr>
        <w:ind w:left="1939"/>
        <w:spacing w:after="0"/>
        <w:rPr>
          <w:rFonts w:ascii="Arial" w:cs="Arial" w:eastAsia="Arial" w:hAnsi="Arial"/>
          <w:sz w:val="20"/>
          <w:szCs w:val="20"/>
          <w:color w:val="auto"/>
        </w:rPr>
      </w:pPr>
      <w:r>
        <w:rPr>
          <w:rFonts w:ascii="Arial" w:cs="Arial" w:eastAsia="Arial" w:hAnsi="Arial"/>
          <w:sz w:val="20"/>
          <w:szCs w:val="20"/>
          <w:color w:val="auto"/>
        </w:rPr>
        <w:t>141 S. St. Clair Street Pittsburgh, PA 15206</w:t>
      </w:r>
    </w:p>
    <w:p>
      <w:pPr>
        <w:spacing w:after="0" w:line="186" w:lineRule="exact"/>
        <w:rPr>
          <w:rFonts w:ascii="Arial" w:cs="Arial" w:eastAsia="Arial" w:hAnsi="Arial"/>
          <w:sz w:val="20"/>
          <w:szCs w:val="20"/>
          <w:color w:val="auto"/>
        </w:rPr>
      </w:pPr>
    </w:p>
    <w:p>
      <w:pPr>
        <w:ind w:left="1939" w:right="7220" w:hanging="1296"/>
        <w:spacing w:after="0" w:line="244" w:lineRule="auto"/>
        <w:rPr>
          <w:rFonts w:ascii="Arial" w:cs="Arial" w:eastAsia="Arial" w:hAnsi="Arial"/>
          <w:sz w:val="20"/>
          <w:szCs w:val="20"/>
          <w:color w:val="auto"/>
        </w:rPr>
      </w:pPr>
      <w:r>
        <w:rPr>
          <w:rFonts w:ascii="Arial" w:cs="Arial" w:eastAsia="Arial" w:hAnsi="Arial"/>
          <w:sz w:val="18"/>
          <w:szCs w:val="18"/>
          <w:color w:val="auto"/>
        </w:rPr>
        <w:t>With a copy to: K&amp;L Gates LLP 210 Sixth Avenue</w:t>
      </w:r>
    </w:p>
    <w:p>
      <w:pPr>
        <w:ind w:left="1939"/>
        <w:spacing w:after="0"/>
        <w:rPr>
          <w:rFonts w:ascii="Arial" w:cs="Arial" w:eastAsia="Arial" w:hAnsi="Arial"/>
          <w:sz w:val="20"/>
          <w:szCs w:val="20"/>
          <w:color w:val="auto"/>
        </w:rPr>
      </w:pPr>
      <w:r>
        <w:rPr>
          <w:rFonts w:ascii="Arial" w:cs="Arial" w:eastAsia="Arial" w:hAnsi="Arial"/>
          <w:sz w:val="20"/>
          <w:szCs w:val="20"/>
          <w:color w:val="auto"/>
        </w:rPr>
        <w:t>Pittsburgh, PA 15222 Attn: David Lehman</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639"/>
        <w:spacing w:after="0"/>
        <w:rPr>
          <w:rFonts w:ascii="Arial" w:cs="Arial" w:eastAsia="Arial" w:hAnsi="Arial"/>
          <w:sz w:val="20"/>
          <w:szCs w:val="20"/>
          <w:color w:val="auto"/>
        </w:rPr>
      </w:pPr>
      <w:r>
        <w:rPr>
          <w:rFonts w:ascii="Arial" w:cs="Arial" w:eastAsia="Arial" w:hAnsi="Arial"/>
          <w:sz w:val="20"/>
          <w:szCs w:val="20"/>
          <w:color w:val="auto"/>
        </w:rPr>
        <w:t>If to Landlord: 5704 Penn Office, LLC</w:t>
      </w:r>
    </w:p>
    <w:p>
      <w:pPr>
        <w:ind w:left="1939" w:right="4100"/>
        <w:spacing w:after="0" w:line="197" w:lineRule="auto"/>
        <w:rPr>
          <w:rFonts w:ascii="Arial" w:cs="Arial" w:eastAsia="Arial" w:hAnsi="Arial"/>
          <w:sz w:val="20"/>
          <w:szCs w:val="20"/>
          <w:color w:val="auto"/>
        </w:rPr>
      </w:pPr>
      <w:r>
        <w:rPr>
          <w:rFonts w:ascii="Arial" w:cs="Arial" w:eastAsia="Arial" w:hAnsi="Arial"/>
          <w:sz w:val="20"/>
          <w:szCs w:val="20"/>
          <w:color w:val="auto"/>
        </w:rPr>
        <w:t>c/o LG Realty Advisors, Inc. 535 Smithfield Street, Suite 900</w:t>
      </w:r>
    </w:p>
    <w:p>
      <w:pPr>
        <w:ind w:left="1939"/>
        <w:spacing w:after="0"/>
        <w:rPr>
          <w:rFonts w:ascii="Arial" w:cs="Arial" w:eastAsia="Arial" w:hAnsi="Arial"/>
          <w:sz w:val="20"/>
          <w:szCs w:val="20"/>
          <w:color w:val="auto"/>
        </w:rPr>
      </w:pPr>
      <w:r>
        <w:rPr>
          <w:rFonts w:ascii="Arial" w:cs="Arial" w:eastAsia="Arial" w:hAnsi="Arial"/>
          <w:sz w:val="20"/>
          <w:szCs w:val="20"/>
          <w:color w:val="auto"/>
        </w:rPr>
        <w:t>Pittsburgh, PA 15222</w:t>
      </w:r>
    </w:p>
    <w:p>
      <w:pPr>
        <w:spacing w:after="0" w:line="199" w:lineRule="exact"/>
        <w:rPr>
          <w:rFonts w:ascii="Arial" w:cs="Arial" w:eastAsia="Arial" w:hAnsi="Arial"/>
          <w:sz w:val="20"/>
          <w:szCs w:val="20"/>
          <w:color w:val="auto"/>
        </w:rPr>
      </w:pPr>
    </w:p>
    <w:p>
      <w:pPr>
        <w:ind w:left="1939" w:right="6020" w:hanging="1296"/>
        <w:spacing w:after="0" w:line="226" w:lineRule="auto"/>
        <w:rPr>
          <w:rFonts w:ascii="Arial" w:cs="Arial" w:eastAsia="Arial" w:hAnsi="Arial"/>
          <w:sz w:val="20"/>
          <w:szCs w:val="20"/>
          <w:color w:val="auto"/>
        </w:rPr>
      </w:pPr>
      <w:r>
        <w:rPr>
          <w:rFonts w:ascii="Arial" w:cs="Arial" w:eastAsia="Arial" w:hAnsi="Arial"/>
          <w:sz w:val="20"/>
          <w:szCs w:val="20"/>
          <w:color w:val="auto"/>
        </w:rPr>
        <w:t>With a copy to: Goldberg, Kamin &amp; Garvin, LLP 1806 Frick Building</w:t>
      </w:r>
    </w:p>
    <w:p>
      <w:pPr>
        <w:spacing w:after="0" w:line="1" w:lineRule="exact"/>
        <w:rPr>
          <w:rFonts w:ascii="Arial" w:cs="Arial" w:eastAsia="Arial" w:hAnsi="Arial"/>
          <w:sz w:val="20"/>
          <w:szCs w:val="20"/>
          <w:color w:val="auto"/>
        </w:rPr>
      </w:pPr>
    </w:p>
    <w:p>
      <w:pPr>
        <w:ind w:left="1939"/>
        <w:spacing w:after="0" w:line="197" w:lineRule="auto"/>
        <w:rPr>
          <w:rFonts w:ascii="Arial" w:cs="Arial" w:eastAsia="Arial" w:hAnsi="Arial"/>
          <w:sz w:val="20"/>
          <w:szCs w:val="20"/>
          <w:color w:val="auto"/>
        </w:rPr>
      </w:pPr>
      <w:r>
        <w:rPr>
          <w:rFonts w:ascii="Arial" w:cs="Arial" w:eastAsia="Arial" w:hAnsi="Arial"/>
          <w:sz w:val="20"/>
          <w:szCs w:val="20"/>
          <w:color w:val="auto"/>
        </w:rPr>
        <w:t>437 Grant Street</w:t>
      </w:r>
    </w:p>
    <w:p>
      <w:pPr>
        <w:ind w:left="1939"/>
        <w:spacing w:after="0"/>
        <w:rPr>
          <w:rFonts w:ascii="Arial" w:cs="Arial" w:eastAsia="Arial" w:hAnsi="Arial"/>
          <w:sz w:val="20"/>
          <w:szCs w:val="20"/>
          <w:color w:val="auto"/>
        </w:rPr>
      </w:pPr>
      <w:r>
        <w:rPr>
          <w:rFonts w:ascii="Arial" w:cs="Arial" w:eastAsia="Arial" w:hAnsi="Arial"/>
          <w:sz w:val="20"/>
          <w:szCs w:val="20"/>
          <w:color w:val="auto"/>
        </w:rPr>
        <w:t>Pittsburgh, PA 15219 Attn: Ryan M. Wotus, Esq.</w:t>
      </w:r>
    </w:p>
    <w:p>
      <w:pPr>
        <w:spacing w:after="0" w:line="186" w:lineRule="exact"/>
        <w:rPr>
          <w:rFonts w:ascii="Arial" w:cs="Arial" w:eastAsia="Arial" w:hAnsi="Arial"/>
          <w:sz w:val="20"/>
          <w:szCs w:val="20"/>
          <w:color w:val="auto"/>
        </w:rPr>
      </w:pPr>
    </w:p>
    <w:p>
      <w:pPr>
        <w:jc w:val="both"/>
        <w:ind w:left="639" w:hanging="639"/>
        <w:spacing w:after="0" w:line="218" w:lineRule="auto"/>
        <w:tabs>
          <w:tab w:leader="none" w:pos="631" w:val="left"/>
        </w:tabs>
        <w:numPr>
          <w:ilvl w:val="0"/>
          <w:numId w:val="69"/>
        </w:numPr>
        <w:rPr>
          <w:rFonts w:ascii="Arial" w:cs="Arial" w:eastAsia="Arial" w:hAnsi="Arial"/>
          <w:sz w:val="20"/>
          <w:szCs w:val="20"/>
          <w:color w:val="auto"/>
        </w:rPr>
      </w:pPr>
      <w:r>
        <w:rPr>
          <w:rFonts w:ascii="Arial" w:cs="Arial" w:eastAsia="Arial" w:hAnsi="Arial"/>
          <w:sz w:val="20"/>
          <w:szCs w:val="20"/>
          <w:color w:val="auto"/>
        </w:rPr>
        <w:t>“Parking Spaces” means a total of sixty-five (65) unreserved parking spaces located on Level 3 through Level 6 of the Office Unit parking garage. During the Term, sixty-five (65) access cards shall be made available for Tenant’s exclusive use for access to the parking garage of the Office Unit.</w:t>
      </w:r>
    </w:p>
    <w:p>
      <w:pPr>
        <w:spacing w:after="0" w:line="183" w:lineRule="exact"/>
        <w:rPr>
          <w:rFonts w:ascii="Arial" w:cs="Arial" w:eastAsia="Arial" w:hAnsi="Arial"/>
          <w:sz w:val="20"/>
          <w:szCs w:val="20"/>
          <w:color w:val="auto"/>
        </w:rPr>
      </w:pPr>
    </w:p>
    <w:p>
      <w:pPr>
        <w:ind w:left="639" w:hanging="639"/>
        <w:spacing w:after="0" w:line="229" w:lineRule="auto"/>
        <w:tabs>
          <w:tab w:leader="none" w:pos="636" w:val="left"/>
        </w:tabs>
        <w:numPr>
          <w:ilvl w:val="0"/>
          <w:numId w:val="69"/>
        </w:numPr>
        <w:rPr>
          <w:rFonts w:ascii="Arial" w:cs="Arial" w:eastAsia="Arial" w:hAnsi="Arial"/>
          <w:sz w:val="20"/>
          <w:szCs w:val="20"/>
          <w:color w:val="auto"/>
        </w:rPr>
      </w:pPr>
      <w:r>
        <w:rPr>
          <w:rFonts w:ascii="Arial" w:cs="Arial" w:eastAsia="Arial" w:hAnsi="Arial"/>
          <w:sz w:val="20"/>
          <w:szCs w:val="20"/>
          <w:color w:val="auto"/>
        </w:rPr>
        <w:t>“Permitted Use” means general office use, and purposes incident and ancillary thereto, consistent with a class A office building and for no other purposes.</w:t>
      </w:r>
    </w:p>
    <w:p>
      <w:pPr>
        <w:spacing w:after="0" w:line="195" w:lineRule="exact"/>
        <w:rPr>
          <w:rFonts w:ascii="Arial" w:cs="Arial" w:eastAsia="Arial" w:hAnsi="Arial"/>
          <w:sz w:val="20"/>
          <w:szCs w:val="20"/>
          <w:color w:val="auto"/>
        </w:rPr>
      </w:pPr>
    </w:p>
    <w:p>
      <w:pPr>
        <w:ind w:left="639" w:hanging="639"/>
        <w:spacing w:after="0" w:line="229" w:lineRule="auto"/>
        <w:tabs>
          <w:tab w:leader="none" w:pos="618" w:val="left"/>
        </w:tabs>
        <w:numPr>
          <w:ilvl w:val="0"/>
          <w:numId w:val="69"/>
        </w:numPr>
        <w:rPr>
          <w:rFonts w:ascii="Arial" w:cs="Arial" w:eastAsia="Arial" w:hAnsi="Arial"/>
          <w:sz w:val="20"/>
          <w:szCs w:val="20"/>
          <w:color w:val="auto"/>
        </w:rPr>
      </w:pPr>
      <w:r>
        <w:rPr>
          <w:rFonts w:ascii="Arial" w:cs="Arial" w:eastAsia="Arial" w:hAnsi="Arial"/>
          <w:sz w:val="20"/>
          <w:szCs w:val="20"/>
          <w:color w:val="auto"/>
        </w:rPr>
        <w:t>“Property” means the Office Unit, the Common Areas, the land upon which the same are located, along with all improvements thereon, including all parking facilities located at 151 S. St. Clair Street.</w:t>
      </w:r>
    </w:p>
    <w:p>
      <w:pPr>
        <w:spacing w:after="0" w:line="195" w:lineRule="exact"/>
        <w:rPr>
          <w:rFonts w:ascii="Arial" w:cs="Arial" w:eastAsia="Arial" w:hAnsi="Arial"/>
          <w:sz w:val="20"/>
          <w:szCs w:val="20"/>
          <w:color w:val="auto"/>
        </w:rPr>
      </w:pPr>
    </w:p>
    <w:p>
      <w:pPr>
        <w:jc w:val="both"/>
        <w:ind w:left="639" w:hanging="639"/>
        <w:spacing w:after="0" w:line="228" w:lineRule="auto"/>
        <w:tabs>
          <w:tab w:leader="none" w:pos="6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“Office Unit” means that certain condominium unit identified as the “Office Unit” in the Declaration of Condominium of Liberty East, A Condominium, as recorded in the Allegheny County Department of Real Estate in Deed Book Volume , page</w:t>
      </w:r>
    </w:p>
    <w:p>
      <w:pPr>
        <w:ind w:left="739" w:hanging="90"/>
        <w:spacing w:after="0"/>
        <w:tabs>
          <w:tab w:leader="none" w:pos="739" w:val="left"/>
        </w:tabs>
        <w:numPr>
          <w:ilvl w:val="1"/>
          <w:numId w:val="69"/>
        </w:numPr>
        <w:rPr>
          <w:rFonts w:ascii="Arial" w:cs="Arial" w:eastAsia="Arial" w:hAnsi="Arial"/>
          <w:sz w:val="20"/>
          <w:szCs w:val="20"/>
          <w:color w:val="auto"/>
        </w:rPr>
      </w:pPr>
      <w:r>
        <w:rPr>
          <w:rFonts w:ascii="Arial" w:cs="Arial" w:eastAsia="Arial" w:hAnsi="Arial"/>
          <w:sz w:val="20"/>
          <w:szCs w:val="20"/>
          <w:color w:val="auto"/>
        </w:rPr>
        <w:t>including all improvement made therein.</w:t>
      </w:r>
    </w:p>
    <w:p>
      <w:pPr>
        <w:spacing w:after="0" w:line="186" w:lineRule="exact"/>
        <w:rPr>
          <w:rFonts w:ascii="Arial" w:cs="Arial" w:eastAsia="Arial" w:hAnsi="Arial"/>
          <w:sz w:val="20"/>
          <w:szCs w:val="20"/>
          <w:color w:val="auto"/>
        </w:rPr>
      </w:pPr>
    </w:p>
    <w:p>
      <w:pPr>
        <w:ind w:left="619" w:hanging="619"/>
        <w:spacing w:after="0"/>
        <w:tabs>
          <w:tab w:leader="none" w:pos="619" w:val="left"/>
        </w:tabs>
        <w:numPr>
          <w:ilvl w:val="0"/>
          <w:numId w:val="69"/>
        </w:numPr>
        <w:rPr>
          <w:rFonts w:ascii="Arial" w:cs="Arial" w:eastAsia="Arial" w:hAnsi="Arial"/>
          <w:sz w:val="20"/>
          <w:szCs w:val="20"/>
          <w:color w:val="auto"/>
        </w:rPr>
      </w:pPr>
      <w:r>
        <w:rPr>
          <w:rFonts w:ascii="Arial" w:cs="Arial" w:eastAsia="Arial" w:hAnsi="Arial"/>
          <w:sz w:val="20"/>
          <w:szCs w:val="20"/>
          <w:color w:val="auto"/>
        </w:rPr>
        <w:t>“State” means the Commonwealth of Pennsylvania.</w:t>
      </w:r>
    </w:p>
    <w:p>
      <w:pPr>
        <w:spacing w:after="0" w:line="202" w:lineRule="exact"/>
        <w:rPr>
          <w:rFonts w:ascii="Arial" w:cs="Arial" w:eastAsia="Arial" w:hAnsi="Arial"/>
          <w:sz w:val="20"/>
          <w:szCs w:val="20"/>
          <w:color w:val="auto"/>
        </w:rPr>
      </w:pPr>
    </w:p>
    <w:p>
      <w:pPr>
        <w:ind w:left="619" w:hanging="619"/>
        <w:spacing w:after="0"/>
        <w:tabs>
          <w:tab w:leader="none" w:pos="61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“Tenant’s Proportionate Share” means and is agreed and deemed to be 15.16% for the purposes of this Lease.</w:t>
      </w:r>
    </w:p>
    <w:p>
      <w:pPr>
        <w:spacing w:after="0" w:line="202" w:lineRule="exact"/>
        <w:rPr>
          <w:rFonts w:ascii="Arial" w:cs="Arial" w:eastAsia="Arial" w:hAnsi="Arial"/>
          <w:sz w:val="20"/>
          <w:szCs w:val="20"/>
          <w:color w:val="auto"/>
        </w:rPr>
      </w:pPr>
    </w:p>
    <w:p>
      <w:pPr>
        <w:ind w:left="639" w:hanging="639"/>
        <w:spacing w:after="0" w:line="229" w:lineRule="auto"/>
        <w:tabs>
          <w:tab w:leader="none" w:pos="62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“Term” means the period of time beginning on the Commencement Date and ending on the Expiration Date, unless extended as provided herein.</w:t>
      </w:r>
    </w:p>
    <w:p>
      <w:pPr>
        <w:spacing w:after="0" w:line="157" w:lineRule="exact"/>
        <w:rPr>
          <w:rFonts w:ascii="Arial" w:cs="Arial" w:eastAsia="Arial" w:hAnsi="Arial"/>
          <w:sz w:val="20"/>
          <w:szCs w:val="20"/>
          <w:color w:val="auto"/>
        </w:rPr>
      </w:pPr>
    </w:p>
    <w:p>
      <w:pPr>
        <w:ind w:left="619" w:hanging="619"/>
        <w:spacing w:after="0"/>
        <w:tabs>
          <w:tab w:leader="none" w:pos="619" w:val="left"/>
        </w:tabs>
        <w:numPr>
          <w:ilvl w:val="0"/>
          <w:numId w:val="69"/>
        </w:numPr>
        <w:rPr>
          <w:rFonts w:ascii="Arial" w:cs="Arial" w:eastAsia="Arial" w:hAnsi="Arial"/>
          <w:sz w:val="20"/>
          <w:szCs w:val="20"/>
          <w:color w:val="auto"/>
        </w:rPr>
      </w:pPr>
      <w:r>
        <w:rPr>
          <w:rFonts w:ascii="Arial" w:cs="Arial" w:eastAsia="Arial" w:hAnsi="Arial"/>
          <w:sz w:val="20"/>
          <w:szCs w:val="20"/>
          <w:color w:val="auto"/>
        </w:rPr>
        <w:t>“Brokers”: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6384290</wp:posOffset>
            </wp:positionH>
            <wp:positionV relativeFrom="paragraph">
              <wp:posOffset>-1336040</wp:posOffset>
            </wp:positionV>
            <wp:extent cx="31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1299"/>
        <w:spacing w:after="0" w:line="219" w:lineRule="auto"/>
        <w:tabs>
          <w:tab w:leader="none" w:pos="3159" w:val="left"/>
        </w:tabs>
        <w:rPr>
          <w:sz w:val="20"/>
          <w:szCs w:val="20"/>
          <w:color w:val="auto"/>
        </w:rPr>
      </w:pPr>
      <w:r>
        <w:rPr>
          <w:rFonts w:ascii="Arial" w:cs="Arial" w:eastAsia="Arial" w:hAnsi="Arial"/>
          <w:sz w:val="20"/>
          <w:szCs w:val="20"/>
          <w:color w:val="auto"/>
        </w:rPr>
        <w:t>“Landlord’s Broker”:</w:t>
      </w:r>
      <w:r>
        <w:rPr>
          <w:sz w:val="20"/>
          <w:szCs w:val="20"/>
          <w:color w:val="auto"/>
        </w:rPr>
        <w:tab/>
      </w:r>
      <w:r>
        <w:rPr>
          <w:rFonts w:ascii="Arial" w:cs="Arial" w:eastAsia="Arial" w:hAnsi="Arial"/>
          <w:sz w:val="18"/>
          <w:szCs w:val="18"/>
          <w:color w:val="auto"/>
        </w:rPr>
        <w:t>“Tenant’s Broker”:</w:t>
      </w:r>
    </w:p>
    <w:p>
      <w:pPr>
        <w:ind w:left="1399"/>
        <w:spacing w:after="0"/>
        <w:tabs>
          <w:tab w:leader="none" w:pos="2499" w:val="left"/>
        </w:tabs>
        <w:rPr>
          <w:sz w:val="20"/>
          <w:szCs w:val="20"/>
          <w:color w:val="auto"/>
        </w:rPr>
      </w:pPr>
      <w:r>
        <w:rPr>
          <w:rFonts w:ascii="Arial" w:cs="Arial" w:eastAsia="Arial" w:hAnsi="Arial"/>
          <w:sz w:val="20"/>
          <w:szCs w:val="20"/>
          <w:color w:val="auto"/>
        </w:rPr>
        <w:t>CBRE, Inc.</w:t>
      </w:r>
      <w:r>
        <w:rPr>
          <w:sz w:val="20"/>
          <w:szCs w:val="20"/>
          <w:color w:val="auto"/>
        </w:rPr>
        <w:tab/>
      </w:r>
      <w:r>
        <w:rPr>
          <w:rFonts w:ascii="Arial" w:cs="Arial" w:eastAsia="Arial" w:hAnsi="Arial"/>
          <w:sz w:val="16"/>
          <w:szCs w:val="16"/>
          <w:color w:val="auto"/>
        </w:rPr>
        <w:t>None</w:t>
      </w:r>
    </w:p>
    <w:p>
      <w:pPr>
        <w:sectPr>
          <w:pgSz w:w="11900" w:h="16838" w:orient="portrait"/>
          <w:cols w:equalWidth="0" w:num="1">
            <w:col w:w="10579"/>
          </w:cols>
          <w:pgMar w:left="741" w:top="1440" w:right="579" w:bottom="1440" w:gutter="0" w:footer="0" w:header="0"/>
        </w:sectPr>
      </w:pPr>
    </w:p>
    <w:bookmarkStart w:id="121" w:name="page122"/>
    <w:bookmarkEnd w:id="121"/>
    <w:p>
      <w:pPr>
        <w:spacing w:after="0" w:line="200" w:lineRule="exact"/>
        <w:rPr>
          <w:sz w:val="20"/>
          <w:szCs w:val="20"/>
          <w:color w:val="auto"/>
        </w:rPr>
      </w:pPr>
    </w:p>
    <w:p>
      <w:pPr>
        <w:spacing w:after="0" w:line="246" w:lineRule="exact"/>
        <w:rPr>
          <w:sz w:val="20"/>
          <w:szCs w:val="20"/>
          <w:color w:val="auto"/>
        </w:rPr>
      </w:pPr>
    </w:p>
    <w:p>
      <w:pPr>
        <w:ind w:left="640" w:hanging="639"/>
        <w:spacing w:after="0"/>
        <w:tabs>
          <w:tab w:leader="none" w:pos="64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LEASING AGREEMENT.</w:t>
      </w:r>
    </w:p>
    <w:p>
      <w:pPr>
        <w:spacing w:after="0" w:line="2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Grant of Lease</w:t>
      </w:r>
      <w:r>
        <w:rPr>
          <w:rFonts w:ascii="Arial" w:cs="Arial" w:eastAsia="Arial" w:hAnsi="Arial"/>
          <w:sz w:val="19"/>
          <w:szCs w:val="19"/>
          <w:color w:val="auto"/>
        </w:rPr>
        <w:t>. Landlord, in consideration of the Fixed Basic Rent and any Additional Rent to be paid and the other covenants and agreements to be performed by Tenant pursuant to the provisions hereof, does hereby lease, demise and let unto Tenant the Premises located in the Office Unit commencing as of the Commencement Date and ending on the Expiration Date, unless sooner terminated as herein provided, together with certain rights to the Common Areas.</w:t>
      </w:r>
    </w:p>
    <w:p>
      <w:pPr>
        <w:spacing w:after="0" w:line="18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 of Lease</w:t>
      </w:r>
      <w:r>
        <w:rPr>
          <w:rFonts w:ascii="Arial" w:cs="Arial" w:eastAsia="Arial" w:hAnsi="Arial"/>
          <w:sz w:val="18"/>
          <w:szCs w:val="18"/>
          <w:color w:val="auto"/>
        </w:rPr>
        <w:t xml:space="preserve">. The Term of this Lease and Tenant’s obligation to pay Fixed Basic Rent and Additional Rent hereunder shall commence on the Commencement Date. The Term of this Lease shall expire on the Expiration Date, unless earlier terminated as provided herein. After the commencement of the Term, Tenant and Landlord shall promptly execute a commencement date agreement setting forth the actual Commencement Date and Expiration Date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failure of either party to execute or deliver the commencement date agreement shall not in any way reduce or modify the respective obligations of Tenant and Landlord hereunder. In the event that the Tenant Improvements (as such term is defined in Section 21 hereof) are completed prior to the Commencement Date, Tenant shall be permitted to commence occupancy and business operations within the Premises upon the completion of the Tenant Improvements until the Commencement Date without any obligation to pay Rent during such period (the “Early Access Period”). All other terms of this Lease shall be applicable during the Early Access Period, and Tenant shall be responsible for the cost of services requested by Tenant (e.g., after hours HVAC service) plus the cost of electricity charges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attached hereto.</w:t>
      </w:r>
    </w:p>
    <w:p>
      <w:pPr>
        <w:spacing w:after="0" w:line="262" w:lineRule="exact"/>
        <w:rPr>
          <w:sz w:val="20"/>
          <w:szCs w:val="20"/>
          <w:color w:val="auto"/>
        </w:rPr>
      </w:pPr>
    </w:p>
    <w:p>
      <w:pPr>
        <w:ind w:left="640" w:hanging="639"/>
        <w:spacing w:after="0"/>
        <w:tabs>
          <w:tab w:leader="none" w:pos="64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RENT.</w:t>
      </w:r>
    </w:p>
    <w:p>
      <w:pPr>
        <w:spacing w:after="0" w:line="22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Fixed Basic Rent</w:t>
      </w:r>
      <w:r>
        <w:rPr>
          <w:rFonts w:ascii="Arial" w:cs="Arial" w:eastAsia="Arial" w:hAnsi="Arial"/>
          <w:sz w:val="20"/>
          <w:szCs w:val="20"/>
          <w:color w:val="auto"/>
        </w:rPr>
        <w:t>. Tenant shall pay to Landlord at the management office of the Building, or to such other person or such other place as directed from time to time by written notice to Tenant from Landlord or by method of electric funds transfer (EFT), without demand, notice, offset or deduction, the Fixed Basic Rent. Fixed Basic Rent shall be payable in equal monthly installments in advance on the first day of each calendar month during the Term without demand. Fixed Basic Rent shall be prorated for partial months within the Term.</w:t>
      </w:r>
    </w:p>
    <w:p>
      <w:pPr>
        <w:spacing w:after="0" w:line="18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Rental Payments</w:t>
      </w:r>
      <w:r>
        <w:rPr>
          <w:rFonts w:ascii="Arial" w:cs="Arial" w:eastAsia="Arial" w:hAnsi="Arial"/>
          <w:sz w:val="19"/>
          <w:szCs w:val="19"/>
          <w:color w:val="auto"/>
        </w:rPr>
        <w:t>. All sums paid by Tenant hereunder shall be first credited to any Fixed Basic Rent due and then to any Additional Rent due (and allocated among any different items of Additional Rent as Landlord may determine). All payments of Rent shall be in lawful money of the United States of America. No acceptance by Landlord of a lesser sum than the Rent then due shall be deemed to be other than on account of the earliest amount of such Rent due. No endorsement or statement on any check or any letter accompanying any check or payment of Rent shall be deemed an accord and satisfaction or compromise and settlement, and Landlord may accept such check or payment without prejudice to Landlord’s right to recover the balance of such payments due or to pursue any other remedy as provided in this Lease.</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Partial Month</w:t>
      </w:r>
      <w:r>
        <w:rPr>
          <w:rFonts w:ascii="Arial" w:cs="Arial" w:eastAsia="Arial" w:hAnsi="Arial"/>
          <w:sz w:val="18"/>
          <w:szCs w:val="18"/>
          <w:color w:val="auto"/>
        </w:rPr>
        <w:t>. If the Term of this Lease begins or ends on a day other than the first or last day of a calendar month, respectively, Fixed Basic Rent payable on account of such calendar month shall be prorated (on the basis of the number of days during such calendar month that fall within the Term of this Lease and the actual number of days in such month) and, as to any partial month in which the Commencement Date occurs, shall be payable, in advance, on the Commencement Date.</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Operating Expenses</w:t>
      </w:r>
      <w:r>
        <w:rPr>
          <w:rFonts w:ascii="Arial" w:cs="Arial" w:eastAsia="Arial" w:hAnsi="Arial"/>
          <w:sz w:val="20"/>
          <w:szCs w:val="20"/>
          <w:color w:val="auto"/>
        </w:rPr>
        <w:t xml:space="preserve">. Commencing on the Commencement Date, Tenant shall pay electricity charges in accordance with </w:t>
      </w:r>
      <w:r>
        <w:rPr>
          <w:rFonts w:ascii="Arial" w:cs="Arial" w:eastAsia="Arial" w:hAnsi="Arial"/>
          <w:sz w:val="20"/>
          <w:szCs w:val="20"/>
          <w:u w:val="single" w:color="auto"/>
          <w:color w:val="auto"/>
        </w:rPr>
        <w:t>Exhibit B</w:t>
      </w:r>
      <w:r>
        <w:rPr>
          <w:rFonts w:ascii="Arial" w:cs="Arial" w:eastAsia="Arial" w:hAnsi="Arial"/>
          <w:sz w:val="20"/>
          <w:szCs w:val="20"/>
          <w:color w:val="auto"/>
        </w:rPr>
        <w:t>. Commencing on January 1, 2024, Tenant shall pay to</w:t>
      </w:r>
    </w:p>
    <w:p>
      <w:pPr>
        <w:sectPr>
          <w:pgSz w:w="11900" w:h="16838" w:orient="portrait"/>
          <w:cols w:equalWidth="0" w:num="1">
            <w:col w:w="10580"/>
          </w:cols>
          <w:pgMar w:left="740" w:top="1440" w:right="579" w:bottom="1440" w:gutter="0" w:footer="0" w:header="0"/>
        </w:sectPr>
      </w:pPr>
    </w:p>
    <w:bookmarkStart w:id="122" w:name="page123"/>
    <w:bookmarkEnd w:id="122"/>
    <w:p>
      <w:pPr>
        <w:jc w:val="both"/>
        <w:spacing w:after="0" w:line="210" w:lineRule="auto"/>
        <w:rPr>
          <w:sz w:val="20"/>
          <w:szCs w:val="20"/>
          <w:color w:val="auto"/>
        </w:rPr>
      </w:pPr>
      <w:r>
        <w:rPr>
          <w:rFonts w:ascii="Arial" w:cs="Arial" w:eastAsia="Arial" w:hAnsi="Arial"/>
          <w:sz w:val="20"/>
          <w:szCs w:val="20"/>
          <w:color w:val="auto"/>
        </w:rPr>
        <w:t xml:space="preserve">Landlord, as Additional Rent, Tenant’s Proportionate Share of the amount by which Operating Expenses (defined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for any year during the Term exceed the Operating Expenses for the Base Year (defined in Section 1.B), with such amount to be paid by Tenant in equal monthly installments pursuant to Landlord’s estimate, as further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To the extent applicable, Tenant’s Proportionate Share of Operating Expenses shall be reduced proportionately to correspond to the duration of periods less than a Calendar Year.</w:t>
      </w:r>
    </w:p>
    <w:p>
      <w:pPr>
        <w:spacing w:after="0" w:line="18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From the Commencement Date through Calendar Year 2024, Landlord shall use commercially reasonable efforts to efficiently manage Operating Expenses for the Office Unit, however, during such period there shall be no cap on any increase in Operating Expenses. Landlord agrees that commencing as of Calendar Year 2025 (the “Capped Costs Base Year”), Tenant’s obligation to pay Controllable Operating Expenses (as defined below) shall not increase by more than five percent (5.0%) of the Controllable Operating Expenses payable by Tenant during the immediately preceding Calendar Year, calculated on a cumulative basis throughout the Term. For all purposes under this Lease, the term “Controllable Operating Expenses” shall mean any Operating Expenses other than insurance, utilities, snow and ice removal, any amounts associated with the costs of capital improvements to be reimbursed by Tenant, and any and all other operating expenses that are not within the reasonable control of Landlord. Operating Expenses shall be determined on an aggregate and not on an individual basis and the cap on Operating Expenses shall be determined as those expenses have been adjusted for vacancy or usage pursuant to the terms of this Lease.</w:t>
      </w:r>
    </w:p>
    <w:p>
      <w:pPr>
        <w:spacing w:after="0" w:line="19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Real Estate Taxes</w:t>
      </w:r>
      <w:r>
        <w:rPr>
          <w:rFonts w:ascii="Arial" w:cs="Arial" w:eastAsia="Arial" w:hAnsi="Arial"/>
          <w:sz w:val="18"/>
          <w:szCs w:val="18"/>
          <w:color w:val="auto"/>
        </w:rPr>
        <w:t xml:space="preserve">. Commencing on January 1 of the Calendar Year immediately following the Real Estate Taxes Base Year (defined below), Tenant shall pay Landlord, as Additional Rent, Tenant’s Proportionate Share of the amount, if any, by which Real Estate Taxes (defined on </w:t>
      </w:r>
      <w:r>
        <w:rPr>
          <w:rFonts w:ascii="Arial" w:cs="Arial" w:eastAsia="Arial" w:hAnsi="Arial"/>
          <w:sz w:val="18"/>
          <w:szCs w:val="18"/>
          <w:u w:val="single" w:color="auto"/>
          <w:color w:val="auto"/>
        </w:rPr>
        <w:t>Exhibit B</w:t>
      </w:r>
      <w:r>
        <w:rPr>
          <w:rFonts w:ascii="Arial" w:cs="Arial" w:eastAsia="Arial" w:hAnsi="Arial"/>
          <w:sz w:val="18"/>
          <w:szCs w:val="18"/>
          <w:color w:val="auto"/>
        </w:rPr>
        <w:t>) for the applicable Calendar Year exceed the Real Estate Taxes for the Real Estate Taxes Base Year (such excess amounts hereinafter called “Increases in Real Estate Taxes”). The “Real Estate Taxes Base Year” shall mean the later to occur of (a) the first Calendar Year in which Allegheny County assesses the “Building Value” for the Office Unit after completion of the construction of the Office Unit and (b) the Calendar Year 2023. The parties acknowledge the existence of a Minimum Payment and Covenant Agreement, dated February 27, 2020 (“Minimum Payment Agreement”), which establishes that upon completion of the Development Project, as such term is defined therein, that the total minimum assessed value for the Building and the property located at 5700 Penn Avenue shall be not less than $52,625,571.00.</w:t>
      </w:r>
    </w:p>
    <w:p>
      <w:pPr>
        <w:spacing w:after="0" w:line="18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Additional Amounts Due Hereunder</w:t>
      </w:r>
      <w:r>
        <w:rPr>
          <w:rFonts w:ascii="Arial" w:cs="Arial" w:eastAsia="Arial" w:hAnsi="Arial"/>
          <w:sz w:val="19"/>
          <w:szCs w:val="19"/>
          <w:color w:val="auto"/>
        </w:rPr>
        <w:t>. All sums payable by Tenant under this Lease, whether or not stated to be rent, Fixed Basic Rent or Additional Rent or otherwise denominated (hereinafter collectively referred to as “Rent”), shall be collectible by Landlord as rent and in the event of a default in payment thereof Landlord shall have the same rights and remedies as for a failure to pay Fixed Basic Rent (without prejudice to any other right or remedy available therefor).</w:t>
      </w:r>
    </w:p>
    <w:p>
      <w:pPr>
        <w:spacing w:after="0" w:line="183"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Late Charge</w:t>
      </w:r>
      <w:r>
        <w:rPr>
          <w:rFonts w:ascii="Arial" w:cs="Arial" w:eastAsia="Arial" w:hAnsi="Arial"/>
          <w:sz w:val="19"/>
          <w:szCs w:val="19"/>
          <w:color w:val="auto"/>
        </w:rPr>
        <w:t>. If Tenant shall fail to pay Fixed Basic Rent and all other sums, amounts, liabilities, and obligations which Tenant herein assumes or agrees to pay, whether designated as Rent, additional rent, costs, expenses, damages, losses or otherwise (collectively “Rent”), Tenant acknowledges that Landlord will incur costs not contemplated by this Lease, the exact amount of which is difficult to ascertain. Accordingly, and in satisfaction of such costs, if any installment of Rent or other sum shall not be received by Landlord within ten (10) days after due, Tenant shall pay a late charge equal to ten cents for every unpaid dollar thereof plus any reasonable attorney’s fees and costs incurred by Landlord by reason of Tenant’s failure to pay Rent when due, notwithstanding the date on which such payment is actually paid to Landlord. In addition to the Late Charge, all due and unpaid Rent that remains unpaid for a period of thirty (30) days after due shall, as of the thirty-first (31</w:t>
      </w:r>
      <w:r>
        <w:rPr>
          <w:rFonts w:ascii="Arial" w:cs="Arial" w:eastAsia="Arial" w:hAnsi="Arial"/>
          <w:sz w:val="24"/>
          <w:szCs w:val="24"/>
          <w:color w:val="auto"/>
          <w:vertAlign w:val="superscript"/>
        </w:rPr>
        <w:t>st</w:t>
      </w:r>
      <w:r>
        <w:rPr>
          <w:rFonts w:ascii="Arial" w:cs="Arial" w:eastAsia="Arial" w:hAnsi="Arial"/>
          <w:sz w:val="19"/>
          <w:szCs w:val="19"/>
          <w:color w:val="auto"/>
        </w:rPr>
        <w:t>) day begin accruing interest at a rate of twelve percent (12%) per annum, compounded monthly, until such Rent is paid, not to exceed the maximum nonusurious rate permitted by applicable law of the State or the United State of America, whichever shall permit the higher nonusurious rate, such interest being in addition to and cumulative of any other rights and</w:t>
      </w:r>
    </w:p>
    <w:p>
      <w:pPr>
        <w:sectPr>
          <w:pgSz w:w="11900" w:h="16838" w:orient="portrait"/>
          <w:cols w:equalWidth="0" w:num="1">
            <w:col w:w="10580"/>
          </w:cols>
          <w:pgMar w:left="740" w:top="1392" w:right="579" w:bottom="1440" w:gutter="0" w:footer="0" w:header="0"/>
        </w:sectPr>
      </w:pPr>
    </w:p>
    <w:bookmarkStart w:id="123" w:name="page124"/>
    <w:bookmarkEnd w:id="123"/>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remedies which Landlord may have with regard to the failure of Tenant to make any such payments under this Lease. Any such late charge and interest, to the extent applicable, shall be due and payable at the time of actual payment of the Rent. Nothing contained in this Paragraph 3.6 is intended to grant Tenant any extension of time in respect of the due dates for any payments under this Lease, nor shall the same be construed to be a limitation of any other rights or remedies of Landlord under this Lease or otherwise.</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Independent Covenant; Survival</w:t>
      </w:r>
      <w:r>
        <w:rPr>
          <w:rFonts w:ascii="Arial" w:cs="Arial" w:eastAsia="Arial" w:hAnsi="Arial"/>
          <w:sz w:val="18"/>
          <w:szCs w:val="18"/>
          <w:color w:val="auto"/>
        </w:rPr>
        <w:t>. Tenant's covenant to pay all Rent hereunder is independent of any other covenant, agreement, term or condition of this Lease. Without limiting the other obligations of Tenant which shall survive the expiration of the Term, the obligation of Tenant to pay Rent accrued during the Term shall survive the expiration of the Term hereof.</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4.</w:t>
        <w:tab/>
        <w:t>UTILITIES AND SERVICES.</w:t>
      </w:r>
    </w:p>
    <w:p>
      <w:pPr>
        <w:spacing w:after="0" w:line="2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 xml:space="preserve">4.1. Landlord will furnish the following services to the Premises and the Common Area in a manner consistent with Class A office buildings in the Pittsburgh metropolitan area (i) electricity for normal lighting and ordinary office machines, (ii) during Building Hours, HVAC to provide a comfortable temperature for office business operations in accordance with Section 12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of this Lease, (iii) janitorial service (as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(iv) cold and hot water for drinking and lavatory purposes,</w:t>
      </w:r>
    </w:p>
    <w:p>
      <w:pPr>
        <w:spacing w:after="0" w:line="3" w:lineRule="exact"/>
        <w:rPr>
          <w:sz w:val="20"/>
          <w:szCs w:val="20"/>
          <w:color w:val="auto"/>
        </w:rPr>
      </w:pPr>
    </w:p>
    <w:p>
      <w:pPr>
        <w:jc w:val="both"/>
        <w:ind w:firstLine="2"/>
        <w:spacing w:after="0" w:line="209" w:lineRule="auto"/>
        <w:tabs>
          <w:tab w:leader="none" w:pos="289" w:val="left"/>
        </w:tabs>
        <w:numPr>
          <w:ilvl w:val="0"/>
          <w:numId w:val="72"/>
        </w:numPr>
        <w:rPr>
          <w:rFonts w:ascii="Arial" w:cs="Arial" w:eastAsia="Arial" w:hAnsi="Arial"/>
          <w:sz w:val="20"/>
          <w:szCs w:val="20"/>
          <w:color w:val="auto"/>
        </w:rPr>
      </w:pPr>
      <w:r>
        <w:rPr>
          <w:rFonts w:ascii="Arial" w:cs="Arial" w:eastAsia="Arial" w:hAnsi="Arial"/>
          <w:sz w:val="20"/>
          <w:szCs w:val="20"/>
          <w:color w:val="auto"/>
        </w:rPr>
        <w:t>elevator service, (vi) restroom supplies, (vii) exterior window cleaning, and (viii) maintenance of all paved surfaces and parking areas, including snow removal. In addition, Landlord shall provide Common Area lighting at the Property during Building Hours and for such additional hours as, in Landlord’s judgment, is necessary or desirable to ensure proper operation of the Property and is consistent with Class A buildings within the area.</w:t>
      </w:r>
    </w:p>
    <w:p>
      <w:pPr>
        <w:spacing w:after="0" w:line="18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4.2. Tenant will be entitled to make use of HVAC beyond the Building Hours, at Tenant’s sole cost and expense, provided Tenant has notified Landlord by 3:00 p.m. on the day that Tenant will require said overtime use if said overtime use is required on any weekday, and by 3:00 p.m. on Friday for Saturday and / or Sunday overtime use. Tenant will pay Landlord the HVAC After Hour Charge (as defined in Section 1.O) for HVAC beyond the Building Hours. The furnishing of the foregoing heating, air- conditioning and ventilation services during the times and in accordance with the standards hereinabove set forth shall be subject to any statute, ordinance, rule, regulation, resolution, or recommendation for energy conservation which may be promulgated by any governmental agency or organization which Landlord shall be required to abide.</w:t>
      </w:r>
    </w:p>
    <w:p>
      <w:pPr>
        <w:spacing w:after="0" w:line="18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4.3 Except as provided in this Section 4.3, Landlord shall not be held liable for any damage or injury suffered by Tenant or by any of Tenant’s licensees, agents, invitees, servants, employees, contractors, or subcontractors or any other person or entity engaged, invited, or allowed to come onto the Premises by Tenant (herein collectively called “Tenant Parties”), resulting directly, indirectly, proximately, or remotely from the interruption of any service or utilities to the Premises or Building, including, but not limited to, temporary failure to supply any heating, air conditioning, electrical, water, or sewer services, or other utilities, or any of them nor shall such failure be construed as an eviction of Tenant. If (i) Landlord ceases to furnish any service in the Building as a result of a condition which affects only the Building (that is, which does not affect buildings in general in the vicinity of the Building), and (ii) such cessation is not caused by Force Majeure (defined below), and (iii) such cessation has not arisen as a result of an act or omission of Tenant or the Tenant Parties, and (iv) as a result of such cessation, the Premises (or a material portion thereof) is rendered untenantable and Tenant in fact ceases to occupy such space in the manner used prior to such cessation, and (v) such interruption to cessation of services occurs and continues for a period of not less than seven (7) consecutive business days, then, as Tenant’s sole and exclusive remedy for such cessation, the Fixed Basic Rent payable hereunder shall be equitably abated based on the percentage of the Premises so rendered untenantable and in fact not used by Tenant commencing as of the sixth (6</w:t>
      </w:r>
      <w:r>
        <w:rPr>
          <w:rFonts w:ascii="Arial" w:cs="Arial" w:eastAsia="Arial" w:hAnsi="Arial"/>
          <w:sz w:val="23"/>
          <w:szCs w:val="23"/>
          <w:color w:val="auto"/>
          <w:vertAlign w:val="superscript"/>
        </w:rPr>
        <w:t>th</w:t>
      </w:r>
      <w:r>
        <w:rPr>
          <w:rFonts w:ascii="Arial" w:cs="Arial" w:eastAsia="Arial" w:hAnsi="Arial"/>
          <w:sz w:val="18"/>
          <w:szCs w:val="18"/>
          <w:color w:val="auto"/>
        </w:rPr>
        <w:t>) consecutive business day after such interruption commenced. Such abatement shall begin retroactively</w:t>
      </w:r>
    </w:p>
    <w:p>
      <w:pPr>
        <w:sectPr>
          <w:pgSz w:w="11900" w:h="16838" w:orient="portrait"/>
          <w:cols w:equalWidth="0" w:num="1">
            <w:col w:w="10580"/>
          </w:cols>
          <w:pgMar w:left="740" w:top="1440" w:right="579" w:bottom="1440" w:gutter="0" w:footer="0" w:header="0"/>
        </w:sectPr>
      </w:pPr>
    </w:p>
    <w:bookmarkStart w:id="124" w:name="page125"/>
    <w:bookmarkEnd w:id="124"/>
    <w:p>
      <w:pPr>
        <w:spacing w:after="0" w:line="195"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from the date of such cessation and continue until the date the Premises become tenantable again by the removal of such cessation of services.</w:t>
      </w:r>
    </w:p>
    <w:p>
      <w:pPr>
        <w:spacing w:after="0" w:line="18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4.4 Tenant shall have access to the Premises 24 hours a day, 7 days a week. Landlord agrees that access to the Premises, including, without limitation, access to the Building’s stairwells, elevators, fitness center and other Common Areas shall be provided by Landlord using a security access card/fob system that, as of the Commencement Date, is compatible with Tenant’s existing standard 26-bit HID proximity cards. Landlord shall provide Tenant (at Landlord’s cost) with access cards/fobs for access to the Building for each Tenant employee who will work in the Premises. The first one-hundred access cards/fobs shall be provided to Tenant at no cost. Any additional access cards/fobs or any access cards/fobs that are lost or need to be replaced shall be provided or replaced by Landlord and Tenant shall reimburse Landlord for the cost of same. Security system access card panels shall be installed (a) at the Building entrance to the main lobby, (b) at the ground-level entrance to Stair 4 (located on S. Euclid Avenue) and</w:t>
      </w:r>
    </w:p>
    <w:p>
      <w:pPr>
        <w:spacing w:after="0" w:line="3" w:lineRule="exact"/>
        <w:rPr>
          <w:sz w:val="20"/>
          <w:szCs w:val="20"/>
          <w:color w:val="auto"/>
        </w:rPr>
      </w:pPr>
    </w:p>
    <w:p>
      <w:pPr>
        <w:jc w:val="both"/>
        <w:ind w:firstLine="2"/>
        <w:spacing w:after="0" w:line="236" w:lineRule="auto"/>
        <w:tabs>
          <w:tab w:leader="none" w:pos="32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the entrance from the stairwell to the terrace on the second floor, by Landlord at Landlord’s expense, prior to the Commencement Date. An additional card readers and security systems specific to Tenant’s Premises, including, but not limited to, card readers from any emergency stairwells shall be installed by Tenant at Tenant’s expense, as part of the Tenant Improvements.</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4.5 Landlord covenants and agrees to make the planned fitness center in the Building (the “Fitness Center”), available as of the Commencement Date and during the Term for non-exclusive use by Tenant and its employees as part of the Common Areas, subject to each of Tenant’s employees executing a standard waiver of liability and license agreement form used for the fitness center. For the avoidance of doubt, any Tenant employee may use the facility regardless of whether the employee’s primary workplace is the Premises. Landlord shall keep the Fitness Center in good operating condition, commensurate with the condition of similar fitness centers in similar buildings in the market in which the Building is located. Tenant’s employees, licensees and invitees shall have access to the Fitness Center during the Building Hours throughout the Term. The use of the Fitness Center shall be subject to the rules and regulations (including rules regarding hours of use) established from time to time by the Landlord. Landlord and Tenant acknowledge that the use of the Fitness Center by the employees shall be at their own risk. Notwithstanding the foregoing in this Section 4.5, Landlord may temporarily close or suspend access to and use of the Fitness Center for a reasonable time for the replacement, remodeling or relocation of the Fitness Center. Any such temporary closure shall not entitle Tenant to an abatement or reduction in Rent, constitute a constructive eviction, or result in an event of default by Landlord under this Lease. Tenant hereby voluntarily releases, discharges, waives and relinquishes any and all actions or causes of action for personal injury or property damage occurring to Tenant or its employees or agents arising as a result of the use of the fitness center, or any activities incidental thereto, wherever or however the same may occur, and further agrees that Tenant will not prosecute any claim for personal injury or property damage against Landlord or any of its officers, agents, servants or employees for any said causes of action. Tenant’s rights hereunder to permit its employees to use the Fitness Center shall belong solely to Tenant and may not be transferred or assigned.</w:t>
      </w:r>
    </w:p>
    <w:p>
      <w:pPr>
        <w:spacing w:after="0" w:line="352"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color w:val="auto"/>
        </w:rPr>
        <w:t>Landlord covenants and agrees to make available to the Office Unit tenants the following amenities during the</w:t>
      </w:r>
    </w:p>
    <w:p>
      <w:pPr>
        <w:jc w:val="both"/>
        <w:spacing w:after="0" w:line="250" w:lineRule="auto"/>
        <w:rPr>
          <w:sz w:val="20"/>
          <w:szCs w:val="20"/>
          <w:color w:val="auto"/>
        </w:rPr>
      </w:pPr>
      <w:r>
        <w:rPr>
          <w:rFonts w:ascii="Arial" w:cs="Arial" w:eastAsia="Arial" w:hAnsi="Arial"/>
          <w:sz w:val="18"/>
          <w:szCs w:val="18"/>
          <w:color w:val="auto"/>
        </w:rPr>
        <w:t>Term: a bike storage room, building security systems, and loading docks. Landlord reserves and retains all rights to replace, remodel, and relocate, as applicable, any of the foregoing Office Unit amenities and to temporary suspend the use of the same.</w:t>
      </w:r>
    </w:p>
    <w:p>
      <w:pPr>
        <w:spacing w:after="0" w:line="200" w:lineRule="exact"/>
        <w:rPr>
          <w:sz w:val="20"/>
          <w:szCs w:val="20"/>
          <w:color w:val="auto"/>
        </w:rPr>
      </w:pPr>
    </w:p>
    <w:p>
      <w:pPr>
        <w:spacing w:after="0" w:line="211" w:lineRule="exact"/>
        <w:rPr>
          <w:sz w:val="20"/>
          <w:szCs w:val="20"/>
          <w:color w:val="auto"/>
        </w:rPr>
      </w:pPr>
    </w:p>
    <w:p>
      <w:pPr>
        <w:jc w:val="both"/>
        <w:ind w:firstLine="2"/>
        <w:spacing w:after="0" w:line="278" w:lineRule="auto"/>
        <w:tabs>
          <w:tab w:leader="none" w:pos="229"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MORTGAGE BY LANDLORD. </w:t>
      </w:r>
      <w:r>
        <w:rPr>
          <w:rFonts w:ascii="Arial" w:cs="Arial" w:eastAsia="Arial" w:hAnsi="Arial"/>
          <w:sz w:val="16"/>
          <w:szCs w:val="16"/>
          <w:color w:val="auto"/>
        </w:rPr>
        <w:t>This Lease and Tenant’s interest hereunder shall at all times be subject and subordinate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lien and security title of any deeds to secure debt, deeds of trust, mortgages, ground or underlying leases, or other interests heretofore or hereafter granted by Landlord or which otherwise encumber or affect the Property and to any and all advances to be made thereunder and to all renewals, modifications, consolidations, replacements, substitutions, and extensions thereof (each of which</w:t>
      </w:r>
    </w:p>
    <w:p>
      <w:pPr>
        <w:sectPr>
          <w:pgSz w:w="11900" w:h="16838" w:orient="portrait"/>
          <w:cols w:equalWidth="0" w:num="1">
            <w:col w:w="10580"/>
          </w:cols>
          <w:pgMar w:left="740" w:top="1440" w:right="579" w:bottom="1440" w:gutter="0" w:footer="0" w:header="0"/>
        </w:sectPr>
      </w:pPr>
    </w:p>
    <w:bookmarkStart w:id="125" w:name="page126"/>
    <w:bookmarkEnd w:id="125"/>
    <w:p>
      <w:pPr>
        <w:spacing w:after="0" w:line="19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is herein called a “Mortgage”), provided the Mortgagee (defined below) recognizes the validity of this Lease and the Mortgagee agrees that, and by having the Lease be so subordinate such party is deemed to have agreed that, notwithstanding any default by Landlord with respect to said ground lease or mortgage or any termination or foreclosure thereof, Tenant’s possession and right of use under this Lease and the rights of Tenant under this Lease in and to the Premises shall not be disturbed by such Mortgagee unless and until an event of Default shall have occurred hereunder and is continuing. This clause shall be self-operative and no further instrument of subordination need be required by any holder of any Mortgage. Notwithstanding the foregoing, upon request from a Mortgagee, subject to Tenant’s receipt of a subordination and non-disturbance agreement from any such Mortgagee on such Mortgagee’s then current form which may be revised to incorporate commercially reasonable changes requested by Tenant and approved by such Mortgagee, Tenant shall execute a commercially reasonable subordination, non- disturbance and attornment agreement in favor of the Mortgagee. In lieu of having the Mortgage be superior to this Lease, a Mortgagee shall have the right at any time to subordinate its Mortgage to this Lease.</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Tenant shall, from time to time upon not less than fifteen (15) days’ prior request by Landlord, deliver to Landlord an estoppel certificate, in form satisfactory to Landlord and subject to Tenant’s commercially reasonable modification, in writing and certifying: (i) that this Lease is unmodified and in full force and effect (or, if there have been modifications that the Lease as modified is in full force and effect); (ii) the dates to which Rent and other charges have been paid; (iii) that Landlord is not in default under any provision of this Lease, or, if in default, the nature thereof in detail, and (iv) such other matters as may be reasonably requested, it being intended that any such statement may be relied upon by any prospective purchaser or tenant of the Office Unit, any mortgagees or prospective mortgagees thereof; or any prospective assignee of any mortgage thereof. In the event Tenant fails to deliver the estoppel certificate within such fifteen (15) days after demand in writing, Tenant shall be deemed to have accepted and executed such estoppel letter and other documents and hereby authorizes Landlord as its attorney-in- fact for the sole purpose of executing such estoppel certificate.</w:t>
      </w:r>
    </w:p>
    <w:p>
      <w:pPr>
        <w:spacing w:after="0" w:line="179" w:lineRule="exact"/>
        <w:rPr>
          <w:sz w:val="20"/>
          <w:szCs w:val="20"/>
          <w:color w:val="auto"/>
        </w:rPr>
      </w:pPr>
    </w:p>
    <w:p>
      <w:pPr>
        <w:ind w:left="640" w:hanging="639"/>
        <w:spacing w:after="0"/>
        <w:tabs>
          <w:tab w:leader="none" w:pos="64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CERTAIN RIGHTS RESERVED TO LANDLORD. </w:t>
      </w:r>
      <w:r>
        <w:rPr>
          <w:rFonts w:ascii="Arial" w:cs="Arial" w:eastAsia="Arial" w:hAnsi="Arial"/>
          <w:sz w:val="20"/>
          <w:szCs w:val="20"/>
          <w:color w:val="auto"/>
        </w:rPr>
        <w:t>Landlord reserves the following rights:</w:t>
      </w:r>
    </w:p>
    <w:p>
      <w:pPr>
        <w:spacing w:after="0" w:line="2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(a)Entry – if Tenant abandons the Premises and fails to pay Rent in accordance with the terms set forth herein beyond any applicable notice and cure period, to enter the Premises in order to decorate, remodel, repair, alter or otherwise prepare the Premises for re-occupancy, without same being deemed acceptance of a surrender and without affecting Tenant’s obligations to pay Rent.</w:t>
      </w:r>
    </w:p>
    <w:p>
      <w:pPr>
        <w:spacing w:after="0" w:line="14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(b)Access to Premises – Landlord and its employees, servants and agents shall have the right, upon 24 hours’ prior notice, to enter the Premises during business hours, or at such other reasonable times for the purpose of examining or inspecting the Premises to ensure that Tenant is complying with all of its obligations hereunder, showing the same to prospective purchasers, mortgagees, or tenants of the Office Unit, performing janitorial, cleaning, maintenance and repair services, including, but not limited to regular HVAC service repairs, maintenance, and replacement, and making such alterations, repairs, improvements or additions to the Premises or other portions of the Property as Landlord may deem necessary or desirable. Notwithstanding the foregoing, prior to Landlord's entry into the Premises other than in an emergency or for purposes of performing Landlord's normal janitorial, cleaning, maintenance and repair services contemplated under this Lease (for which entry no advance notice shall be required), Landlord shall provide at least twenty-four (24) hours prior notice to Tenant (which notice need not be in writing). In connection with any such entry, Landlord shall be allowed to take all material into and upon the Premises that may be required therefor without the same constituting an eviction of Tenant in whole or in part, and the Rent shall not abate while said alterations, repairs, improvements or additions are being made by reason of loss or interruption of business of Tenant or otherwise. If representatives of Tenant shall not be present to open and permit entry into the Premises at any time when such entry by Landlord is necessary or permitted</w:t>
      </w:r>
    </w:p>
    <w:p>
      <w:pPr>
        <w:sectPr>
          <w:pgSz w:w="11900" w:h="16838" w:orient="portrait"/>
          <w:cols w:equalWidth="0" w:num="1">
            <w:col w:w="10580"/>
          </w:cols>
          <w:pgMar w:left="740" w:top="1440" w:right="579" w:bottom="1440" w:gutter="0" w:footer="0" w:header="0"/>
        </w:sectPr>
      </w:pPr>
    </w:p>
    <w:bookmarkStart w:id="126" w:name="page127"/>
    <w:bookmarkEnd w:id="126"/>
    <w:p>
      <w:pPr>
        <w:spacing w:after="0" w:line="195"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hereunder, Landlord may enter by means of a master key (or forcibly in the event of an emergency) without liability to Tenant and without such entry constituting an eviction of Tenant or termination of this Lease.</w:t>
      </w:r>
    </w:p>
    <w:p>
      <w:pPr>
        <w:spacing w:after="0" w:line="18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(c)Building and Property Identification and Appearance – to change the Building’s, Office Unit’s, and/or Property’s name or street address; to install and maintain all signs on the exterior or interior of the Building and/or Property, to approve prior to installation, all signs, shades, blinds, drapes and internal lighting; and to change the arrangement of entrances, doors, corridors, stairs and other public service portions of the Office Unit and/or Property, provided that such changes do not materially and adversely interfere with Tenant’s reasonable access to the Premises or to the Office Unit.</w:t>
      </w:r>
    </w:p>
    <w:p>
      <w:pPr>
        <w:spacing w:after="0" w:line="18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Landlord may enter upon the Premises and may exercise any or all of the foregoing rights hereby reserved without being liable in any manner to Tenant. Any such entry and/or exercise of rights shall not in any way affect the obligations of Tenant under this Lease, including without limitation, the obligation to pay Rent.</w:t>
      </w:r>
    </w:p>
    <w:p>
      <w:pPr>
        <w:spacing w:after="0" w:line="191" w:lineRule="exact"/>
        <w:rPr>
          <w:sz w:val="20"/>
          <w:szCs w:val="20"/>
          <w:color w:val="auto"/>
        </w:rPr>
      </w:pPr>
    </w:p>
    <w:p>
      <w:pPr>
        <w:ind w:left="640" w:hanging="639"/>
        <w:spacing w:after="0"/>
        <w:tabs>
          <w:tab w:leader="none" w:pos="64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INSURANCE AND INDEMNIFICATION.</w:t>
      </w:r>
    </w:p>
    <w:p>
      <w:pPr>
        <w:spacing w:after="0" w:line="20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7.1. (1) Tenant shall obtain and keep in full force during its occupancy of the Premises and during the entire Term of this Lease, at its sole cost and expense, a commercial general liability policy of insurance with coverages reasonably acceptable to Landlord, in Landlord's sole discretion, which by way of example and not limitation, protects Tenant and Landlord (as an additional insured) against claims for bodily injury, personal injury and property damage based upon, involving or arising out of Tenant’s use, occupancy or maintenance of the Premises and all areas appurtenant thereto. Such insurance shall be on an occurrence basis providing single limit coverage in an amount not less than One Million Dollars ($1,000,000.00) per occurrence and Three Million Dollars ($3,000,000.00) in the aggregate for personal injury, bodily injury, death, disease and damage or injury to or destruction of property (including the loss of use thereof) occurring upon, in, or about the Premises, and a policy of supplemental "umbrella" liability insurance following the form of the primary liability policy required hereunder and having a limit of not less than Five Million Dollars ($5,000,000.00). The policy shall not contain any intra-insured exclusions as between insured persons or organizations but shall include coverage for liability assumed under this Lease as an "insured contract" for the performance of Tenant's indemnity obligations under this Lease.</w:t>
      </w:r>
    </w:p>
    <w:p>
      <w:pPr>
        <w:spacing w:after="0" w:line="19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18"/>
          <w:szCs w:val="18"/>
          <w:color w:val="auto"/>
        </w:rPr>
        <w:t>(2)Tenant shall obtain and keep in force during the Term of this Lease “Causes of Loss- Special Form” property insurance. Said insurance shall be written on a one hundred percent (100%) replacement cost basis on Tenant's personal property, all tenant improvements installed at the Premises, Tenant's trade fixtures, and other property. By way of example and not limitation, such policies shall provide protection against any peril included within the classification “fire and extended coverage”, against vandalism and malicious mischief, theft, sprinkler leakage, earthquake damage and flood damage. If this Lease is terminated as the result of a casualty, the proceeds of said insurance, if any, attributable to the replacement of all tenant improvements at the Premises paid for by Landlord and all rental concessions shall be paid to Landlord.</w:t>
      </w:r>
    </w:p>
    <w:p>
      <w:pPr>
        <w:spacing w:after="0" w:line="197"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(3)Tenant shall, at all times during the Term hereof, maintain in effect workers' compensation insurance as required by applicable law and insurance reasonably satisfactory to Landlord. In addition, in the event that Tenant operates or parks any Tenant-owned vehicles at the Property during the Term of this Lease, Tenant shall maintain in effect during the Term hereof a policy of automobile liability insurance with bodily injury limits of $500,000 per person, $1,000,000 per accident, and $100,000 per accident for property damage.</w:t>
      </w:r>
    </w:p>
    <w:p>
      <w:pPr>
        <w:spacing w:after="0" w:line="18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(4)Prior to the Commencement Date, Tenant shall deliver certificates evidencing the insurance policies to Landlord. Certificates evidencing renewals shall be delivered to Landlord no later</w:t>
      </w:r>
    </w:p>
    <w:p>
      <w:pPr>
        <w:sectPr>
          <w:pgSz w:w="11900" w:h="16838" w:orient="portrait"/>
          <w:cols w:equalWidth="0" w:num="1">
            <w:col w:w="10580"/>
          </w:cols>
          <w:pgMar w:left="740" w:top="1440" w:right="579" w:bottom="1440" w:gutter="0" w:footer="0" w:header="0"/>
        </w:sectPr>
      </w:pPr>
    </w:p>
    <w:bookmarkStart w:id="127" w:name="page128"/>
    <w:bookmarkEnd w:id="127"/>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than fifteen (15) days after each renewal, as often as renewal occurs, and in no event less than fifteen (15) days prior to the date on which the policy would otherwise expire. Tenant shall use commercially reasonable efforts to request and obtain from its insurance carriers insurance policies that require the insurer to notify Landlord in writing thirty (30) days prior to any cancellation. The inability of Tenant to obtain an insurer’s consent to delivery such notice to Landlord after reasonable efforts shall not constitute a default hereunder. Notwithstanding the foregoing, Tenant shall promptly deliver notice to Landlord upon Tenant’s receipt any notice of cancellation issued by any of Tenant’s insurers providing the coverages required under this Lease.</w:t>
      </w:r>
    </w:p>
    <w:p>
      <w:pPr>
        <w:spacing w:after="0" w:line="19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(5)In the event Tenant fails to furnish such insurance, Landlord may obtain such insurance and the premiums shall be paid by Tenant to Landlord upon demand. The minimum limits of the aforesaid insurance shall be subject to increase at the end of every three (3) years during the Term if Landlord, in the exercise of its reasonable judgment, shall deem it necessary for adequate protection.</w:t>
      </w:r>
    </w:p>
    <w:p>
      <w:pPr>
        <w:spacing w:after="0" w:line="18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7.2 Landlord makes no representation to Tenant that the limits or forms of coverage specified above or approved by Landlord are adequate to insure Tenant's property or Tenant's obligations under this Lease, and the limits of any insurance carried by Tenant shall not limit Tenant’s obligations or liability under any indemnity provision included in this Lease or under any other provision of this Lease.</w:t>
      </w:r>
    </w:p>
    <w:p>
      <w:pPr>
        <w:spacing w:after="0" w:line="19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7.3 All insurance policies obtained by Tenant pursuant to this Section 7 shall be in form and substance reasonably satisfactory to Landlord and shall be issued by companies qualified to do business in the Commonwealth of Pennsylvania that have ratings of not less than "A-" and of not less than "Class XI" in financial size in the most current available A.M. Best's Insurance Reports. Such policies (exclusive of the worker's compensation policy) shall name Landlord, Manager and such other parties as Landlord shall specify as additional insureds to the extent of the liabilities for third party bodily injury and property damage assumed by Tenant under this Lease and shall further specify that Landlord shall receive thirty (30) days prior written notice of any proposed cancellation, non-renewal of or material change in any such policy. Certificates of all policies of insurance obtained by Tenant hereunder shall be provided to Landlord prior to Tenant's entry upon the Premises, and thereafter at least thirty (30) days prior to the scheduled expiration date of each such policy, evidencing Tenant's renewal or replacement thereof.</w:t>
      </w:r>
    </w:p>
    <w:p>
      <w:pPr>
        <w:spacing w:after="0" w:line="18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7.4 All policies of insurance carried or required to be carried by either party hereunder shall include a waiver of subrogation endorsement, containing a waiver by the insurer of all right of subrogation against the other party in connection with any loss, injury or damage thereby insured against. The waiver of subrogation shall apply regardless of any deductible (or self-insured retention) or self-insurance carried by either party. Any additional premium for such waiver shall be paid by the primary insured. To the full extent permitted by law, Landlord and Tenant each waive all rights of recovery against the other (and any officers, directors, partners, employees, agents and representatives of the other), and agree to release the other from liability, for loss or damage to the extent such loss or damage is covered by valid and collectible insurance in effect covering the party seeking recovery at the time of such loss or damage or would be covered by the insurance required to be maintained under this Lease by the party seeking recovery. If the release of either party, as set forth above, should contravene any law with respect to exculpatory agreements, the liability of the party in question shall be deemed not released but shall be secondary to the liability of the other’s insurer. Written notice of the terms of such mutual waivers of subrogation shall be given to each insurance carrier and said insurance policies shall be properly endorsed, if necessary, to prevent the invalidation of said insurance coverages by reason of said waivers.</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7.5 Tenant will indemnify, save harmless, and defend Landlord from and against any and all claims and demands in connection with any accident, injury or damage whatsoever caused to any person or property arising directly or indirectly out of the operation of Tenant’s business in the Premises or any part thereof, or arising directly or indirectly from any act or omission of Tenant or any party acting under the direction or under the control of Tenant, and from and against any and all cost, expenses and liability,</w:t>
      </w:r>
    </w:p>
    <w:p>
      <w:pPr>
        <w:sectPr>
          <w:pgSz w:w="11900" w:h="16838" w:orient="portrait"/>
          <w:cols w:equalWidth="0" w:num="1">
            <w:col w:w="10580"/>
          </w:cols>
          <w:pgMar w:left="740" w:top="1440" w:right="579" w:bottom="1440" w:gutter="0" w:footer="0" w:header="0"/>
        </w:sectPr>
      </w:pPr>
    </w:p>
    <w:bookmarkStart w:id="128" w:name="page129"/>
    <w:bookmarkEnd w:id="128"/>
    <w:p>
      <w:pPr>
        <w:spacing w:after="0" w:line="195" w:lineRule="exact"/>
        <w:rPr>
          <w:sz w:val="20"/>
          <w:szCs w:val="20"/>
          <w:color w:val="auto"/>
        </w:rPr>
      </w:pPr>
    </w:p>
    <w:p>
      <w:pPr>
        <w:ind w:firstLine="1"/>
        <w:spacing w:after="0" w:line="207" w:lineRule="auto"/>
        <w:rPr>
          <w:sz w:val="20"/>
          <w:szCs w:val="20"/>
          <w:color w:val="auto"/>
        </w:rPr>
      </w:pPr>
      <w:r>
        <w:rPr>
          <w:rFonts w:ascii="Arial" w:cs="Arial" w:eastAsia="Arial" w:hAnsi="Arial"/>
          <w:sz w:val="20"/>
          <w:szCs w:val="20"/>
          <w:color w:val="auto"/>
        </w:rPr>
        <w:t>including reasonable attorneys' fees, incurred in connection with any such claim or proceeding brought thereon, except to the extent the same arises from the negligence or willful misconduct of Landlord. Landlord shall indemnify, save harmless and defend Tenant from and against any and all claims and demands in connection with any accident, injury or damage whatsoever caused to any person or property, including reasonable attorneys’ fees, arising out of the negligence or willful misconduct of Landlord, to the extent of proceeds of insurance actually received by Landlord. The indemnity obligations in this Section 7.5 shall survive any expiration or termination of this Lease.</w:t>
      </w:r>
    </w:p>
    <w:p>
      <w:pPr>
        <w:spacing w:after="0" w:line="200"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7.6 If any insurance policy upon the Premises or the Office Unit or any part thereof shall be canceled or shall be threatened by the insurer to be canceled, the coverage thereunder reduced or threatened to be reduced, or the premium therefor increased or threatened to be increased in any way by the insurer by reason of the use and occupation of the Premises by Tenant or by any assignee or subtenant of Tenant and if Tenant fails to remedy the condition giving rise to the cancellation, reduction, or premium increase or threat thereof within ten (10) business days after notice thereof by Landlord, Landlord may, at its option, do any one of the following:</w:t>
      </w:r>
    </w:p>
    <w:p>
      <w:pPr>
        <w:spacing w:after="0" w:line="187" w:lineRule="exact"/>
        <w:rPr>
          <w:sz w:val="20"/>
          <w:szCs w:val="20"/>
          <w:color w:val="auto"/>
        </w:rPr>
      </w:pPr>
    </w:p>
    <w:p>
      <w:pPr>
        <w:jc w:val="both"/>
        <w:ind w:firstLine="1298"/>
        <w:spacing w:after="0" w:line="210" w:lineRule="auto"/>
        <w:tabs>
          <w:tab w:leader="none" w:pos="1523" w:val="left"/>
        </w:tabs>
        <w:numPr>
          <w:ilvl w:val="0"/>
          <w:numId w:val="77"/>
        </w:numPr>
        <w:rPr>
          <w:rFonts w:ascii="Arial" w:cs="Arial" w:eastAsia="Arial" w:hAnsi="Arial"/>
          <w:sz w:val="20"/>
          <w:szCs w:val="20"/>
          <w:color w:val="auto"/>
        </w:rPr>
      </w:pPr>
      <w:r>
        <w:rPr>
          <w:rFonts w:ascii="Arial" w:cs="Arial" w:eastAsia="Arial" w:hAnsi="Arial"/>
          <w:sz w:val="20"/>
          <w:szCs w:val="20"/>
          <w:color w:val="auto"/>
        </w:rPr>
        <w:t>Enter upon the Premises and remedy the condition giving rise to the cancellation, reduction, or premium increase or threat thereof, and in such event, Tenant shall forthwith pay the cost thereof to Landlord as additional rent; and if Tenant fails to pay such cost, Landlord may declare a default by Tenant and thereupon the provisions of Sections 15 and 16 shall apply, and Landlord shall not be liable for any damage or injury caused to any property of Tenant or of others located on the Premises as a result of the entry; or</w:t>
      </w:r>
    </w:p>
    <w:p>
      <w:pPr>
        <w:spacing w:after="0" w:line="181" w:lineRule="exact"/>
        <w:rPr>
          <w:rFonts w:ascii="Arial" w:cs="Arial" w:eastAsia="Arial" w:hAnsi="Arial"/>
          <w:sz w:val="20"/>
          <w:szCs w:val="20"/>
          <w:color w:val="auto"/>
        </w:rPr>
      </w:pPr>
    </w:p>
    <w:p>
      <w:pPr>
        <w:jc w:val="both"/>
        <w:ind w:firstLine="1298"/>
        <w:spacing w:after="0" w:line="233" w:lineRule="auto"/>
        <w:tabs>
          <w:tab w:leader="none" w:pos="21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sole action taken by the insurer is to raise the premium or other monetary cost of the insurance, demand payment from Tenant of the premium or other cost as additional rent hereunder, and if Tenant fails to pay the increase to Landlord within ten (10) days of demand by Landlord, Landlord may declare a default by Tenant and thereupon the provisions of Sections 15 and 16 shall apply. Tenant acknowledges that it has no right to receive any proceeds from any insurance policies carried by Landlord and that such insurance will be for the sole benefit of Landlord with no coverage for Tenant for any risk insured against.</w:t>
      </w:r>
    </w:p>
    <w:p>
      <w:pPr>
        <w:spacing w:after="0" w:line="19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7.7 From and after the date of this Lease, Landlord will obtain and keep in full force during the entire Term of this Lease (a) a commercial general liability policy of insurance with coverage against claims for personal injury, death and property damage occurring in or about the Property, which coverage shall afford protection with limits of not less than Five Million Dollars ($5,000,000.00) in the aggregate, and (b) a policy or policies of all risks extended coverage insurance covering the Property endorsed to provide full replacement cost coverage and providing protection against perils included within the standard Pennsylvania form of fire and extended coverage insurance policy, together with insurance against sprinkler damage, vandalism, malicious mischief and such other risks as Landlord may from time to time reasonably determine consistent with relevant industry standards and with any such deductibles as Landlord may from time to time reasonably determine consistent with relevant industry standards. For the purposes of this Section 7.7, Landlord may provide coverage under an umbrella policy providing the minimums set forth above to satisfy the insurance obligations herein.</w:t>
      </w:r>
    </w:p>
    <w:p>
      <w:pPr>
        <w:spacing w:after="0" w:line="179" w:lineRule="exact"/>
        <w:rPr>
          <w:sz w:val="20"/>
          <w:szCs w:val="20"/>
          <w:color w:val="auto"/>
        </w:rPr>
      </w:pPr>
    </w:p>
    <w:p>
      <w:pPr>
        <w:ind w:left="640" w:hanging="639"/>
        <w:spacing w:after="0"/>
        <w:tabs>
          <w:tab w:leader="none" w:pos="64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CASUALTY.</w:t>
      </w:r>
    </w:p>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8.1 Should the Premises (or any part thereof) be damaged or destroyed by fire or other casualty insured under Landlord's standard fire and casualty insurance policy with approved standard extended coverage endorsement applicable to the Premises, Landlord shall, except as otherwise provided herein, repair and/or rebuild the Premises to the same condition as existed on the Commencement Date with reasonable diligence, commencing the work within 90 days after such damage (subject to delays in the</w:t>
      </w:r>
    </w:p>
    <w:p>
      <w:pPr>
        <w:sectPr>
          <w:pgSz w:w="11900" w:h="16838" w:orient="portrait"/>
          <w:cols w:equalWidth="0" w:num="1">
            <w:col w:w="10580"/>
          </w:cols>
          <w:pgMar w:left="740" w:top="1440" w:right="579" w:bottom="1440" w:gutter="0" w:footer="0" w:header="0"/>
        </w:sectPr>
      </w:pPr>
    </w:p>
    <w:bookmarkStart w:id="129" w:name="page130"/>
    <w:bookmarkEnd w:id="129"/>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adjustment of insurance). Landlord shall promptly and diligently seek adjustment of insurance proceeds after any casualty. Landlord's obligation hereunder shall be limited to the Office Unit and improvements originally provided by Landlord at the Commencement Date of the Term, the net proceeds of insurance recovered for the casualty damage, and shall be subject to zoning and building laws or ordinances then in existence. If there should be interference with the operation of Tenant's business in the Premises as a result of such damage or destruction which requires Tenant as a result of such damage or destruction to temporarily close its business, the Fixed Basic Rent and Additional Rent shall abate in proportion to the square footage of the Premises that Tenant is unable to utilize as a result of the casualty, for the period commencing with the damage and ending upon Landlord’s completion of its restoration work, or at such earlier date as Tenant is able to resume use the entire Premises. Unless this Lease is terminated by Landlord as hereinafter provided, Tenant shall, at its cost and expense, repair, restore, redecorate and re-fixture the Premises and restock the contents thereof in a manner and to at least a condition equal to that existing prior to such damage or destruction except for the Office Unit and improvements to be reconstructed by Landlord as above set forth, and the proceeds of all insurance carried by Tenant on the property, decorations and improvements, as well as fixtures and contents in the Premises, shall be held in trust by Tenant for such purposes. Tenant agrees to commence such work within ten (10) days after the date of such damage or destruction or the date Landlord substantially completes any reconstruction required to be completed by it pursuant to the above, whichever date is later, and Tenant shall diligently pursue such work to its completion.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8.2 Notwithstanding anything to the contrary contained in the preceding Paragraph 8.1 or elsewhere in this Lease, Landlord may terminate this Lease on thirty (30) days’ notice to Tenant, given within ninety (90) days after the occurrence of any damage or destruction if: (1) the Premises are damaged or destroyed as a result of a risk which is not covered by Landlord's insurance, (2) the Premises are damaged and the cost to repair the same shall be more than twenty-five percent (25%) of the cost of replacement thereof, (3) the Premises are damaged during the last two (2) years of the Term, (4) if the Office Unit is damaged (whether or not the Premises are damaged) to such an extent that, in the sole judgment of Landlord, the Office Unit cannot be operated as an integral unit, (5) if available insurance proceeds for the Office Unit are insufficient to repair or rebuild the damage, (6) if any mortgagee shall not permit the applicable of adequate insurance proceeds for repair or restoration, or (7) if the casualty results in damage to the Premises which Landlord reasonably estimates will take in excess of 12 months after the beginning of restoration to restore the Premises to the same condition as existed on the Commencement Date. Tenant may terminate this Lease, upon thirty (30) days prior written notice to Landlord given within ninety (90) days after the occurrence of any casualty event if: (i) the Premises are damaged or destroyed and Landlord’s estimate of time to complete repairs (given within sixty (60) days after such casualty) is greater than two hundred seventy (270) days, or (ii) the Premises or Office Unit is damaged within the last twelve (12) months of the Term.</w:t>
      </w:r>
    </w:p>
    <w:p>
      <w:pPr>
        <w:spacing w:after="0" w:line="38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8.3 Tenant agrees that Landlord's obligation to restore, and the rental abatement provided in this Article, shall be Tenant's sole recourse against Landlord in the event of casualty damage to the Premises, and Tenant waives any other rights Tenant may have under any applicable law or any other Article of this Lease to terminate this Lease or seek damages against Landlord by reason of casualty damage to the Premises or the Office Unit. This Article represents the entire agreement between the parties respecting casualty damage to the Premises or the Office Unit.</w:t>
      </w:r>
    </w:p>
    <w:p>
      <w:pPr>
        <w:spacing w:after="0" w:line="176" w:lineRule="exact"/>
        <w:rPr>
          <w:sz w:val="20"/>
          <w:szCs w:val="20"/>
          <w:color w:val="auto"/>
        </w:rPr>
      </w:pPr>
    </w:p>
    <w:p>
      <w:pPr>
        <w:jc w:val="both"/>
        <w:ind w:firstLine="2"/>
        <w:spacing w:after="0" w:line="222" w:lineRule="auto"/>
        <w:tabs>
          <w:tab w:leader="none" w:pos="229"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SURRENDER OF PREMISES. </w:t>
      </w:r>
      <w:r>
        <w:rPr>
          <w:rFonts w:ascii="Arial" w:cs="Arial" w:eastAsia="Arial" w:hAnsi="Arial"/>
          <w:sz w:val="19"/>
          <w:szCs w:val="19"/>
          <w:color w:val="auto"/>
        </w:rPr>
        <w:t>Tenant shall deliver the Premises (together with all Tenant Improvements, alterations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made by or on behalf of Tenant) to Landlord upon the expiration or sooner termination of the Term or upon termination of Tenant's right of possession of the Premises in good condition, less ordinary wear and tear, or damage from casualty, excepted, failing which Landlord may restore the Premises to such condition and Tenant shall pay Landlord the cost thereof upon demand. All installations (including low voltage cabling), alterations, additions, hardware, non-trade</w:t>
      </w:r>
    </w:p>
    <w:p>
      <w:pPr>
        <w:sectPr>
          <w:pgSz w:w="11900" w:h="16838" w:orient="portrait"/>
          <w:cols w:equalWidth="0" w:num="1">
            <w:col w:w="10580"/>
          </w:cols>
          <w:pgMar w:left="740" w:top="1440" w:right="579" w:bottom="1440" w:gutter="0" w:footer="0" w:header="0"/>
        </w:sectPr>
      </w:pPr>
    </w:p>
    <w:bookmarkStart w:id="130" w:name="page131"/>
    <w:bookmarkEnd w:id="130"/>
    <w:p>
      <w:pPr>
        <w:spacing w:after="0" w:line="195" w:lineRule="exact"/>
        <w:rPr>
          <w:sz w:val="20"/>
          <w:szCs w:val="20"/>
          <w:color w:val="auto"/>
        </w:rPr>
      </w:pPr>
    </w:p>
    <w:p>
      <w:pPr>
        <w:jc w:val="both"/>
        <w:spacing w:after="0" w:line="213" w:lineRule="auto"/>
        <w:rPr>
          <w:sz w:val="20"/>
          <w:szCs w:val="20"/>
          <w:color w:val="auto"/>
        </w:rPr>
      </w:pPr>
      <w:r>
        <w:rPr>
          <w:rFonts w:ascii="Arial" w:cs="Arial" w:eastAsia="Arial" w:hAnsi="Arial"/>
          <w:sz w:val="19"/>
          <w:szCs w:val="19"/>
          <w:color w:val="auto"/>
        </w:rPr>
        <w:t>fixtures and improvements, temporary or permanent, except movable furniture, trade fixtures and equipment belonging to Tenant (“Fixtures”), in or upon the Premises, whether placed there by Tenant or Landlord, shall be Landlord's property and shall be relinquished to Landlord in good condition, ordinary wear and tear excepted, at the termination of this Lease or Tenant's right to possession by lapse of time or otherwise, all without compensation, allowance or credit to Tenant. At the time of approving alterations in accordance with Section 10 or the Tenant Improvements Work in Section 21, Landlord may identify in writing to Tenant that such alterations must be removed or restored at the end of the term. Tenant shall otherwise have no obligation to remove the Tenant Improvements or any alterations or improvements under this Section 9 that have been approved by Landlord in writing pursuant to Section 10 unless identified by Landlord in accordance with the immediately preceding sentence. If Tenant fails to comply with the provision of this paragraph, all personal property and equipment of Tenant shall be deemed abandoned and Landlord may remove the same upon two (2) business days’ notice and Tenant shall, upon demand, pay to Landlord the cost of such removal and of any necessary restoration of the Premises.</w:t>
      </w:r>
    </w:p>
    <w:p>
      <w:pPr>
        <w:spacing w:after="0" w:line="183" w:lineRule="exact"/>
        <w:rPr>
          <w:sz w:val="20"/>
          <w:szCs w:val="20"/>
          <w:color w:val="auto"/>
        </w:rPr>
      </w:pPr>
    </w:p>
    <w:p>
      <w:pPr>
        <w:ind w:left="640" w:hanging="639"/>
        <w:spacing w:after="0"/>
        <w:tabs>
          <w:tab w:leader="none" w:pos="64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ALTERATIONS.</w:t>
      </w:r>
    </w:p>
    <w:p>
      <w:pPr>
        <w:spacing w:after="0" w:line="22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10.1 No alteration, addition, or improvement to or installation in the Premises shall be made or permitted to be made by Tenant without the prior written consent of Landlord. Landlord shall not unreasonably withhold Landlord's consent subject to Tenant (a) obtaining Landlord's prior approval of final plans and specifications; (b) obtaining Landlord's prior approval of all contractors and subcontractors and their respective contracts; (c) obtaining all permits, approvals, and certificates required by any governmental or quasi-governmental bodies and, upon completion, certificates of final approval and shall deliver promptly duplicates of all such permits, approvals and certificates to Landlord; and (d) prior to occupancy by Tenant and/or commencement of any alterations or improvements by contractors or subcontractors, providing proof of coverage by any contractor by a certificate and/or copy of the policy complying with all insurance requirements set forth herein, as the same may be changed by written notice from Landlord to Tenant from time to time during the Term. Landlord shall either approve or make reasonable detailed comments on any plans and specifications within ten (10) days after delivery of such plans and specifications to Landlord, or within twenty (20) business days of Tenant’s delivery of such plans and specifications if the alteration, addition or improvement will impact the structural components or mechanical systems of the Office Unit. Landlord reserves the right to require Tenant to utilize certain subcontractors for the performance of alterations that may impact, modify, or otherwise affect the operation of the Office Unit’s systems or that may void or otherwise impact any applicable warranty. Before commencing any such work, Tenant shall furnish Landlord with certificates of insurance from all contractors performing labor or furnishing materials insuring Landlord with the following limits: (i) Workmen’s Compensation – statutory limits of liability; (ii) General Liability – $1,000,000 each occurrence/$2,000,000 aggregate; (iii) Automotive Liability - $250,000 each occurrence/$1,000,000 aggregate. In the event that Landlord approves a request for alteration, such approval shall not constitute a representation or warranty of Landlord as to the adequacy or sufficiency of such drawings, plans and specifications, or alterations, improvements, modifications or additions to which they relate, for any use, purpose or conditions, or that the same is acceptable for any governmental approvals or permits, or with respect to the design and engineering of any such work, but such approval shall merely be the consent of Landlord for Tenant to complete the proposed alterations. Notwithstanding anything to the contrary in this Lease, this Section 10 shall not apply to the initial Tenant Improvements outlined in Section 21. Upon completion of any alterations within the Premises, Tenant shall furnish to Landlord a full size original of all plans, all electronic files, and all CADD files, as may be applicable.</w:t>
      </w:r>
    </w:p>
    <w:p>
      <w:pPr>
        <w:spacing w:after="0" w:line="184"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10.2 Notwithstanding the foregoing, Landlord's written approval shall not be required for any project that will cost, in the aggregate (for a given project), less than $100,000.00 to complete and which will solely entail any or all of the following types of work: (a) the laying of carpeting or vinyl flooring within the Premises, (b) the painting of interior surfaces of the Premises, (c) the hanging of pictures,</w:t>
      </w:r>
    </w:p>
    <w:p>
      <w:pPr>
        <w:sectPr>
          <w:pgSz w:w="11900" w:h="16838" w:orient="portrait"/>
          <w:cols w:equalWidth="0" w:num="1">
            <w:col w:w="10580"/>
          </w:cols>
          <w:pgMar w:left="740" w:top="1440" w:right="579" w:bottom="1440" w:gutter="0" w:footer="0" w:header="0"/>
        </w:sectPr>
      </w:pPr>
    </w:p>
    <w:bookmarkStart w:id="131" w:name="page132"/>
    <w:bookmarkEnd w:id="131"/>
    <w:p>
      <w:pPr>
        <w:spacing w:after="0" w:line="195" w:lineRule="exact"/>
        <w:rPr>
          <w:sz w:val="20"/>
          <w:szCs w:val="20"/>
          <w:color w:val="auto"/>
        </w:rPr>
      </w:pPr>
    </w:p>
    <w:p>
      <w:pPr>
        <w:jc w:val="both"/>
        <w:spacing w:after="0" w:line="212" w:lineRule="auto"/>
        <w:rPr>
          <w:sz w:val="20"/>
          <w:szCs w:val="20"/>
          <w:color w:val="auto"/>
        </w:rPr>
      </w:pPr>
      <w:r>
        <w:rPr>
          <w:rFonts w:ascii="Arial" w:cs="Arial" w:eastAsia="Arial" w:hAnsi="Arial"/>
          <w:sz w:val="19"/>
          <w:szCs w:val="19"/>
          <w:color w:val="auto"/>
        </w:rPr>
        <w:t>diplomas, objects of art or similar items within the Premises in a manner consistent with applicable Building rules and regulations, and (d) the undertaking of cosmetic alterations that will not in any way impact the exterior of the Office Unit or the Office Unit’s external appearance and will not impact or have the potential to impact or affect in any manner the Office Unit’s structural, roofing, mechanical, HVAC, electrical or plumbing systems, base building systems, or any such systems components; provided, however, that Tenant shall nonetheless give Landlord prior written notice of any intended work or alterations (except as to matters described in clause (c) hereof), together with a detailed description thereof, and such work or alterations shall be undertaken in accordance with all of Landlord's then-applicable rules and regulations and the other terms of this Lease, and shall be subject to Landlord's reasonable scheduling requirements if the work is of a nature that might disturb other tenants of the Office Unit or interfere with ongoing construction activities elsewhere in the Office Unit. To the extent that Tenant desires to complete any alterations in accordance with US Green Building Council’s (“USGBC”) standards and objectives, Tenant may utilize the performance standards set forth for commercial interiors LEED CI rating system to certify the alterations with the USGBC. Landlord makes no representations or warranties that any or all alterations will be certified and Tenant should coordinate with USGBC prior to commencing any such alterations.</w:t>
      </w:r>
    </w:p>
    <w:p>
      <w:pPr>
        <w:spacing w:after="0" w:line="191"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10.3 Tenant hereby agrees to defend, indemnify, and hold harmless Landlord, its agents and employees from any and all liabilities of every kind and description which may arise out of or be connected in any way with any such work, including the filing of mechanics’ liens or other claims. Tenant agrees to repair immediately any damage to the Property caused by, or in connection with, the removal of any articles of personal property, business or trade fixtures, alterations, improvements and installations, including, without limitation thereto, repairing the floor and patching and painting the walls where required by Landlord, to Landlord's satisfaction.</w:t>
      </w:r>
    </w:p>
    <w:p>
      <w:pPr>
        <w:spacing w:after="0" w:line="20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10.4 All alterations, additions, or improvements made, installed in, or attached to the Premises by Tenant, upon the consent specified above, shall be made at Tenant’s expense at Tenant’s sole risk and in a good and workmanlike manner with labor and materials of such quality as Landlord may reasonably require (it being understood that materials equal to or better than those that are then existing shall be considered acceptable), strictly in accordance with the plans and specifications approved by Landlord, all applicable codes, laws, ordinances, regulations, and other requirements of any appropriate governmental authority, and any applicable covenants or other restrictions, and prosecuted diligently and continuously to completion so as to minimize interference with the normal business operations of other tenants in the Office Unit, the performance of Landlord’s obligations under this Lease and any work being done by contractors engaged by Landlord with respect to or in connection with the Office Unit. Tenant’s architect and engineers must be licensed in the Commonwealth of Pennsylvania and must be insured.</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10.5 Other than as related to the initial buildout for Tenant, Tenant agrees to reimburse Landlord a reasonable fee equal to the costs incurred or otherwise invoiced to Landlord by Landlord’s consultants for examination and approval of any architectural or engineering plans and specifications, which shall be payable as Additional Rent within thirty (30) days after demand.</w:t>
      </w:r>
    </w:p>
    <w:p>
      <w:pPr>
        <w:spacing w:after="0" w:line="179"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10.6 Upon completing any such work that exceeds $100,000.00 in costs, Tenant shall furnish Landlord with contractors' affidavits and full and final waivers of lien and receipted bills covering all labor and materials expended and used. Tenant shall obtain valid and effective lien waiver(s) from each sub- contractor, contractor, and material provider in exchange for all payments made to such sub-contractor, contractor, and material provider for any such work or materials, however, copies of paid invoices may be provided in lieu of lien waivers for material suppliers. All such work shall comply with all insurance requirements, with all of Landlord's Rules and Regulations, and with all applicable laws (including, but not limited to The Americans with Disabilities Act), ordinances, and regulations. If any such work results in a change in the heating, cooling or ventilating load in the Premises, Tenant shall, at its expense, and after approval from Landlord, modify the existing systems to accommodate such load change. Tenant shall also</w:t>
      </w:r>
    </w:p>
    <w:p>
      <w:pPr>
        <w:sectPr>
          <w:pgSz w:w="11900" w:h="16838" w:orient="portrait"/>
          <w:cols w:equalWidth="0" w:num="1">
            <w:col w:w="10580"/>
          </w:cols>
          <w:pgMar w:left="740" w:top="1440" w:right="579" w:bottom="1440" w:gutter="0" w:footer="0" w:header="0"/>
        </w:sectPr>
      </w:pPr>
    </w:p>
    <w:bookmarkStart w:id="132" w:name="page133"/>
    <w:bookmarkEnd w:id="132"/>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deliver to Landlord a complete copy of the “as-built” or final plans and specifications for all alterations or physical additions so made in or to the Premises within sixty (60) days of completing the work.</w:t>
      </w:r>
    </w:p>
    <w:p>
      <w:pPr>
        <w:spacing w:after="0" w:line="16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8"/>
          <w:szCs w:val="18"/>
          <w:color w:val="auto"/>
        </w:rPr>
        <w:t>Tenant shall have the non-exclusive rights at Tenant’s sole cost and expense and upon Landlord’s prior written</w:t>
      </w:r>
    </w:p>
    <w:p>
      <w:pPr>
        <w:jc w:val="both"/>
        <w:ind w:right="200"/>
        <w:spacing w:after="0" w:line="209" w:lineRule="auto"/>
        <w:rPr>
          <w:sz w:val="20"/>
          <w:szCs w:val="20"/>
          <w:color w:val="auto"/>
        </w:rPr>
      </w:pPr>
      <w:r>
        <w:rPr>
          <w:rFonts w:ascii="Arial" w:cs="Arial" w:eastAsia="Arial" w:hAnsi="Arial"/>
          <w:sz w:val="20"/>
          <w:szCs w:val="20"/>
          <w:color w:val="auto"/>
        </w:rPr>
        <w:t>approval, not to be unreasonably withheld, conditioned, or delayed, (a) to place one (1) antenna or satellite dish on the roof of the Building in an area not to exceed one hundred square feet (hereinafter “Satellite Dish”), and (b) to install a direct fiber line for internet in the Building, each being subject to the rules and regulations set forth on Exhibit “I” attached hereto and incorporated herein by reference.</w:t>
      </w:r>
    </w:p>
    <w:p>
      <w:pPr>
        <w:spacing w:after="0" w:line="176" w:lineRule="exact"/>
        <w:rPr>
          <w:sz w:val="20"/>
          <w:szCs w:val="20"/>
          <w:color w:val="auto"/>
        </w:rPr>
      </w:pPr>
    </w:p>
    <w:p>
      <w:pPr>
        <w:ind w:left="620" w:hanging="619"/>
        <w:spacing w:after="0"/>
        <w:tabs>
          <w:tab w:leader="none" w:pos="62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REPAIRS AND MAINTENANCE.</w:t>
      </w:r>
    </w:p>
    <w:p>
      <w:pPr>
        <w:spacing w:after="0" w:line="222" w:lineRule="exact"/>
        <w:rPr>
          <w:sz w:val="20"/>
          <w:szCs w:val="20"/>
          <w:color w:val="auto"/>
        </w:rPr>
      </w:pPr>
    </w:p>
    <w:p>
      <w:pPr>
        <w:jc w:val="both"/>
        <w:ind w:right="200" w:firstLine="648"/>
        <w:spacing w:after="0" w:line="22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Landlord’s Repairs and Maintenance</w:t>
      </w:r>
      <w:r>
        <w:rPr>
          <w:rFonts w:ascii="Arial" w:cs="Arial" w:eastAsia="Arial" w:hAnsi="Arial"/>
          <w:sz w:val="18"/>
          <w:szCs w:val="18"/>
          <w:color w:val="auto"/>
        </w:rPr>
        <w:t>. Landlord shall keep the roof, roof membrane, foundation, exterior walls, windows, window seals, Common Areas, electrical systems, HVAC systems, plumbing systems, fire suppression systems, fire alarm systems and all common sewer and utility lines located outside the Premises, in good order and repair consistent with Class A buildings in the Pittsburgh metropolitan area and in compliance with all applicable laws, and in a tenantable, safe condition. Landlord shall be responsible for the repair, maintenance, and replacement of light bulbs and lighting fixtures located within the Premises, with such costs and expenses being the responsibility of Tenant. Landlord shall have no obligation to maintain, replace, or repair any other improvements located within the Premises, the maintenance of which is and shall be the responsibility of Tenant. Notwithstanding the obligation of Landlord under this Section 11.1, Tenant shall be responsible for the cost of any and all damage and / or repairs arising from the negligence or willful misconduct of Tenant or any of the Tenant Parties. Landlord shall have no obligation to make any repairs unless and until Tenant notifies Landlord in writing of the necessity thereof, in which event Landlord shall have reasonable time in which to make such repairs; however, Tenant may notify Landlord verbally of any emergency repairs or any minor, routine or day-to-day repairs which need to be made.</w:t>
      </w:r>
    </w:p>
    <w:p>
      <w:pPr>
        <w:spacing w:after="0" w:line="196"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color w:val="auto"/>
        </w:rPr>
        <w:t>Landlord covenants to use commercially reasonable efforts to implement repairs, alterations, additions or improvements (including, without limitation, any work related to the initial construction of the Building) in a timely and expeditious manner and covenants to take reasonable steps to minimize disruption and interference with Tenant’s operations in the Premises. Provided Landlord reasonably complies with the preceding sentence, Landlord shall not be liable by reason of any inconvenience, injury to, or interference with Tenant's business arising from the making of any repairs, alterations, additions or improvements in or to the Premises or the Property and Office Unit or to any appurtenances or equipment therein. Prior to commencing any such repairs, alterations, additions, or improvements that are reasonably anticipated to be disruptive to Tenant’s business operations within the Premises, Landlord will provide Tenant with notice prior to commencement of such work. No prior notice shall be required for any repairs completed during an ongoing emergency. There shall be no abatement of Rent because of such repairs, alterations, additions, or improvements except as specifically set forth in Section 8 of this Lease. To the extent requested by Tenant and subject to scheduling limitations, Landlord shall use commercially reasonable efforts, at Tenant’s expense, to perform such work at times other than during the normal Business Hours if reasonably required to avoid disruption to Tenant’s business operations in the Premises. Tenant shall pay any additional costs incurred for the completion of any such maintenance or repairs after normal Building Hours as Additional Rent hereunder.</w:t>
      </w:r>
    </w:p>
    <w:p>
      <w:pPr>
        <w:spacing w:after="0" w:line="198" w:lineRule="exact"/>
        <w:rPr>
          <w:sz w:val="20"/>
          <w:szCs w:val="20"/>
          <w:color w:val="auto"/>
        </w:rPr>
      </w:pPr>
    </w:p>
    <w:p>
      <w:pPr>
        <w:jc w:val="both"/>
        <w:ind w:right="200" w:firstLine="648"/>
        <w:spacing w:after="0" w:line="202"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Tenant’s Repairs and Maintenance</w:t>
      </w:r>
      <w:r>
        <w:rPr>
          <w:rFonts w:ascii="Arial" w:cs="Arial" w:eastAsia="Arial" w:hAnsi="Arial"/>
          <w:sz w:val="20"/>
          <w:szCs w:val="20"/>
          <w:color w:val="auto"/>
        </w:rPr>
        <w:t>. Tenant shall keep the Premises free from all litter, dirt, debris, and obstructions and in a clean and sanitary condition. Tenant will not commit any act that damages the Premises or Office Unit and will take good care of the Premises. Except as otherwise provided in Section</w:t>
      </w:r>
    </w:p>
    <w:p>
      <w:pPr>
        <w:spacing w:after="0" w:line="2" w:lineRule="exact"/>
        <w:rPr>
          <w:sz w:val="20"/>
          <w:szCs w:val="20"/>
          <w:color w:val="auto"/>
        </w:rPr>
      </w:pPr>
    </w:p>
    <w:p>
      <w:pPr>
        <w:jc w:val="both"/>
        <w:ind w:right="200"/>
        <w:spacing w:after="0" w:line="220" w:lineRule="auto"/>
        <w:rPr>
          <w:sz w:val="20"/>
          <w:szCs w:val="20"/>
          <w:color w:val="auto"/>
        </w:rPr>
      </w:pPr>
      <w:r>
        <w:rPr>
          <w:rFonts w:ascii="Arial" w:cs="Arial" w:eastAsia="Arial" w:hAnsi="Arial"/>
          <w:sz w:val="20"/>
          <w:szCs w:val="20"/>
          <w:color w:val="auto"/>
        </w:rPr>
        <w:t>11.1 hereof, Tenant shall maintain, replace, and repair the Premises, including, but not limited to, florescent or other bulb replacement, finishes, wall coverings, carpets, fixtures, floor coverings, low voltage wiring</w:t>
      </w:r>
    </w:p>
    <w:p>
      <w:pPr>
        <w:sectPr>
          <w:pgSz w:w="11900" w:h="16838" w:orient="portrait"/>
          <w:cols w:equalWidth="0" w:num="1">
            <w:col w:w="10780"/>
          </w:cols>
          <w:pgMar w:left="740" w:top="1440" w:right="379" w:bottom="1440" w:gutter="0" w:footer="0" w:header="0"/>
        </w:sectPr>
      </w:pPr>
    </w:p>
    <w:bookmarkStart w:id="133" w:name="page134"/>
    <w:bookmarkEnd w:id="133"/>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glass within the Premises, and shall keep the Premises and the fixtures herein neat and in good, operable and orderly condition in such a manner so that the Premises are maintained in good condition and suitable for Tenant’s Permitted Use. At the expiration or other termination of this Lease, Tenant shall surrender the Premises (and keys thereto) in as good condition as when received, loss by fire or other casualty not the result of any act or omission by Tenant, or ordinary wear and tear only excepted.</w:t>
      </w:r>
    </w:p>
    <w:p>
      <w:pPr>
        <w:spacing w:after="0" w:line="179" w:lineRule="exact"/>
        <w:rPr>
          <w:sz w:val="20"/>
          <w:szCs w:val="20"/>
          <w:color w:val="auto"/>
        </w:rPr>
      </w:pPr>
    </w:p>
    <w:p>
      <w:pPr>
        <w:jc w:val="both"/>
        <w:ind w:firstLine="2"/>
        <w:spacing w:after="0" w:line="211" w:lineRule="auto"/>
        <w:tabs>
          <w:tab w:leader="none" w:pos="882"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RULES AND REGULATIONS. </w:t>
      </w:r>
      <w:r>
        <w:rPr>
          <w:rFonts w:ascii="Arial" w:cs="Arial" w:eastAsia="Arial" w:hAnsi="Arial"/>
          <w:sz w:val="20"/>
          <w:szCs w:val="20"/>
          <w:color w:val="auto"/>
        </w:rPr>
        <w:t>Tenant shall abide by the current Rules and Regulations for the Office Unit attached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this Lease and made a part hereof as </w:t>
      </w:r>
      <w:r>
        <w:rPr>
          <w:rFonts w:ascii="Arial" w:cs="Arial" w:eastAsia="Arial" w:hAnsi="Arial"/>
          <w:sz w:val="20"/>
          <w:szCs w:val="20"/>
          <w:u w:val="single" w:color="auto"/>
          <w:color w:val="auto"/>
        </w:rPr>
        <w:t>Exhibit “C”</w:t>
      </w:r>
      <w:r>
        <w:rPr>
          <w:rFonts w:ascii="Arial" w:cs="Arial" w:eastAsia="Arial" w:hAnsi="Arial"/>
          <w:sz w:val="20"/>
          <w:szCs w:val="20"/>
          <w:color w:val="auto"/>
        </w:rPr>
        <w:t>, the Dog Policy Rules and Regulations attached to this Lease and made a part hereof as Exhibit “C-1”, the Food Preparation Rules and Regulations attached to this Lease and made a part hereof as Exhibit “C-2”, and by all additional reasonable rules and regulations as may be adopted and equitably enforced by Landlord from time to time for the operation and management of the Office Unit and Property.</w:t>
      </w:r>
    </w:p>
    <w:p>
      <w:pPr>
        <w:spacing w:after="0" w:line="177" w:lineRule="exact"/>
        <w:rPr>
          <w:rFonts w:ascii="Arial" w:cs="Arial" w:eastAsia="Arial" w:hAnsi="Arial"/>
          <w:sz w:val="20"/>
          <w:szCs w:val="20"/>
          <w:b w:val="1"/>
          <w:bCs w:val="1"/>
          <w:color w:val="auto"/>
        </w:rPr>
      </w:pPr>
    </w:p>
    <w:p>
      <w:pPr>
        <w:ind w:left="640" w:hanging="639"/>
        <w:spacing w:after="0"/>
        <w:tabs>
          <w:tab w:leader="none" w:pos="64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 AND SUBLETTING.</w:t>
      </w:r>
    </w:p>
    <w:p>
      <w:pPr>
        <w:spacing w:after="0" w:line="22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13.1. Tenant, for itself, its heirs, distributees, executors, administrators, legal representatives, successors and assigns, expressly covenants that it shall not, voluntarily, involuntarily, by operation of law or otherwise, without Landlord's prior written consent (a) assign, convey, mortgage, pledge, encumber, hypothecate, or otherwise transfer this Lease or any interest therein; (b) allow any lien upon Tenant's interest; (c) sublet the Premises or any part thereof; (d) permit the use or occupancy of the Premises or any part thereof by anyone other than Tenant; or (e) grant any concession or license within the Premises. Tenant shall, by written notice, advise Landlord of any proposed assignment or subletting which notice shall state the name and address of the proposed assignee or subtenant, a summary of the terms of such subletting or assignment, including without limitation, all rent and/or other consideration payable thereunder or in connection therewith, and the effective date of such assignment or subletting (which shall be not less than thirty (30) days from the date such notice is given) (the “Tenant Notice”), and, concurrently with such Tenant Notice, Tenant shall deliver to Landlord a complete, unexecuted copy of the proposed sublease or assignment, all other documents and instruments related thereto and the proposed assignee's or subtenant's most recent financial statements for the past twelve (12) month period. Landlord shall have the right to make such investigations as it deems reasonable and necessary in determining the acceptability of the proposed assignee or subtenant. In the case of a sublease only, Landlord, at its election, shall have the right to be exercised by notice to Tenant given within ten (10) days after Landlord's receipt of Tenant's Notice, to terminate this Lease with respect to the space therein described as of the date stated in Tenant's Notice. If Tenant's Notice shall cover all of the Premises, and Landlord shall give the aforesaid termination notice, the Term of this Lease shall expire and end on the date stated in Tenant's notice as the effective date of subletting as fully and completely as if that date had been herein definitely fixed for the expiration of the Term. If, however, this Lease shall be terminated by Landlord pursuant to the foregoing with respect to less than the entire Premises, the Rent herein reserved shall be adjusted on the basis of the number of square feet of rentable area retained by Tenant in proportion to the number of square feet of rentable area in the entire Premises, and this Lease, as so amended, shall continue thereafter in full force and effect. If Landlord shall terminate this Lease in whole or in part as aforesaid, Landlord shall be free to deal directly with any such proposed subtenant without any responsibility or liability to Tenant on account thereof. Upon Landlord’s consent to any assignment or sublease, prior to the assignee’s or subtenant’s occupancy of the Premises, Tenant shall deliver to Landlord a true and complete copy of the executed sublease or assignment and all other documents and instruments related thereto.</w:t>
      </w:r>
    </w:p>
    <w:p>
      <w:pPr>
        <w:spacing w:after="0" w:line="18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13.2 Landlord, upon receiving the Tenant Notice with respect to any such space, will not unreasonably withhold its consent to Tenant's assigning or subletting the space covered by the Tenant Notice and shall provide its consent or denial within ten</w:t>
      </w:r>
    </w:p>
    <w:p>
      <w:pPr>
        <w:spacing w:after="0" w:line="1" w:lineRule="exact"/>
        <w:rPr>
          <w:sz w:val="20"/>
          <w:szCs w:val="20"/>
          <w:color w:val="auto"/>
        </w:rPr>
      </w:pPr>
    </w:p>
    <w:p>
      <w:pPr>
        <w:ind w:firstLine="2"/>
        <w:spacing w:after="0" w:line="250" w:lineRule="auto"/>
        <w:tabs>
          <w:tab w:leader="none" w:pos="3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business days thereafter (Landlord’s failure to provide a response shall be deemed to be a denial of such request). Tenant agrees that any such assignment or sublease shall be subject to the following: (i) at the time thereof Tenant is not in default under</w:t>
      </w:r>
    </w:p>
    <w:p>
      <w:pPr>
        <w:sectPr>
          <w:pgSz w:w="11900" w:h="16838" w:orient="portrait"/>
          <w:cols w:equalWidth="0" w:num="1">
            <w:col w:w="10580"/>
          </w:cols>
          <w:pgMar w:left="740" w:top="1440" w:right="579" w:bottom="1440" w:gutter="0" w:footer="0" w:header="0"/>
        </w:sectPr>
      </w:pPr>
    </w:p>
    <w:bookmarkStart w:id="134" w:name="page135"/>
    <w:bookmarkEnd w:id="134"/>
    <w:p>
      <w:pPr>
        <w:spacing w:after="0" w:line="195"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this Lease beyond any notice and cure provision; (ii) Landlord, in its sole discretion reasonably exercised, determines that the business and proposed use of the Premises of the proposed subtenant or occupant, as the case may be, are consistent with the Permitted Use described in this Lease; (iii) any assignee or subtenant shall expressly assume all the obligations of this Lease on Tenant's part to be performed; (iv) such consent, if given, shall not release Tenant of any of its obligations or liabilities whether past, present, or future (including, without limitation, its obligation to pay Rent) under this Lease; (v) Tenant agrees specifically to pay over to Landlord, as Additional Rent, all sums received by Tenant under the terms and conditions to such assignment or sublease which are in excess of the amounts otherwise required to be paid pursuant to this Lease, including, but not limited to, all other consideration, payments for furniture, fixtures, or equipment, and all other consideration of any form, type, or substance; (vi) a consent to one assignment, subletting, occupation or use shall be limited to such particular assignment, sublease, or occupation and shall not be deemed to constitute Landlord's consent to an assignment or sublease to or occupation by another person or entity; (vii) the liability of Tenant and each assignee will be joint, several, and primary for the observance of all the provisions, obligations and undertaking of this Lease, including the payment of Fixed Basic Rent and Additional Rent through the entire Term as the same may be renewed, extended, or otherwise modified, (viii) not in violation of any exclusive use restrictions in any occupancy or other agreement for space within the Office Unit, and (ix) Tenant will pay Landlord a reasonable administrative fee not to exceed $1,500.00 for fees incurred with respect to each request for consent, payable as Additional Rent. Any such assignment or subletting without such consent shall be void.</w:t>
      </w:r>
    </w:p>
    <w:p>
      <w:pPr>
        <w:spacing w:after="0" w:line="194"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13.3 Excepting any Permitted Transfer (defined below), in the event of a full assignment or sublease of this Lease through the end of the Term, any option or similar right of Tenant hereunder, including without limitation, any option to extend or renew, option to expand, first offer or first refusal right, or first right to lease, and all exterior signage rights are terminated; all options granted to Tenant hereunder upon the execution of the assignment or sublease shall henceforth become null and void and Tenant shall have no further rights thereto or therein.</w:t>
      </w:r>
    </w:p>
    <w:p>
      <w:pPr>
        <w:spacing w:after="0" w:line="182"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color w:val="auto"/>
        </w:rPr>
        <w:t>13.4 Notwithstanding anything contained in this Lease to the contrary, Tenant may assign this Lease or sublet all or any portion of the Premises (without Landlord’s prior written consent, but upon written notice to Landlord within five (5) days of any such assignment or sublease) to (i) any corporation or other entity directly or indirectly controlling or controlled by Tenant or under common control with Tenant, or</w:t>
      </w:r>
    </w:p>
    <w:p>
      <w:pPr>
        <w:spacing w:after="0" w:line="2" w:lineRule="exact"/>
        <w:rPr>
          <w:sz w:val="20"/>
          <w:szCs w:val="20"/>
          <w:color w:val="auto"/>
        </w:rPr>
      </w:pPr>
    </w:p>
    <w:p>
      <w:pPr>
        <w:jc w:val="both"/>
        <w:ind w:firstLine="2"/>
        <w:spacing w:after="0" w:line="219" w:lineRule="auto"/>
        <w:tabs>
          <w:tab w:leader="none" w:pos="3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successor by merger, consolidation, corporate reorganization or acquisition of all or substantially all of the assets of Tenant (any transaction referred to in clauses (i) or (ii) hereof will be a “Permitted Transfer”) provided that the net worth of any transferee of a Permitted Transfer will not be less than the greater of (A) the net worth of Tenant immediately preceding the Permitted Transfer or</w:t>
      </w:r>
    </w:p>
    <w:p>
      <w:pPr>
        <w:jc w:val="both"/>
        <w:spacing w:after="0" w:line="209" w:lineRule="auto"/>
        <w:rPr>
          <w:rFonts w:ascii="Arial" w:cs="Arial" w:eastAsia="Arial" w:hAnsi="Arial"/>
          <w:sz w:val="18"/>
          <w:szCs w:val="18"/>
          <w:color w:val="auto"/>
        </w:rPr>
      </w:pPr>
      <w:r>
        <w:rPr>
          <w:rFonts w:ascii="Arial" w:cs="Arial" w:eastAsia="Arial" w:hAnsi="Arial"/>
          <w:sz w:val="20"/>
          <w:szCs w:val="20"/>
          <w:color w:val="auto"/>
        </w:rPr>
        <w:t>(B) the net worth of Tenant as of the date of the execution and delivery of this Lease by both parties. Any other assignment or subleasing of Tenant’s interest under this Lease will be subject to Landlord’s approval, which approval will not be unreasonably, withheld, conditioned or delayed. To the extent requested by Landlord, Tenant and any assignee or sublease shall execute a written agreement evidencing such assignment or sublease.</w:t>
      </w:r>
    </w:p>
    <w:p>
      <w:pPr>
        <w:spacing w:after="0" w:line="19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13.5 In addition to any other grounds for denial, Tenant agrees that it shall be reasonable for Landlord to withhold Landlord’s consent to a proposed assignment or sublease (except as otherwise provided in subparagraph 13.4 above) if, in Landlord’s good faith judgment:</w:t>
      </w:r>
    </w:p>
    <w:p>
      <w:pPr>
        <w:spacing w:after="0" w:line="183" w:lineRule="exact"/>
        <w:rPr>
          <w:sz w:val="20"/>
          <w:szCs w:val="20"/>
          <w:color w:val="auto"/>
        </w:rPr>
      </w:pPr>
    </w:p>
    <w:p>
      <w:pPr>
        <w:ind w:left="60" w:right="40" w:firstLine="1172"/>
        <w:spacing w:after="0" w:line="229" w:lineRule="auto"/>
        <w:tabs>
          <w:tab w:leader="none" w:pos="1513"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proposed assignee or subtenant does not have the financial strength to perform its obligations under this Lease or any proposed sublease;</w:t>
      </w:r>
    </w:p>
    <w:p>
      <w:pPr>
        <w:spacing w:after="0" w:line="195" w:lineRule="exact"/>
        <w:rPr>
          <w:rFonts w:ascii="Arial" w:cs="Arial" w:eastAsia="Arial" w:hAnsi="Arial"/>
          <w:sz w:val="20"/>
          <w:szCs w:val="20"/>
          <w:color w:val="auto"/>
        </w:rPr>
      </w:pPr>
    </w:p>
    <w:p>
      <w:pPr>
        <w:ind w:left="60" w:right="700" w:firstLine="1172"/>
        <w:spacing w:after="0" w:line="229" w:lineRule="auto"/>
        <w:tabs>
          <w:tab w:leader="none" w:pos="1524"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proposed assignee or subtenant is a business competitor of Landlord or Manager, or is an affiliate of a business competitor of Landlord or Manager;</w:t>
      </w:r>
    </w:p>
    <w:p>
      <w:pPr>
        <w:sectPr>
          <w:pgSz w:w="11900" w:h="16838" w:orient="portrait"/>
          <w:cols w:equalWidth="0" w:num="1">
            <w:col w:w="10580"/>
          </w:cols>
          <w:pgMar w:left="740" w:top="1440" w:right="579" w:bottom="1440" w:gutter="0" w:footer="0" w:header="0"/>
        </w:sectPr>
      </w:pPr>
    </w:p>
    <w:bookmarkStart w:id="135" w:name="page136"/>
    <w:bookmarkEnd w:id="135"/>
    <w:p>
      <w:pPr>
        <w:spacing w:after="0" w:line="195" w:lineRule="exact"/>
        <w:rPr>
          <w:sz w:val="20"/>
          <w:szCs w:val="20"/>
          <w:color w:val="auto"/>
        </w:rPr>
      </w:pPr>
    </w:p>
    <w:p>
      <w:pPr>
        <w:jc w:val="both"/>
        <w:ind w:left="60" w:firstLine="1172"/>
        <w:spacing w:after="0" w:line="213" w:lineRule="auto"/>
        <w:tabs>
          <w:tab w:leader="none" w:pos="1513"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proposed assignee or subtenant intends to use any part of the Premises for a purpose not permitted under this Lease, for a use that Landlord considers to be inconsistent with the quality of the Office Unit or with other uses in the Office Unit, or in conflict with any exclusive uses then granted to other tenants of the Office Unit, or for a use entailing the use, storage, generation or transport of Hazardous Materials within the Office Unit; or</w:t>
      </w:r>
    </w:p>
    <w:p>
      <w:pPr>
        <w:spacing w:after="0" w:line="182" w:lineRule="exact"/>
        <w:rPr>
          <w:rFonts w:ascii="Arial" w:cs="Arial" w:eastAsia="Arial" w:hAnsi="Arial"/>
          <w:sz w:val="20"/>
          <w:szCs w:val="20"/>
          <w:color w:val="auto"/>
        </w:rPr>
      </w:pPr>
    </w:p>
    <w:p>
      <w:pPr>
        <w:jc w:val="both"/>
        <w:ind w:left="60" w:firstLine="1172"/>
        <w:spacing w:after="0" w:line="207" w:lineRule="auto"/>
        <w:tabs>
          <w:tab w:leader="none" w:pos="1524" w:val="left"/>
        </w:tabs>
        <w:numPr>
          <w:ilvl w:val="1"/>
          <w:numId w:val="86"/>
        </w:numPr>
        <w:rPr>
          <w:rFonts w:ascii="Arial" w:cs="Arial" w:eastAsia="Arial" w:hAnsi="Arial"/>
          <w:sz w:val="20"/>
          <w:szCs w:val="20"/>
          <w:color w:val="auto"/>
        </w:rPr>
      </w:pPr>
      <w:r>
        <w:rPr>
          <w:rFonts w:ascii="Arial" w:cs="Arial" w:eastAsia="Arial" w:hAnsi="Arial"/>
          <w:sz w:val="20"/>
          <w:szCs w:val="20"/>
          <w:color w:val="auto"/>
        </w:rPr>
        <w:t>a prospective tenant to whom Landlord has shown space in the Office Unit, and with whom Landlord has proposed possible lease terms, within the six (6) months preceding Landlord’s receipt of the Tenant Notice and, in any of such events, at the time of Landlord's receipt of the Tenant's Notice for consent hereunder any portion of the Office Unit is not fully leased to other tenants and Landlord is able to meet the square footage requirements of Tenant's proposed assignee or subtenant by leasing to such person or entity available space in the Office Unit that is reasonably comparable to the Premises (or the portion thereof proposed to be occupied by such person or entity).</w:t>
      </w:r>
    </w:p>
    <w:p>
      <w:pPr>
        <w:spacing w:after="0" w:line="194" w:lineRule="exact"/>
        <w:rPr>
          <w:rFonts w:ascii="Arial" w:cs="Arial" w:eastAsia="Arial" w:hAnsi="Arial"/>
          <w:sz w:val="20"/>
          <w:szCs w:val="20"/>
          <w:color w:val="auto"/>
        </w:rPr>
      </w:pPr>
    </w:p>
    <w:p>
      <w:pPr>
        <w:jc w:val="both"/>
        <w:ind w:firstLine="2"/>
        <w:spacing w:after="0" w:line="258" w:lineRule="auto"/>
        <w:tabs>
          <w:tab w:leader="none" w:pos="882"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HOLDING OVER. </w:t>
      </w:r>
      <w:r>
        <w:rPr>
          <w:rFonts w:ascii="Arial" w:cs="Arial" w:eastAsia="Arial" w:hAnsi="Arial"/>
          <w:sz w:val="16"/>
          <w:szCs w:val="16"/>
          <w:color w:val="auto"/>
        </w:rPr>
        <w:t>If Tenant retains possession of the Premises, or any part thereof, after the expiration or earlier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this Lease, Tenant shall pay Fixed Basic Rent at an annual rate equal to 150% of the Fixed Basic Rent payable for the last month of the Term immediately preceding said holdover computed on a per month basis and 100% of Additional Rent, and any damages sustained by Landlord as a result of such holdover. If any holdover in any portion of the Premises continues for a period exceeding thirty (30) days after delivery by Landlord of a written notice to vacate, then Tenant shall also be liable for any and all damages incurred by Landlord as a result of such holding over. The provisions of this Paragraph do not waive the Landlord’s right of re-entry or any other right hereunder that may be awarded by a court of law, and Landlord’s acceptance of Rent after expiration of the Term or earlier termination of this Lease shall not constitute consent to a holdover or result in a renewal. Nothing contained herein shall be construed to constitute Landlord’s consent to Tenant holding over after the expiration or earlier termination of the Term.</w:t>
      </w:r>
    </w:p>
    <w:p>
      <w:pPr>
        <w:spacing w:after="0" w:line="163" w:lineRule="exact"/>
        <w:rPr>
          <w:rFonts w:ascii="Arial" w:cs="Arial" w:eastAsia="Arial" w:hAnsi="Arial"/>
          <w:sz w:val="16"/>
          <w:szCs w:val="16"/>
          <w:b w:val="1"/>
          <w:bCs w:val="1"/>
          <w:color w:val="auto"/>
        </w:rPr>
      </w:pPr>
    </w:p>
    <w:p>
      <w:pPr>
        <w:ind w:firstLine="2"/>
        <w:spacing w:after="0" w:line="232" w:lineRule="auto"/>
        <w:tabs>
          <w:tab w:leader="none" w:pos="882"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DEFAULT. </w:t>
      </w:r>
      <w:r>
        <w:rPr>
          <w:rFonts w:ascii="Arial" w:cs="Arial" w:eastAsia="Arial" w:hAnsi="Arial"/>
          <w:sz w:val="20"/>
          <w:szCs w:val="20"/>
          <w:color w:val="auto"/>
        </w:rPr>
        <w:t>The occurrence of any one or more of the following shall constitute a default and breach of this Lease by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 “Default”).</w:t>
      </w:r>
    </w:p>
    <w:p>
      <w:pPr>
        <w:spacing w:after="0" w:line="19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15.1 A failure by Tenant to timely pay any installment of Rent hereunder or any such other sum which is required to be paid by Tenant continuing for five (5) days following delivery of written notice from Landlord, which prior notice shall only be required to be delivered by Landlord two (2) times per Calendar Year, whereupon any additional failure to timely pay Rent hereunder during such Calendar Year would constitute an automatic default;</w:t>
      </w:r>
    </w:p>
    <w:p>
      <w:pPr>
        <w:spacing w:after="0" w:line="196"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15.2 A failure by Tenant to observe and perform any other provision or covenant of this Lease to be observed or performed by Tenant, where such failure continues for thirty (30) days after written notice thereof from Landlord to Tenant, provided, however, that if the nature of the default is such that the same cannot reasonably be cured within such thirty (30) day period, Tenant shall not be deemed to be in default if Tenant shall within such period commence such cure and thereafter diligently prosecutes the same to completion (not to exceed ninety (90) days in the aggregate);</w:t>
      </w:r>
    </w:p>
    <w:p>
      <w:pPr>
        <w:spacing w:after="0" w:line="182"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18"/>
          <w:szCs w:val="18"/>
          <w:color w:val="auto"/>
        </w:rPr>
        <w:t>15.3 The filing of a petition by or against Tenant for adjudication as a bankrupt or insolvent or for its reorganization or for the appointment pursuant to any local, state or federal bankruptcy or insolvency law of receiver or trustee of Tenant’s property; or an assignment by Tenant for the benefit of creditors; or the taking possession of the property of Tenant by any local, state or federal government officer or agency or court-appointed official for the dissolution or liquidation of Tenant or for the operation, either temporarily or permanently, of Tenant’s business; provided, however, that if any such action is commenced against Tenant the same shall not constitute a default if Tenant causes the same to be dismissed within thirty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(30) days after the filing of same.</w:t>
      </w:r>
    </w:p>
    <w:p>
      <w:pPr>
        <w:sectPr>
          <w:pgSz w:w="11900" w:h="16838" w:orient="portrait"/>
          <w:cols w:equalWidth="0" w:num="1">
            <w:col w:w="10580"/>
          </w:cols>
          <w:pgMar w:left="740" w:top="1440" w:right="579" w:bottom="1440" w:gutter="0" w:footer="0" w:header="0"/>
        </w:sectPr>
      </w:pPr>
    </w:p>
    <w:bookmarkStart w:id="136" w:name="page137"/>
    <w:bookmarkEnd w:id="136"/>
    <w:p>
      <w:pPr>
        <w:spacing w:after="0" w:line="34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Intentionally omitted.</w:t>
      </w:r>
    </w:p>
    <w:p>
      <w:pPr>
        <w:spacing w:after="0" w:line="21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15.2 The filing of a lien upon the Premises or the Property or any part thereof as result of Tenant’s occupancy of the Premises, and the failure of Tenant to cause discharge or to bond against such lien within thirty (30) days after it receives actual notice from Landlord of same.</w:t>
      </w:r>
    </w:p>
    <w:p>
      <w:pPr>
        <w:spacing w:after="0" w:line="18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15.3 Tenant does not maintain in full force and effect and in the form required throughout the Term all insurance which Tenant is required to maintain under this Lease.</w:t>
      </w:r>
    </w:p>
    <w:p>
      <w:pPr>
        <w:spacing w:after="0" w:line="19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15.4 Any material misrepresentation by Tenant in this Lease, or material misrepresentation or omission in any financial statements or other materials provided by Tenant or any guarantor in connection with negotiating or entering this Lease or in connection with any sublease or assignment under Section 13.</w:t>
      </w:r>
    </w:p>
    <w:p>
      <w:pPr>
        <w:spacing w:after="0" w:line="197"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color w:val="auto"/>
        </w:rPr>
        <w:t>Any assignment of this Lease or sublease of the Premises not in accordance with Section 13 herein.</w:t>
      </w:r>
    </w:p>
    <w:p>
      <w:pPr>
        <w:spacing w:after="0" w:line="196" w:lineRule="exact"/>
        <w:rPr>
          <w:sz w:val="20"/>
          <w:szCs w:val="20"/>
          <w:color w:val="auto"/>
        </w:rPr>
      </w:pPr>
    </w:p>
    <w:p>
      <w:pPr>
        <w:ind w:left="640" w:hanging="639"/>
        <w:spacing w:after="0"/>
        <w:tabs>
          <w:tab w:leader="none" w:pos="64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REMEDIES.</w:t>
      </w:r>
    </w:p>
    <w:p>
      <w:pPr>
        <w:spacing w:after="0" w:line="208"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Landlord’s Options</w:t>
      </w:r>
      <w:r>
        <w:rPr>
          <w:rFonts w:ascii="Arial" w:cs="Arial" w:eastAsia="Arial" w:hAnsi="Arial"/>
          <w:sz w:val="20"/>
          <w:szCs w:val="20"/>
          <w:color w:val="auto"/>
        </w:rPr>
        <w:t>. Upon the occurrence of any such Default set forth above, Landlord shall have the right, at its option, without further notice or demand of any kind to do the following:</w:t>
      </w:r>
    </w:p>
    <w:p>
      <w:pPr>
        <w:spacing w:after="0" w:line="182" w:lineRule="exact"/>
        <w:rPr>
          <w:sz w:val="20"/>
          <w:szCs w:val="20"/>
          <w:color w:val="auto"/>
        </w:rPr>
      </w:pPr>
    </w:p>
    <w:p>
      <w:pPr>
        <w:ind w:left="640" w:right="160" w:firstLine="1306"/>
        <w:spacing w:after="0" w:line="229" w:lineRule="auto"/>
        <w:tabs>
          <w:tab w:leader="none" w:pos="2163" w:val="left"/>
        </w:tabs>
        <w:numPr>
          <w:ilvl w:val="0"/>
          <w:numId w:val="89"/>
        </w:numPr>
        <w:rPr>
          <w:rFonts w:ascii="Arial" w:cs="Arial" w:eastAsia="Arial" w:hAnsi="Arial"/>
          <w:sz w:val="20"/>
          <w:szCs w:val="20"/>
          <w:color w:val="auto"/>
        </w:rPr>
      </w:pPr>
      <w:r>
        <w:rPr>
          <w:rFonts w:ascii="Arial" w:cs="Arial" w:eastAsia="Arial" w:hAnsi="Arial"/>
          <w:sz w:val="20"/>
          <w:szCs w:val="20"/>
          <w:color w:val="auto"/>
        </w:rPr>
        <w:t>Terminate this Lease and Tenant's right to possession of the Premises and/or proceed in accordance with any and all provisions of Section 16.2 below; or</w:t>
      </w:r>
    </w:p>
    <w:p>
      <w:pPr>
        <w:spacing w:after="0" w:line="182" w:lineRule="exact"/>
        <w:rPr>
          <w:rFonts w:ascii="Arial" w:cs="Arial" w:eastAsia="Arial" w:hAnsi="Arial"/>
          <w:sz w:val="20"/>
          <w:szCs w:val="20"/>
          <w:color w:val="auto"/>
        </w:rPr>
      </w:pPr>
    </w:p>
    <w:p>
      <w:pPr>
        <w:ind w:left="640" w:right="200" w:firstLine="1306"/>
        <w:spacing w:after="0" w:line="229" w:lineRule="auto"/>
        <w:tabs>
          <w:tab w:leader="none" w:pos="2812" w:val="left"/>
        </w:tabs>
        <w:numPr>
          <w:ilvl w:val="0"/>
          <w:numId w:val="89"/>
        </w:numPr>
        <w:rPr>
          <w:rFonts w:ascii="Arial" w:cs="Arial" w:eastAsia="Arial" w:hAnsi="Arial"/>
          <w:sz w:val="20"/>
          <w:szCs w:val="20"/>
          <w:color w:val="auto"/>
        </w:rPr>
      </w:pPr>
      <w:r>
        <w:rPr>
          <w:rFonts w:ascii="Arial" w:cs="Arial" w:eastAsia="Arial" w:hAnsi="Arial"/>
          <w:sz w:val="20"/>
          <w:szCs w:val="20"/>
          <w:color w:val="auto"/>
        </w:rPr>
        <w:t>Terminate Tenant’s right to possession but not the Lease and/or proceed in accordance with any and all provisions of Section 16.2 below.</w:t>
      </w:r>
    </w:p>
    <w:p>
      <w:pPr>
        <w:spacing w:after="0" w:line="196" w:lineRule="exact"/>
        <w:rPr>
          <w:sz w:val="20"/>
          <w:szCs w:val="20"/>
          <w:color w:val="auto"/>
        </w:rPr>
      </w:pPr>
    </w:p>
    <w:p>
      <w:pPr>
        <w:ind w:left="640"/>
        <w:spacing w:after="0"/>
        <w:tabs>
          <w:tab w:leader="none" w:pos="1260" w:val="left"/>
          <w:tab w:leader="none" w:pos="32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u w:val="single" w:color="auto"/>
          <w:color w:val="auto"/>
        </w:rPr>
        <w:t>Landlord’s Remedies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Upon the occurrence of a Default, the following shall apply:</w:t>
      </w:r>
    </w:p>
    <w:p>
      <w:pPr>
        <w:spacing w:after="0" w:line="283" w:lineRule="exact"/>
        <w:rPr>
          <w:sz w:val="20"/>
          <w:szCs w:val="20"/>
          <w:color w:val="auto"/>
        </w:rPr>
      </w:pPr>
    </w:p>
    <w:p>
      <w:pPr>
        <w:jc w:val="both"/>
        <w:ind w:left="640" w:firstLine="1889"/>
        <w:spacing w:after="0" w:line="213" w:lineRule="auto"/>
        <w:tabs>
          <w:tab w:leader="none" w:pos="2814" w:val="left"/>
        </w:tabs>
        <w:numPr>
          <w:ilvl w:val="0"/>
          <w:numId w:val="90"/>
        </w:numPr>
        <w:rPr>
          <w:rFonts w:ascii="Arial" w:cs="Arial" w:eastAsia="Arial" w:hAnsi="Arial"/>
          <w:sz w:val="20"/>
          <w:szCs w:val="20"/>
          <w:color w:val="auto"/>
        </w:rPr>
      </w:pPr>
      <w:r>
        <w:rPr>
          <w:rFonts w:ascii="Arial" w:cs="Arial" w:eastAsia="Arial" w:hAnsi="Arial"/>
          <w:sz w:val="20"/>
          <w:szCs w:val="20"/>
          <w:color w:val="auto"/>
        </w:rPr>
        <w:t>Landlord may upon providing notice to Tenant reenter and repossess the Premises and dispossess Tenant by summary proceedings or otherwise (provided any such non-judicial action does not constitute a breach of the peace or contravene local or state laws), as well as the legal representative(s) of Tenant and/or other occupant(s) of the Premises and remove their effects, and terminate this Lease.</w:t>
      </w:r>
    </w:p>
    <w:p>
      <w:pPr>
        <w:spacing w:after="0" w:line="196" w:lineRule="exact"/>
        <w:rPr>
          <w:rFonts w:ascii="Arial" w:cs="Arial" w:eastAsia="Arial" w:hAnsi="Arial"/>
          <w:sz w:val="20"/>
          <w:szCs w:val="20"/>
          <w:color w:val="auto"/>
        </w:rPr>
      </w:pPr>
    </w:p>
    <w:p>
      <w:pPr>
        <w:jc w:val="both"/>
        <w:ind w:left="640" w:firstLine="1889"/>
        <w:spacing w:after="0" w:line="213" w:lineRule="auto"/>
        <w:tabs>
          <w:tab w:leader="none" w:pos="2815" w:val="left"/>
        </w:tabs>
        <w:numPr>
          <w:ilvl w:val="0"/>
          <w:numId w:val="90"/>
        </w:numPr>
        <w:rPr>
          <w:rFonts w:ascii="Arial" w:cs="Arial" w:eastAsia="Arial" w:hAnsi="Arial"/>
          <w:sz w:val="19"/>
          <w:szCs w:val="19"/>
          <w:color w:val="auto"/>
        </w:rPr>
      </w:pPr>
      <w:r>
        <w:rPr>
          <w:rFonts w:ascii="Arial" w:cs="Arial" w:eastAsia="Arial" w:hAnsi="Arial"/>
          <w:sz w:val="19"/>
          <w:szCs w:val="19"/>
          <w:color w:val="auto"/>
        </w:rPr>
        <w:t>Landlord may accelerate all Fixed Basic Rent and additional rent for a period of twelve (12) months from the Event of Default (or such lesser time as would otherwise remain in the Term) and for all unamortized tenant improvement allowances, free or reduced Fixed Basic Rent, and leasing commissions actually granted to Tenant or incurred by Landlord, and declare the same to be immediately due and payable. Landlord shall thereafter be entitled to accelerate all Fixed Basic Rent and additional rent for additional twelve (12) month period(s) on the anniversary of such Event of Default for the remainder of the Term thereafter (or such lesser time as would otherwise remain in the Term). Landlord shall use commercially reasonable efforts to relet the Premises at market rent and receive rent therefrom, provided, however, Tenant shall not be entitled to receive any such rent and shall remain liable for the equivalent of the amount of all Rent reserved herein less the avails of reletting, after deducting therefrom all reasonable expenses incurred by Landlord in pursuing its remedies, such as (by way of illustration and not limitation) those for reasonable attorneys’ fees, brokerage, advertising, and refurbishing the Premises in good order or preparing them for re-rental. In determining the amount of any future payments due</w:t>
      </w:r>
    </w:p>
    <w:p>
      <w:pPr>
        <w:sectPr>
          <w:pgSz w:w="11900" w:h="16838" w:orient="portrait"/>
          <w:cols w:equalWidth="0" w:num="1">
            <w:col w:w="10580"/>
          </w:cols>
          <w:pgMar w:left="740" w:top="1440" w:right="579" w:bottom="1440" w:gutter="0" w:footer="0" w:header="0"/>
        </w:sectPr>
      </w:pPr>
    </w:p>
    <w:bookmarkStart w:id="137" w:name="page138"/>
    <w:bookmarkEnd w:id="137"/>
    <w:p>
      <w:pPr>
        <w:jc w:val="both"/>
        <w:spacing w:after="0" w:line="218" w:lineRule="auto"/>
        <w:rPr>
          <w:sz w:val="20"/>
          <w:szCs w:val="20"/>
          <w:color w:val="auto"/>
        </w:rPr>
      </w:pPr>
      <w:r>
        <w:rPr>
          <w:rFonts w:ascii="Arial" w:cs="Arial" w:eastAsia="Arial" w:hAnsi="Arial"/>
          <w:sz w:val="20"/>
          <w:szCs w:val="20"/>
          <w:color w:val="auto"/>
        </w:rPr>
        <w:t>Landlord due to increases in Operating Expenses, Landlord may make such determination based upon the amount of Operating Expenses paid by Tenant for the full year immediately prior to such Default and may assume that such expenses will increase three percent (3%) each year.</w:t>
      </w:r>
    </w:p>
    <w:p>
      <w:pPr>
        <w:spacing w:after="0" w:line="197" w:lineRule="exact"/>
        <w:rPr>
          <w:sz w:val="20"/>
          <w:szCs w:val="20"/>
          <w:color w:val="auto"/>
        </w:rPr>
      </w:pPr>
    </w:p>
    <w:p>
      <w:pPr>
        <w:jc w:val="both"/>
        <w:ind w:firstLine="1879"/>
        <w:spacing w:after="0" w:line="225" w:lineRule="auto"/>
        <w:rPr>
          <w:sz w:val="20"/>
          <w:szCs w:val="20"/>
          <w:color w:val="auto"/>
        </w:rPr>
      </w:pPr>
      <w:r>
        <w:rPr>
          <w:rFonts w:ascii="Arial" w:cs="Arial" w:eastAsia="Arial" w:hAnsi="Arial"/>
          <w:sz w:val="18"/>
          <w:szCs w:val="18"/>
          <w:color w:val="auto"/>
        </w:rPr>
        <w:t>(iii)Landlord may, at any time after the occurrence of any event of Default, re-enter and repossess the Premises and/or any part thereof (provided any such non-judicial action does not constitute a breach of the peace or contravene local or state laws) and use commercially reasonable efforts to relet all or any part of such Premises for and upon such terms and to such persons, firms or corporations and for such period or periods as Landlord, in its sole discretion, shall determine, including for a term extending beyond the expiration date of the Term; provided, however, Tenant shall remain liable for the equivalent of the amount of all Rent reserved herein less the avails of reletting, after deducting therefrom all reasonable expenses incurred by Landlord in pursuing its remedies. For the purposes of such reletting, Landlord may decorate or make repairs, changes, alterations or additions in or to the Premises to the extent reasonably deemed by Landlord desirable or convenient; and the cost of such decoration, repairs, changes, alterations or additions shall be charged to and be payable by Tenant as additional rent hereunder, as well as any reasonable brokerage and legal fees expended by Landlord; and any sums collected by Landlord from any new tenant obtained on account of Tenant shall be credited against the balance of the Rent due hereunder as aforesaid;</w:t>
      </w:r>
    </w:p>
    <w:p>
      <w:pPr>
        <w:spacing w:after="0" w:line="196" w:lineRule="exact"/>
        <w:rPr>
          <w:sz w:val="20"/>
          <w:szCs w:val="20"/>
          <w:color w:val="auto"/>
        </w:rPr>
      </w:pPr>
    </w:p>
    <w:p>
      <w:pPr>
        <w:jc w:val="both"/>
        <w:ind w:firstLine="1306"/>
        <w:spacing w:after="0" w:line="206" w:lineRule="auto"/>
        <w:tabs>
          <w:tab w:leader="none" w:pos="2176" w:val="left"/>
        </w:tabs>
        <w:numPr>
          <w:ilvl w:val="0"/>
          <w:numId w:val="91"/>
        </w:numPr>
        <w:rPr>
          <w:rFonts w:ascii="Arial" w:cs="Arial" w:eastAsia="Arial" w:hAnsi="Arial"/>
          <w:sz w:val="20"/>
          <w:szCs w:val="20"/>
          <w:color w:val="auto"/>
        </w:rPr>
      </w:pPr>
      <w:r>
        <w:rPr>
          <w:rFonts w:ascii="Arial" w:cs="Arial" w:eastAsia="Arial" w:hAnsi="Arial"/>
          <w:sz w:val="20"/>
          <w:szCs w:val="20"/>
          <w:color w:val="auto"/>
        </w:rPr>
        <w:t>For a non-montetary Default, enter upon the Premises and do whatever Tenant is obligated to do under the terms of this Lease; and Tenant agrees to reimburse Landlord on demand for any expenses which Landlord may incur in effecting compliance with Tenant’s obligations under this Lease plus fifteen percent (15%) of such cost to cover overhead plus interest at the past due rate provided in this Lease, and Tenant further agrees that Landlord shall not be liable for any damages resulting to Tenant from such action. No action taken by Landlord under this Section 16.2(iv) shall relieve Tenant from any of its obligations under this Lease or from any consequences or liabilities arising from the failure to perform such obligations.</w:t>
      </w:r>
    </w:p>
    <w:p>
      <w:pPr>
        <w:spacing w:after="0" w:line="18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(v)Recover any and all costs incurred by Landlord resulting directly, from the Default, including but not limited to reasonable attorneys’ fees and costs, but excluding punitive damages and consequential damages not otherwise expressly specified in this Lease.</w:t>
      </w:r>
    </w:p>
    <w:p>
      <w:pPr>
        <w:spacing w:after="0" w:line="197" w:lineRule="exact"/>
        <w:rPr>
          <w:sz w:val="20"/>
          <w:szCs w:val="20"/>
          <w:color w:val="auto"/>
        </w:rPr>
      </w:pPr>
    </w:p>
    <w:p>
      <w:pPr>
        <w:ind w:left="2180" w:hanging="874"/>
        <w:spacing w:after="0"/>
        <w:tabs>
          <w:tab w:leader="none" w:pos="21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Exercise any and all other remedies available to Landlord in this Lease, at law or in equity.</w:t>
      </w:r>
    </w:p>
    <w:p>
      <w:pPr>
        <w:spacing w:after="0" w:line="213" w:lineRule="exact"/>
        <w:rPr>
          <w:rFonts w:ascii="Arial" w:cs="Arial" w:eastAsia="Arial" w:hAnsi="Arial"/>
          <w:sz w:val="19"/>
          <w:szCs w:val="19"/>
          <w:color w:val="auto"/>
        </w:rPr>
      </w:pPr>
    </w:p>
    <w:p>
      <w:pPr>
        <w:jc w:val="both"/>
        <w:ind w:firstLine="1306"/>
        <w:spacing w:after="0" w:line="213" w:lineRule="auto"/>
        <w:tabs>
          <w:tab w:leader="none" w:pos="2177" w:val="left"/>
        </w:tabs>
        <w:numPr>
          <w:ilvl w:val="0"/>
          <w:numId w:val="92"/>
        </w:numPr>
        <w:rPr>
          <w:rFonts w:ascii="Arial" w:cs="Arial" w:eastAsia="Arial" w:hAnsi="Arial"/>
          <w:sz w:val="19"/>
          <w:szCs w:val="19"/>
          <w:color w:val="auto"/>
        </w:rPr>
      </w:pPr>
      <w:r>
        <w:rPr>
          <w:rFonts w:ascii="Arial" w:cs="Arial" w:eastAsia="Arial" w:hAnsi="Arial"/>
          <w:sz w:val="19"/>
          <w:szCs w:val="19"/>
          <w:color w:val="auto"/>
        </w:rPr>
        <w:t>WHEN THIS LEASE SHALL BE DETERMINED BY CONDITION BROKEN, EITHER DURING THE ORIGINAL TERM OF THIS LEASE OR ANY RENEWAL THEREOF, AND ALSO WHEN AS SOON AS THE TERM HEREBY CREATED EXPIRES OR IS EARLIER TERMINATED, UPON NOT LESS THAN THIRTY (30) DAYS PRIOR WRITTEN NOTICE TO TENANT, IT SHALL BE LAWFUL FOR ANY ATTORNEY TO APPEAR AS ATTORNEY FOR THE TENANT AND TO ENTER IN ANY COMPETENT COURT AN AMICABLE ACTION AND JUDGMENT IN EJECTMENT AGAINST TENANT AND ALL PERSONS OR ENTITIES CLAIMING UNDER TENANT FOR THE RECOVERY BY LANDLORD OF POSSESSION OF THE PREMISES, FOR WHICH THIS LEASE SHALL BE SUFFICIENT WARRANT; WHEREUPON, IF LANDLORD SO DESIRES, A WRIT OF POSSESSION MAY ISSUE FORTHWITH WITHOUT ANY PRIOR WRIT OR PROCEEDING WHATSOEVER, AND PROVIDED THAT, IF FOR ANY REASON AFTER SUCH ACTION SHALL HAVE BEEN COMMENCED THE SAME SHALL BE DETERMINED AND THE POSSESSION OF THE PREMISES HEREBY DEMISED SHALL REMAIN IN OR BE RESTORED TO TENANT, LANDLORD SHALL HAVE THE RIGHT, UPON ANY</w:t>
      </w:r>
    </w:p>
    <w:p>
      <w:pPr>
        <w:sectPr>
          <w:pgSz w:w="11900" w:h="16838" w:orient="portrait"/>
          <w:cols w:equalWidth="0" w:num="1">
            <w:col w:w="9940"/>
          </w:cols>
          <w:pgMar w:left="1380" w:top="1392" w:right="579" w:bottom="1440" w:gutter="0" w:footer="0" w:header="0"/>
        </w:sectPr>
      </w:pPr>
    </w:p>
    <w:bookmarkStart w:id="138" w:name="page139"/>
    <w:bookmarkEnd w:id="138"/>
    <w:p>
      <w:pPr>
        <w:spacing w:after="0" w:line="195" w:lineRule="exact"/>
        <w:rPr>
          <w:sz w:val="20"/>
          <w:szCs w:val="20"/>
          <w:color w:val="auto"/>
        </w:rPr>
      </w:pPr>
    </w:p>
    <w:p>
      <w:pPr>
        <w:jc w:val="both"/>
        <w:ind w:left="640"/>
        <w:spacing w:after="0" w:line="213" w:lineRule="auto"/>
        <w:rPr>
          <w:sz w:val="20"/>
          <w:szCs w:val="20"/>
          <w:color w:val="auto"/>
        </w:rPr>
      </w:pPr>
      <w:r>
        <w:rPr>
          <w:rFonts w:ascii="Arial" w:cs="Arial" w:eastAsia="Arial" w:hAnsi="Arial"/>
          <w:sz w:val="20"/>
          <w:szCs w:val="20"/>
          <w:color w:val="auto"/>
        </w:rPr>
        <w:t>SUBSEQUENT DEFAULT OR DEFAULTS OR UPON THE TERMINATION OR EXPIRATION OF THIS LEASE, TO BRING ONE OR MORE SUCH AMICABLE ACTION OR ACTIONS TO RECOVER POSSESSION OF THE SAID PREMISES. IT SHALL NOT BE NECESSARY TO FILE THE ORIGINAL LEASE AS A WARRANT OF ATTORNEY, ANY RULE OF COURT, CUSTOM OR PRACTICE TO THE CONTRARY NOTWITHSTANDING.</w:t>
      </w:r>
    </w:p>
    <w:p>
      <w:pPr>
        <w:spacing w:after="0" w:line="183" w:lineRule="exact"/>
        <w:rPr>
          <w:sz w:val="20"/>
          <w:szCs w:val="20"/>
          <w:color w:val="auto"/>
        </w:rPr>
      </w:pPr>
    </w:p>
    <w:p>
      <w:pPr>
        <w:jc w:val="both"/>
        <w:ind w:left="640" w:firstLine="1306"/>
        <w:spacing w:after="0" w:line="207" w:lineRule="auto"/>
        <w:tabs>
          <w:tab w:leader="none" w:pos="2818"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rights and remedies given to Landlord in this Lease are distinct, separate and cumulative remedies; and not one of them, whether or not exercised by Landlord, shall be deemed to be in exclusion of any of the others, and the right to confess judgment in ejectment given in (vii) above may be exercised concurrently and the power of attorney to confess judgment shall not be exhausted by a single confession in each case, but shall be exercised singularly or together from time to time and as often as may be necessary to protect the rights of Landlord and shall survive any expiration or termination of this Lease.</w:t>
      </w:r>
    </w:p>
    <w:p>
      <w:pPr>
        <w:spacing w:after="0" w:line="20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16.3. Landlord shall have the right to seek an injunction, in the event of a breach or threatened breach by Tenant of any of the agreements, conditions, covenants or terms hereof, to restrain the same and the right to invoke any remedy allowed by law or in equity, whether or not other remedies, indemnity or reimbursements are herein provided.</w:t>
      </w:r>
    </w:p>
    <w:p>
      <w:pPr>
        <w:spacing w:after="0" w:line="19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16.4. TENANT UNDERSTANDS IT IS WAIVING IMPORTANT LEGAL RIGHTS BY AGREEING TO THIS PARAGRAPH 16 AND DOES SO IN THIS COMMERCIAL, NON- RESIDENTIAL TRANSACTION KNOWINGLY AND VOLUNTARILY AND AFTER ASCERTAINING THE LEGAL EFFECT HEREOF.</w:t>
      </w:r>
    </w:p>
    <w:p>
      <w:pPr>
        <w:spacing w:after="0" w:line="183"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20"/>
          <w:szCs w:val="20"/>
          <w:color w:val="auto"/>
        </w:rPr>
        <w:t>16.5 Landlord shall be in default under this Lease if Landlord breaches any provision of this Lease and that breach remains uncured for a period of thirty (30) days after Tenant has provided written notice to Landlord of the breach, but if that breach cannot reasonably be remedied by Landlord within thirty</w:t>
      </w:r>
    </w:p>
    <w:p>
      <w:pPr>
        <w:spacing w:after="0" w:line="2" w:lineRule="exact"/>
        <w:rPr>
          <w:sz w:val="20"/>
          <w:szCs w:val="20"/>
          <w:color w:val="auto"/>
        </w:rPr>
      </w:pPr>
    </w:p>
    <w:p>
      <w:pPr>
        <w:jc w:val="both"/>
        <w:ind w:firstLine="2"/>
        <w:spacing w:after="0" w:line="220" w:lineRule="auto"/>
        <w:tabs>
          <w:tab w:leader="none" w:pos="396" w:val="left"/>
        </w:tabs>
        <w:numPr>
          <w:ilvl w:val="0"/>
          <w:numId w:val="94"/>
        </w:numPr>
        <w:rPr>
          <w:rFonts w:ascii="Arial" w:cs="Arial" w:eastAsia="Arial" w:hAnsi="Arial"/>
          <w:sz w:val="19"/>
          <w:szCs w:val="19"/>
          <w:color w:val="auto"/>
        </w:rPr>
      </w:pPr>
      <w:r>
        <w:rPr>
          <w:rFonts w:ascii="Arial" w:cs="Arial" w:eastAsia="Arial" w:hAnsi="Arial"/>
          <w:sz w:val="19"/>
          <w:szCs w:val="19"/>
          <w:color w:val="auto"/>
        </w:rPr>
        <w:t>days after notice of breach, then Landlord shall have additional time as may be reasonably necessary to remedy the breach if during that time Landlord is continuously and diligently pursuing the remedy necessary to cure the breach. In the event of Landlord’s default (that remains uncured after applicable notice and cure periods), Tenant shall have the right to pursue all remedies available at law or in equity, except as otherwise agreed to by Tenant under the terms of this Lease.</w:t>
      </w:r>
    </w:p>
    <w:p>
      <w:pPr>
        <w:spacing w:after="0" w:line="176" w:lineRule="exact"/>
        <w:rPr>
          <w:sz w:val="20"/>
          <w:szCs w:val="20"/>
          <w:color w:val="auto"/>
        </w:rPr>
      </w:pPr>
    </w:p>
    <w:p>
      <w:pPr>
        <w:jc w:val="both"/>
        <w:ind w:firstLine="2"/>
        <w:spacing w:after="0" w:line="218" w:lineRule="auto"/>
        <w:tabs>
          <w:tab w:leader="none" w:pos="882"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 OF PREMISES. </w:t>
      </w:r>
      <w:r>
        <w:rPr>
          <w:rFonts w:ascii="Arial" w:cs="Arial" w:eastAsia="Arial" w:hAnsi="Arial"/>
          <w:sz w:val="19"/>
          <w:szCs w:val="19"/>
          <w:color w:val="auto"/>
        </w:rPr>
        <w:t>Subject to the Landlord’s Work and this Section 17, Tenant shall accept the Premises in</w:t>
      </w:r>
      <w:r>
        <w:rPr>
          <w:rFonts w:ascii="Arial" w:cs="Arial" w:eastAsia="Arial" w:hAnsi="Arial"/>
          <w:sz w:val="19"/>
          <w:szCs w:val="19"/>
          <w:b w:val="1"/>
          <w:bCs w:val="1"/>
          <w:color w:val="auto"/>
        </w:rPr>
        <w:t xml:space="preserve"> </w:t>
      </w:r>
      <w:r>
        <w:rPr>
          <w:rFonts w:ascii="Arial" w:cs="Arial" w:eastAsia="Arial" w:hAnsi="Arial"/>
          <w:sz w:val="19"/>
          <w:szCs w:val="19"/>
          <w:color w:val="auto"/>
        </w:rPr>
        <w:t>its “AS IS,” “WHERE IS,” and “WITH ALL FAULTS” condition on the Commencement Date. Landlord represents and warrants to Tenant that as of the Commencement Date, the Premises and Common Areas will be in compliance with all applicable laws and the building systems serving the Premises, including but not limited to the building mechanical, electrical, plumbing, lighting, and roofing systems (but excluding all Tenant Improvements, furniture, fixtures and equipment), will be in good working order and consistent with operation of a Class A office building. Except as expressly provided in this Lease, Landlord shall have no obligation to furnish, equip or improve the Premises or the Property.</w:t>
      </w:r>
    </w:p>
    <w:p>
      <w:pPr>
        <w:spacing w:after="0" w:line="176" w:lineRule="exact"/>
        <w:rPr>
          <w:rFonts w:ascii="Arial" w:cs="Arial" w:eastAsia="Arial" w:hAnsi="Arial"/>
          <w:sz w:val="19"/>
          <w:szCs w:val="19"/>
          <w:b w:val="1"/>
          <w:bCs w:val="1"/>
          <w:color w:val="auto"/>
        </w:rPr>
      </w:pPr>
    </w:p>
    <w:p>
      <w:pPr>
        <w:ind w:firstLine="2"/>
        <w:spacing w:after="0" w:line="232" w:lineRule="auto"/>
        <w:tabs>
          <w:tab w:leader="none" w:pos="882"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ASSIGNMENT BY LANDLORD. </w:t>
      </w:r>
      <w:r>
        <w:rPr>
          <w:rFonts w:ascii="Arial" w:cs="Arial" w:eastAsia="Arial" w:hAnsi="Arial"/>
          <w:sz w:val="20"/>
          <w:szCs w:val="20"/>
          <w:color w:val="auto"/>
        </w:rPr>
        <w:t>Landlord may sell the Property or Landlord’s interest therein or assign its interest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or any part thereof, in the exercise of its sole discretion.</w:t>
      </w:r>
    </w:p>
    <w:p>
      <w:pPr>
        <w:spacing w:after="0" w:line="176" w:lineRule="exact"/>
        <w:rPr>
          <w:rFonts w:ascii="Arial" w:cs="Arial" w:eastAsia="Arial" w:hAnsi="Arial"/>
          <w:sz w:val="20"/>
          <w:szCs w:val="20"/>
          <w:b w:val="1"/>
          <w:bCs w:val="1"/>
          <w:color w:val="auto"/>
        </w:rPr>
      </w:pPr>
    </w:p>
    <w:p>
      <w:pPr>
        <w:ind w:left="880" w:hanging="878"/>
        <w:spacing w:after="0"/>
        <w:tabs>
          <w:tab w:leader="none" w:pos="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by either party to the other shall be in writing and shall be deemed to have been duly given only if</w:t>
      </w:r>
    </w:p>
    <w:p>
      <w:pPr>
        <w:spacing w:after="0" w:line="4" w:lineRule="exact"/>
        <w:rPr>
          <w:rFonts w:ascii="Arial" w:cs="Arial" w:eastAsia="Arial" w:hAnsi="Arial"/>
          <w:sz w:val="18"/>
          <w:szCs w:val="18"/>
          <w:b w:val="1"/>
          <w:bCs w:val="1"/>
          <w:color w:val="auto"/>
        </w:rPr>
      </w:pPr>
    </w:p>
    <w:p>
      <w:pPr>
        <w:jc w:val="both"/>
        <w:spacing w:after="0" w:line="213" w:lineRule="auto"/>
        <w:rPr>
          <w:rFonts w:ascii="Arial" w:cs="Arial" w:eastAsia="Arial" w:hAnsi="Arial"/>
          <w:sz w:val="18"/>
          <w:szCs w:val="18"/>
          <w:b w:val="1"/>
          <w:bCs w:val="1"/>
          <w:color w:val="auto"/>
        </w:rPr>
      </w:pPr>
      <w:r>
        <w:rPr>
          <w:rFonts w:ascii="Arial" w:cs="Arial" w:eastAsia="Arial" w:hAnsi="Arial"/>
          <w:sz w:val="20"/>
          <w:szCs w:val="20"/>
          <w:color w:val="auto"/>
        </w:rPr>
        <w:t>(i) delivered personally or (ii) sent by registered mail or certified mail return receipt requested in a postage paid envelope or (iii) sent by nationally recognized overnight delivery service, if to Tenant, at Tenant’s address as set forth above in Section 1(Q); if to Landlord, at Landlord's address as set</w:t>
      </w:r>
    </w:p>
    <w:p>
      <w:pPr>
        <w:sectPr>
          <w:pgSz w:w="11900" w:h="16838" w:orient="portrait"/>
          <w:cols w:equalWidth="0" w:num="1">
            <w:col w:w="10580"/>
          </w:cols>
          <w:pgMar w:left="740" w:top="1440" w:right="579" w:bottom="1440" w:gutter="0" w:footer="0" w:header="0"/>
        </w:sectPr>
      </w:pPr>
    </w:p>
    <w:bookmarkStart w:id="139" w:name="page140"/>
    <w:bookmarkEnd w:id="139"/>
    <w:p>
      <w:pPr>
        <w:spacing w:after="0" w:line="19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forth above in Section 1(Q); or, to either at such other address as Tenant or Landlord, respectively, may designate in writing. Notice shall be deemed to have been duly given, if delivered personally, on delivery thereof, if mailed, upon the actual receipt or refusal of acceptance of the mailing thereof or if sent by overnight delivery service, the next business day.</w:t>
      </w:r>
    </w:p>
    <w:p>
      <w:pPr>
        <w:spacing w:after="0" w:line="176" w:lineRule="exact"/>
        <w:rPr>
          <w:sz w:val="20"/>
          <w:szCs w:val="20"/>
          <w:color w:val="auto"/>
        </w:rPr>
      </w:pPr>
    </w:p>
    <w:p>
      <w:pPr>
        <w:jc w:val="both"/>
        <w:ind w:firstLine="2"/>
        <w:spacing w:after="0" w:line="214" w:lineRule="auto"/>
        <w:tabs>
          <w:tab w:leader="none" w:pos="882"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QUALIFICATIONS AS TO USE. </w:t>
      </w:r>
      <w:r>
        <w:rPr>
          <w:rFonts w:ascii="Arial" w:cs="Arial" w:eastAsia="Arial" w:hAnsi="Arial"/>
          <w:sz w:val="20"/>
          <w:szCs w:val="20"/>
          <w:color w:val="auto"/>
        </w:rPr>
        <w:t>Tenant will use the Premises solely for the Permitted Use. Tenant shall not occupy or</w:t>
      </w:r>
      <w:r>
        <w:rPr>
          <w:rFonts w:ascii="Arial" w:cs="Arial" w:eastAsia="Arial" w:hAnsi="Arial"/>
          <w:sz w:val="20"/>
          <w:szCs w:val="20"/>
          <w:b w:val="1"/>
          <w:bCs w:val="1"/>
          <w:color w:val="auto"/>
        </w:rPr>
        <w:t xml:space="preserve"> </w:t>
      </w:r>
      <w:r>
        <w:rPr>
          <w:rFonts w:ascii="Arial" w:cs="Arial" w:eastAsia="Arial" w:hAnsi="Arial"/>
          <w:sz w:val="20"/>
          <w:szCs w:val="20"/>
          <w:color w:val="auto"/>
        </w:rPr>
        <w:t>use the Premises or permit the Premises to be occupied or used for any purpose, act or thing which is in violation of any applicable public law, ordinance, or governmental regulation or which may be dangerous to persons or property, not consistent with a Class A office building, or in violation of any third-party exclusivity rights.</w:t>
      </w:r>
    </w:p>
    <w:p>
      <w:pPr>
        <w:spacing w:after="0" w:line="192" w:lineRule="exact"/>
        <w:rPr>
          <w:rFonts w:ascii="Arial" w:cs="Arial" w:eastAsia="Arial" w:hAnsi="Arial"/>
          <w:sz w:val="20"/>
          <w:szCs w:val="20"/>
          <w:b w:val="1"/>
          <w:bCs w:val="1"/>
          <w:color w:val="auto"/>
        </w:rPr>
      </w:pPr>
    </w:p>
    <w:p>
      <w:pPr>
        <w:ind w:left="640" w:hanging="639"/>
        <w:spacing w:after="0"/>
        <w:tabs>
          <w:tab w:leader="none" w:pos="64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TENANT IMPROVEMENTS.</w:t>
      </w:r>
    </w:p>
    <w:p>
      <w:pPr>
        <w:spacing w:after="0" w:line="20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Scope and Performance of Tenant Improvements</w:t>
      </w:r>
      <w:r>
        <w:rPr>
          <w:rFonts w:ascii="Arial" w:cs="Arial" w:eastAsia="Arial" w:hAnsi="Arial"/>
          <w:sz w:val="18"/>
          <w:szCs w:val="18"/>
          <w:color w:val="auto"/>
        </w:rPr>
        <w:t>. Tenant desires to perform, or cause the performance of, certain leasehold improvement work in the Premises as described on the Final Construction Drawings (below defined) (collectively, as such work shall be identified in the Final Construction Drawings, the “</w:t>
      </w:r>
      <w:r>
        <w:rPr>
          <w:rFonts w:ascii="Arial" w:cs="Arial" w:eastAsia="Arial" w:hAnsi="Arial"/>
          <w:sz w:val="18"/>
          <w:szCs w:val="18"/>
          <w:u w:val="single" w:color="auto"/>
          <w:color w:val="auto"/>
        </w:rPr>
        <w:t>Tenant Improvements</w:t>
      </w:r>
      <w:r>
        <w:rPr>
          <w:rFonts w:ascii="Arial" w:cs="Arial" w:eastAsia="Arial" w:hAnsi="Arial"/>
          <w:sz w:val="18"/>
          <w:szCs w:val="18"/>
          <w:color w:val="auto"/>
        </w:rPr>
        <w:t>”). The Tenant Improvements shall be the responsibility of and performed by Tenant using PJ Dick Incorporated as the general contractor (the “</w:t>
      </w:r>
      <w:r>
        <w:rPr>
          <w:rFonts w:ascii="Arial" w:cs="Arial" w:eastAsia="Arial" w:hAnsi="Arial"/>
          <w:sz w:val="18"/>
          <w:szCs w:val="18"/>
          <w:u w:val="single" w:color="auto"/>
          <w:color w:val="auto"/>
        </w:rPr>
        <w:t>General Contractor</w:t>
      </w:r>
      <w:r>
        <w:rPr>
          <w:rFonts w:ascii="Arial" w:cs="Arial" w:eastAsia="Arial" w:hAnsi="Arial"/>
          <w:sz w:val="18"/>
          <w:szCs w:val="18"/>
          <w:color w:val="auto"/>
        </w:rPr>
        <w:t>”), pursuant to the terms of that certain change order (identified as RCO No. 0111), as modified by that certain Addendum to Change Order, among Landlord, Pennley Park South, Inc., General Contractor and Tenant, dated on or around the date of this Lease (collectively, the “Change Order”). For purposes of this Section 21, the term “</w:t>
      </w:r>
      <w:r>
        <w:rPr>
          <w:rFonts w:ascii="Arial" w:cs="Arial" w:eastAsia="Arial" w:hAnsi="Arial"/>
          <w:sz w:val="18"/>
          <w:szCs w:val="18"/>
          <w:u w:val="single" w:color="auto"/>
          <w:color w:val="auto"/>
        </w:rPr>
        <w:t>Cost of Tenant Improvements</w:t>
      </w:r>
      <w:r>
        <w:rPr>
          <w:rFonts w:ascii="Arial" w:cs="Arial" w:eastAsia="Arial" w:hAnsi="Arial"/>
          <w:sz w:val="18"/>
          <w:szCs w:val="18"/>
          <w:color w:val="auto"/>
        </w:rPr>
        <w:t>” shall mean and include any and all hard and soft costs and expenses associated with the design, engineering, permitting, construction management, and construction of the Tenant Improvements, and including without limitation all labor (including overtime) and materials, and the cost of any and all third-party professionals, any signage and data/telco/wiring costs. Notwithstanding the foregoing, the TI Allowance (as defined below) may not be allocated by Tenant to the purchase of furniture, fixtures, or equipment. During the completion of any Tenant Improvements, Tenant shall be solely responsible for determining what measures, if any, should be taken in order to protect any of Tenant’s personnel and Tenant’s computers, equipment, furnishings, trade fixtures and other items of personal property for potential damage that may be caused by the performance of the Tenant Improvements. Tenant, for the safety of its employees, agents, and invitees, shall be responsible for ensuring that no Tenant party enters any area in which Tenant Improvements are being completed. Tenant, at its sole costs, is solely responsible for obtaining any and all necessary documents, permits, or other governmental approvals authorizing the completion of the Tenant Improvements.</w:t>
      </w:r>
    </w:p>
    <w:p>
      <w:pPr>
        <w:spacing w:after="0" w:line="187"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The Tenant Improvements are anticipated to be completed concurrently with the completion of Landlord’s Work (as such term is defined in Section 21.6), pursuant to the Change Order. Notwithstanding that the Tenant Improvements are being completed pursuant to such Change Order to Landlord’s existing contract with the General Contractor, the completion of the Tenant Improvements shall be supervised by and be completed at Tenant’s sole direction and Landlord shall have no liability for the completion of the Tenant Improvements, the Final Construction Drawings, or otherwise. Landlord’s only obligation with respect to the completion of the Tenant Improvements is for the disbursement of the TI Allowance in accordance with the terms and conditions set forth in this Section 21.</w:t>
      </w:r>
    </w:p>
    <w:p>
      <w:pPr>
        <w:spacing w:after="0" w:line="18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Tenant Improvement Allowance</w:t>
      </w:r>
      <w:r>
        <w:rPr>
          <w:rFonts w:ascii="Arial" w:cs="Arial" w:eastAsia="Arial" w:hAnsi="Arial"/>
          <w:sz w:val="18"/>
          <w:szCs w:val="18"/>
          <w:color w:val="auto"/>
        </w:rPr>
        <w:t>. Subject to the conditions herein, Landlord agrees to provide to Tenant an allowance with respect to the Cost of Tenant Improvements in the total amount not to exceed Two Million Two Hundred Ninety-Five Thousand Four Hundred Eighty and 00/100 Dollars ($2,295,480.00) (the “</w:t>
      </w:r>
      <w:r>
        <w:rPr>
          <w:rFonts w:ascii="Arial" w:cs="Arial" w:eastAsia="Arial" w:hAnsi="Arial"/>
          <w:sz w:val="18"/>
          <w:szCs w:val="18"/>
          <w:u w:val="single" w:color="auto"/>
          <w:color w:val="auto"/>
        </w:rPr>
        <w:t>TI Allowance</w:t>
      </w:r>
      <w:r>
        <w:rPr>
          <w:rFonts w:ascii="Arial" w:cs="Arial" w:eastAsia="Arial" w:hAnsi="Arial"/>
          <w:sz w:val="18"/>
          <w:szCs w:val="18"/>
          <w:color w:val="auto"/>
        </w:rPr>
        <w:t>”). In no event shall Landlord be obligated to provide any allowance or other contribution related to the completion of the Tenant Improvements in excess of the TI Allowance. The TI Allowance shall be applied to the Cost of Tenant Improvements and shall be payable in accordance with Paragraph 21.5.</w:t>
      </w:r>
    </w:p>
    <w:p>
      <w:pPr>
        <w:sectPr>
          <w:pgSz w:w="11900" w:h="16838" w:orient="portrait"/>
          <w:cols w:equalWidth="0" w:num="1">
            <w:col w:w="10580"/>
          </w:cols>
          <w:pgMar w:left="740" w:top="1440" w:right="579" w:bottom="1440" w:gutter="0" w:footer="0" w:header="0"/>
        </w:sectPr>
      </w:pPr>
    </w:p>
    <w:bookmarkStart w:id="140" w:name="page141"/>
    <w:bookmarkEnd w:id="140"/>
    <w:p>
      <w:pPr>
        <w:spacing w:after="0" w:line="344"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Construction Drawings</w:t>
      </w:r>
      <w:r>
        <w:rPr>
          <w:rFonts w:ascii="Arial" w:cs="Arial" w:eastAsia="Arial" w:hAnsi="Arial"/>
          <w:sz w:val="19"/>
          <w:szCs w:val="19"/>
          <w:color w:val="auto"/>
        </w:rPr>
        <w:t>. After the Effective Date of this Lease, Tenant may, at Tenant’s expense (subject to allocation of the TI Allowance), prepare construction drawings depicting the proposed Tenant Improvements (“</w:t>
      </w:r>
      <w:r>
        <w:rPr>
          <w:rFonts w:ascii="Arial" w:cs="Arial" w:eastAsia="Arial" w:hAnsi="Arial"/>
          <w:sz w:val="19"/>
          <w:szCs w:val="19"/>
          <w:u w:val="single" w:color="auto"/>
          <w:color w:val="auto"/>
        </w:rPr>
        <w:t>Construction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Drawings</w:t>
      </w:r>
      <w:r>
        <w:rPr>
          <w:rFonts w:ascii="Arial" w:cs="Arial" w:eastAsia="Arial" w:hAnsi="Arial"/>
          <w:sz w:val="19"/>
          <w:szCs w:val="19"/>
          <w:color w:val="auto"/>
        </w:rPr>
        <w:t>”) for Landlord’s prior written approval; which approval shall not be unreasonably withheld or conditioned by Landlord, and shall be granted or withheld (with reasonable rationale) by Landlord within ten (10) business days of Tenant’s request. In the event that Landlord fails to timely approve or disapprove of the Construction Drawings, Tenant shall deliver a second written notice to Landlord for approval. After delivery of the second written notice, Landlord shall grant or withhold approval within ten (10) business days thereafter, failing which the proposed Construction Drawings shall be deemed approved by Landlord. Upon Landlord’s approval hereunder, such proposed Construction Drawings shall be deemed to be the “Final Construction Drawings”. Tenant hereby acknowledges that, notwithstanding Landlord’s approval of the proposed Tenant Improvements, Landlord has made no representation or warranty to Tenant with respect whether the same is acceptable for any governmental approvals and permits or with respect to the design and engineering of any such work.</w:t>
      </w:r>
    </w:p>
    <w:p>
      <w:pPr>
        <w:spacing w:after="0" w:line="20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Cost of Tenant Improvements</w:t>
      </w:r>
      <w:r>
        <w:rPr>
          <w:rFonts w:ascii="Arial" w:cs="Arial" w:eastAsia="Arial" w:hAnsi="Arial"/>
          <w:sz w:val="20"/>
          <w:szCs w:val="20"/>
          <w:color w:val="auto"/>
        </w:rPr>
        <w:t>. Tenant shall pay for the Cost of the Tenant Improvements; provided however that such responsibility of Tenant hereunder shall be subject to Landlord’s application of the TI Allowance in accordance with Section 21.5 hereof.</w:t>
      </w:r>
    </w:p>
    <w:p>
      <w:pPr>
        <w:spacing w:after="0" w:line="19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Payment of TI Allowance and Excess</w:t>
      </w:r>
      <w:r>
        <w:rPr>
          <w:rFonts w:ascii="Arial" w:cs="Arial" w:eastAsia="Arial" w:hAnsi="Arial"/>
          <w:sz w:val="16"/>
          <w:szCs w:val="16"/>
          <w:color w:val="auto"/>
        </w:rPr>
        <w:t>.</w:t>
      </w:r>
    </w:p>
    <w:p>
      <w:pPr>
        <w:spacing w:after="0" w:line="283" w:lineRule="exact"/>
        <w:rPr>
          <w:sz w:val="20"/>
          <w:szCs w:val="20"/>
          <w:color w:val="auto"/>
        </w:rPr>
      </w:pPr>
    </w:p>
    <w:p>
      <w:pPr>
        <w:jc w:val="both"/>
        <w:ind w:firstLine="1298"/>
        <w:spacing w:after="0" w:line="210" w:lineRule="auto"/>
        <w:tabs>
          <w:tab w:leader="none" w:pos="1523" w:val="left"/>
        </w:tabs>
        <w:numPr>
          <w:ilvl w:val="1"/>
          <w:numId w:val="97"/>
        </w:numPr>
        <w:rPr>
          <w:rFonts w:ascii="Arial" w:cs="Arial" w:eastAsia="Arial" w:hAnsi="Arial"/>
          <w:sz w:val="19"/>
          <w:szCs w:val="19"/>
          <w:color w:val="auto"/>
        </w:rPr>
      </w:pPr>
      <w:r>
        <w:rPr>
          <w:rFonts w:ascii="Arial" w:cs="Arial" w:eastAsia="Arial" w:hAnsi="Arial"/>
          <w:sz w:val="19"/>
          <w:szCs w:val="19"/>
          <w:color w:val="auto"/>
        </w:rPr>
        <w:t>Landlord shall disburse the TI Allowance directly to Tenant’s general contractor, engineers, suppliers, and subcontractors in accordance with the respective contracts therefor, for Tenant Improvements completed in the Premises; provided, however that: (A) Tenant shall review each such invoice and acknowledge Tenant’s approval of the invoice by signature on each invoice, (B) such installments of the TI Allowance shall be payable by Landlord no more than once per month, and upon at least thirty (30) days’ written notice from Tenant; (C) the maximum amount paid by Landlord shall not exceed the TI Allowance specified in Section 21.2, and (D) each such requisition from Tenant shall include:</w:t>
      </w:r>
    </w:p>
    <w:p>
      <w:pPr>
        <w:spacing w:after="0" w:line="2" w:lineRule="exact"/>
        <w:rPr>
          <w:rFonts w:ascii="Arial" w:cs="Arial" w:eastAsia="Arial" w:hAnsi="Arial"/>
          <w:sz w:val="19"/>
          <w:szCs w:val="19"/>
          <w:color w:val="auto"/>
        </w:rPr>
      </w:pPr>
    </w:p>
    <w:p>
      <w:pPr>
        <w:jc w:val="both"/>
        <w:ind w:firstLine="2"/>
        <w:spacing w:after="0" w:line="222" w:lineRule="auto"/>
        <w:tabs>
          <w:tab w:leader="none" w:pos="3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commercially-reasonable written specifications and corroboration of the scope of, and of all costs incurred by Tenant for, the Tenant Improvements to which such requisition relates; (2) a certificate from Tenant’s architect certifying completion of such portion of the Tenant Improvements in substantial accordance with the Final Construction Drawings, which shall be in the standard American Institute of Architects form; (3) a complete list of all contractors, subcontractors, vendors and/or suppliers providing materials and/or labor for such portion of the Tenant Improvements; and (4) mechanics’ lien releases from all contractors on account of such portion of the Tenant Improvements (collectively, a “</w:t>
      </w:r>
      <w:r>
        <w:rPr>
          <w:rFonts w:ascii="Arial" w:cs="Arial" w:eastAsia="Arial" w:hAnsi="Arial"/>
          <w:sz w:val="18"/>
          <w:szCs w:val="18"/>
          <w:u w:val="single" w:color="auto"/>
          <w:color w:val="auto"/>
        </w:rPr>
        <w:t>Requisition Request</w:t>
      </w:r>
      <w:r>
        <w:rPr>
          <w:rFonts w:ascii="Arial" w:cs="Arial" w:eastAsia="Arial" w:hAnsi="Arial"/>
          <w:sz w:val="18"/>
          <w:szCs w:val="18"/>
          <w:color w:val="auto"/>
        </w:rPr>
        <w:t>”). Landlord shall not reimburse Tenant for any late payment fees, interest, or other charges that may have been incurred by Tenant. Landlord, upon receipt of a Requisition Request and prior to making payment, shall have the right to inspect the Tenant Improvements and the materials supplied to ensure that such work has been completed in substantial accordance with the Final Construction Drawings. Landlord and Tenant acknowledge that all risk of the costs and expenses of the Tenant Improvements exceeding the Budgeted Amount or TI Allowance shall be Tenant’s sole responsibility, subject to Landlord’s application of the TI Allowance pursuant to this Section 21. Notwithstanding the foregoing, in addition to other remedies Tenant may have at law or in equity, in the event Landlord fails to timely pay Tenant’s general contractor, engineers, suppliers, and subcontractors in accordance with this Section 21.5, then Tenant may, at Tenant’s sole discretion, make such payment on behalf of Landlord and offset such amount paid by Tenant against Rent next owing by Tenant.</w:t>
      </w:r>
    </w:p>
    <w:p>
      <w:pPr>
        <w:spacing w:after="0" w:line="206" w:lineRule="exact"/>
        <w:rPr>
          <w:rFonts w:ascii="Arial" w:cs="Arial" w:eastAsia="Arial" w:hAnsi="Arial"/>
          <w:sz w:val="18"/>
          <w:szCs w:val="18"/>
          <w:color w:val="auto"/>
        </w:rPr>
      </w:pPr>
    </w:p>
    <w:p>
      <w:pPr>
        <w:jc w:val="both"/>
        <w:ind w:firstLine="1298"/>
        <w:spacing w:after="0" w:line="213" w:lineRule="auto"/>
        <w:tabs>
          <w:tab w:leader="none" w:pos="2172" w:val="left"/>
        </w:tabs>
        <w:numPr>
          <w:ilvl w:val="1"/>
          <w:numId w:val="98"/>
        </w:numPr>
        <w:rPr>
          <w:rFonts w:ascii="Arial" w:cs="Arial" w:eastAsia="Arial" w:hAnsi="Arial"/>
          <w:sz w:val="20"/>
          <w:szCs w:val="20"/>
          <w:color w:val="auto"/>
        </w:rPr>
      </w:pPr>
      <w:r>
        <w:rPr>
          <w:rFonts w:ascii="Arial" w:cs="Arial" w:eastAsia="Arial" w:hAnsi="Arial"/>
          <w:sz w:val="20"/>
          <w:szCs w:val="20"/>
          <w:color w:val="auto"/>
        </w:rPr>
        <w:t>In the event that the costs associated with the completion of the Tenant Improvements exceeds the TI Allowance, (A) Tenant shall timely pay all invoices when due and other charges associated with the Tenant Improvements that exceed the TI Allowance and (B) upon receipt of an invoice from the General Contractor or Landlord, Tenant shall make payment directly to the General</w:t>
      </w:r>
    </w:p>
    <w:p>
      <w:pPr>
        <w:sectPr>
          <w:pgSz w:w="11900" w:h="16838" w:orient="portrait"/>
          <w:cols w:equalWidth="0" w:num="1">
            <w:col w:w="10580"/>
          </w:cols>
          <w:pgMar w:left="740" w:top="1440" w:right="579" w:bottom="1440" w:gutter="0" w:footer="0" w:header="0"/>
        </w:sectPr>
      </w:pPr>
    </w:p>
    <w:bookmarkStart w:id="141" w:name="page142"/>
    <w:bookmarkEnd w:id="141"/>
    <w:p>
      <w:pPr>
        <w:spacing w:after="0" w:line="229" w:lineRule="auto"/>
        <w:rPr>
          <w:sz w:val="20"/>
          <w:szCs w:val="20"/>
          <w:color w:val="auto"/>
        </w:rPr>
      </w:pPr>
      <w:r>
        <w:rPr>
          <w:rFonts w:ascii="Arial" w:cs="Arial" w:eastAsia="Arial" w:hAnsi="Arial"/>
          <w:sz w:val="20"/>
          <w:szCs w:val="20"/>
          <w:color w:val="auto"/>
        </w:rPr>
        <w:t>Contractor in accordance with the payment terms set forth in the invoice and obtain all applicable mechanics’ lien releases identified in Section 21.5(i) above.</w:t>
      </w:r>
    </w:p>
    <w:p>
      <w:pPr>
        <w:spacing w:after="0" w:line="182" w:lineRule="exact"/>
        <w:rPr>
          <w:sz w:val="20"/>
          <w:szCs w:val="20"/>
          <w:color w:val="auto"/>
        </w:rPr>
      </w:pPr>
    </w:p>
    <w:p>
      <w:pPr>
        <w:jc w:val="both"/>
        <w:ind w:right="120" w:firstLine="1298"/>
        <w:spacing w:after="0" w:line="230" w:lineRule="auto"/>
        <w:tabs>
          <w:tab w:leader="none" w:pos="2173" w:val="left"/>
        </w:tabs>
        <w:numPr>
          <w:ilvl w:val="0"/>
          <w:numId w:val="99"/>
        </w:numPr>
        <w:rPr>
          <w:rFonts w:ascii="Arial" w:cs="Arial" w:eastAsia="Arial" w:hAnsi="Arial"/>
          <w:sz w:val="19"/>
          <w:szCs w:val="19"/>
          <w:color w:val="auto"/>
        </w:rPr>
      </w:pPr>
      <w:r>
        <w:rPr>
          <w:rFonts w:ascii="Arial" w:cs="Arial" w:eastAsia="Arial" w:hAnsi="Arial"/>
          <w:sz w:val="19"/>
          <w:szCs w:val="19"/>
          <w:color w:val="auto"/>
        </w:rPr>
        <w:t>Tenant shall indemnity, defend, and hold Landlord harmless from any damages, injuries, claims, causes of action, and other items arising out of Tenant’s completion of the Tenant Improvements, including mechanics’ liens, and ensuring compliance with all applicable laws (including the Americans’ With Disabilities Act), regulations, and ordinances.</w:t>
      </w:r>
    </w:p>
    <w:p>
      <w:pPr>
        <w:spacing w:after="0" w:line="181" w:lineRule="exact"/>
        <w:rPr>
          <w:rFonts w:ascii="Arial" w:cs="Arial" w:eastAsia="Arial" w:hAnsi="Arial"/>
          <w:sz w:val="19"/>
          <w:szCs w:val="19"/>
          <w:color w:val="auto"/>
        </w:rPr>
      </w:pPr>
    </w:p>
    <w:p>
      <w:pPr>
        <w:ind w:left="1940" w:hanging="643"/>
        <w:spacing w:after="0"/>
        <w:tabs>
          <w:tab w:leader="none" w:pos="19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2" w:lineRule="exact"/>
        <w:rPr>
          <w:sz w:val="20"/>
          <w:szCs w:val="20"/>
          <w:color w:val="auto"/>
        </w:rPr>
      </w:pPr>
    </w:p>
    <w:p>
      <w:pPr>
        <w:jc w:val="both"/>
        <w:ind w:right="120" w:firstLine="648"/>
        <w:spacing w:after="0" w:line="221"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Landlord’s Work</w:t>
      </w:r>
      <w:r>
        <w:rPr>
          <w:rFonts w:ascii="Arial" w:cs="Arial" w:eastAsia="Arial" w:hAnsi="Arial"/>
          <w:sz w:val="18"/>
          <w:szCs w:val="18"/>
          <w:color w:val="auto"/>
        </w:rPr>
        <w:t xml:space="preserve">. Tenant acknowledges that as of the Effective Date of this Lease, Landlord is causing certain base building improvements, shown on </w:t>
      </w:r>
      <w:r>
        <w:rPr>
          <w:rFonts w:ascii="Arial" w:cs="Arial" w:eastAsia="Arial" w:hAnsi="Arial"/>
          <w:sz w:val="18"/>
          <w:szCs w:val="18"/>
          <w:u w:val="single" w:color="auto"/>
          <w:color w:val="auto"/>
        </w:rPr>
        <w:t>Exhibit G</w:t>
      </w:r>
      <w:r>
        <w:rPr>
          <w:rFonts w:ascii="Arial" w:cs="Arial" w:eastAsia="Arial" w:hAnsi="Arial"/>
          <w:sz w:val="18"/>
          <w:szCs w:val="18"/>
          <w:color w:val="auto"/>
        </w:rPr>
        <w:t>, to be completed in the Office Unit at Landlord’s sole cost and expense (collectively, the “Landlord’s Work”). Landlord shall use commercially reasonable efforts to cause the Landlord’s Work to be substantially completed on or before May 1, 2022 (the “Anticipated Completion Date”). Landlord’s Work shall be deemed to have been “substantially completed” when a certificate of occupancy or an equivalent approval or certificate is issued by the applicable governmental authority to permit occupancy (including, but not limited to, a temporary certificate of occupancy) of the Demised Premises or the issuance of an AIA G704 (Certificate of Substantial Completion) by the General Contractor and either Tenant’s architect or one of Tenant’s authorized representatives (as identified in the Change Order), whichever shall occur first. Within three</w:t>
      </w:r>
    </w:p>
    <w:p>
      <w:pPr>
        <w:spacing w:after="0" w:line="3" w:lineRule="exact"/>
        <w:rPr>
          <w:sz w:val="20"/>
          <w:szCs w:val="20"/>
          <w:color w:val="auto"/>
        </w:rPr>
      </w:pPr>
    </w:p>
    <w:p>
      <w:pPr>
        <w:jc w:val="both"/>
        <w:ind w:right="120" w:firstLine="2"/>
        <w:spacing w:after="0" w:line="206" w:lineRule="auto"/>
        <w:tabs>
          <w:tab w:leader="none" w:pos="29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business days after Landlord delivers the Premises to Tenant, Tenant shall deliver to Landlord a list of punch list items. To the extent such items identified by Tenant are included on Exhibit G, Landlord shall correct or cure the punch list items within 30 business days after Landlord receives the punch list, or such longer period as may be necessary, provided Landlord is proceeding with due diligence to complete those items. Upon Tenant’s occupancy, Tenant shall execute a Commencement Date Agreement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w:t>
      </w:r>
    </w:p>
    <w:p>
      <w:pPr>
        <w:spacing w:after="0" w:line="280" w:lineRule="exact"/>
        <w:rPr>
          <w:sz w:val="20"/>
          <w:szCs w:val="20"/>
          <w:color w:val="auto"/>
        </w:rPr>
      </w:pPr>
    </w:p>
    <w:p>
      <w:pPr>
        <w:jc w:val="both"/>
        <w:ind w:right="120" w:firstLine="648"/>
        <w:spacing w:after="0" w:line="214" w:lineRule="auto"/>
        <w:rPr>
          <w:sz w:val="20"/>
          <w:szCs w:val="20"/>
          <w:color w:val="auto"/>
        </w:rPr>
      </w:pPr>
      <w:r>
        <w:rPr>
          <w:rFonts w:ascii="Arial" w:cs="Arial" w:eastAsia="Arial" w:hAnsi="Arial"/>
          <w:sz w:val="19"/>
          <w:szCs w:val="19"/>
          <w:color w:val="auto"/>
        </w:rPr>
        <w:t>If the Commencement Date does not occur by the Anticipated Completion Date, then Tenant shall be entitled to abatement of Rent equal to one day of Fixed Basic Rent for the number of days between the Anticipated Completion Date and the actual Commencement Date, which abatement shall begin in the thirteenth (13th) month of the Lease. Tenant and Landlord each acknowledge and agree that the completion of the Tenant Improvements (as such term is defined in Section 21.1 hereof) shall have no application to the determination of the substantial completion of Landlord’s Work. The Anticipated Completion Date shall be extended because of any delay caused by a Tenant Delay or events of Force Majeure. As used herein, “Tenant Delay” shall mean a delay caused by changes, additions or deletions to the Landlord’s Work requested by Tenant. Landlord shall, and shall cause its contractors to, work in harmony with and not unreasonably interfere with the performance of the Tenant Improvements in the Premises and Tenant shall and shall cause its contractors to work in harmony with and not unreasonably interfere with the performance of the Landlord’s Work in the Premises.</w:t>
      </w:r>
    </w:p>
    <w:p>
      <w:pPr>
        <w:spacing w:after="0" w:line="185" w:lineRule="exact"/>
        <w:rPr>
          <w:sz w:val="20"/>
          <w:szCs w:val="20"/>
          <w:color w:val="auto"/>
        </w:rPr>
      </w:pPr>
    </w:p>
    <w:p>
      <w:pPr>
        <w:jc w:val="both"/>
        <w:ind w:right="120" w:firstLine="648"/>
        <w:spacing w:after="0" w:line="230" w:lineRule="auto"/>
        <w:rPr>
          <w:sz w:val="20"/>
          <w:szCs w:val="20"/>
          <w:color w:val="auto"/>
        </w:rPr>
      </w:pPr>
      <w:r>
        <w:rPr>
          <w:rFonts w:ascii="Arial" w:cs="Arial" w:eastAsia="Arial" w:hAnsi="Arial"/>
          <w:sz w:val="19"/>
          <w:szCs w:val="19"/>
          <w:color w:val="auto"/>
        </w:rPr>
        <w:t>Landlord further agrees to use commercially reasonable efforts to cause construction of the Building to be substantially completed on or before the Anticipated Completion Date and if any work or punch list items related thereto are performed after the Commencement Date, Landlord shall perform such work in accordance with the terms of Section 11.1.</w:t>
      </w:r>
    </w:p>
    <w:p>
      <w:pPr>
        <w:spacing w:after="0" w:line="176" w:lineRule="exact"/>
        <w:rPr>
          <w:sz w:val="20"/>
          <w:szCs w:val="20"/>
          <w:color w:val="auto"/>
        </w:rPr>
      </w:pPr>
    </w:p>
    <w:p>
      <w:pPr>
        <w:ind w:left="640" w:hanging="639"/>
        <w:spacing w:after="0"/>
        <w:tabs>
          <w:tab w:leader="none" w:pos="64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HAZARDOUS SUBSTANCES.</w:t>
      </w:r>
    </w:p>
    <w:p>
      <w:pPr>
        <w:spacing w:after="0" w:line="222" w:lineRule="exact"/>
        <w:rPr>
          <w:sz w:val="20"/>
          <w:szCs w:val="20"/>
          <w:color w:val="auto"/>
        </w:rPr>
      </w:pPr>
    </w:p>
    <w:p>
      <w:pPr>
        <w:jc w:val="both"/>
        <w:ind w:right="120" w:firstLine="648"/>
        <w:spacing w:after="0" w:line="213" w:lineRule="auto"/>
        <w:rPr>
          <w:sz w:val="20"/>
          <w:szCs w:val="20"/>
          <w:color w:val="auto"/>
        </w:rPr>
      </w:pPr>
      <w:r>
        <w:rPr>
          <w:rFonts w:ascii="Arial" w:cs="Arial" w:eastAsia="Arial" w:hAnsi="Arial"/>
          <w:sz w:val="20"/>
          <w:szCs w:val="20"/>
          <w:color w:val="auto"/>
        </w:rPr>
        <w:t>22.1. Tenant shall not and shall not cause or allow its employees, contractors or agents to generate, treat, store, or dispose of Hazardous Substances on or near the Property, Premises, or the Office Unit, Tenant shall at all times comply with all applicable Environmental Laws, and Tenant will keep the Premises free of any lien imposed pursuant to any Environmental Laws by reason of breach of any of the</w:t>
      </w:r>
    </w:p>
    <w:p>
      <w:pPr>
        <w:sectPr>
          <w:pgSz w:w="11900" w:h="16838" w:orient="portrait"/>
          <w:cols w:equalWidth="0" w:num="1">
            <w:col w:w="10700"/>
          </w:cols>
          <w:pgMar w:left="740" w:top="1392" w:right="459" w:bottom="1440" w:gutter="0" w:footer="0" w:header="0"/>
        </w:sectPr>
      </w:pPr>
    </w:p>
    <w:bookmarkStart w:id="142" w:name="page143"/>
    <w:bookmarkEnd w:id="142"/>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foregoing representations, warranties and covenants. “Hazardous Substances” shall mean (i) any hazardous substance as that term is defined in the Comprehensive Environmental Response, Compensation and Liability Act ("CERCLA"), 42 U.S.C. 9601 et seq., as amended, (ii) any hazardous waste or hazardous substance as those terms are defined in any local, state or federal law, regulation and ordinance applicable to the Property (collectively the “Environmental Laws”), or (iii) petroleum, including crude oil or any fraction thereof. In the event Tenant uses any Hazardous Substances, Tenant shall dispose of such substances in accordance with all applicable federal, state, and local laws, regulations and ordinances. Further, limited quantities of cleaning products and office supplies used or stored at the Premises and required in connection with the routine operation and maintenance of the Premises, and in compliance with all applicable Laws shall be permitted without Landlord’s consent.</w:t>
      </w:r>
    </w:p>
    <w:p>
      <w:pPr>
        <w:spacing w:after="0" w:line="18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22.2. Tenant agrees to indemnify, defend and hold harmless Landlord, its employees, agents, successors, and assigns, from and against any and all damage, claim, liability or loss, including reasonable attorneys' and other fees, arising out of or in any way connected to the generation, treatment, storage or disposal of Hazardous Substances by Tenant, or its employees, agents, contractors, or invitees, on or near the Property. Such duty of indemnification shall include, but to be limited to, damage, liability, or loss pursuant to all federal, state and local environment laws, rules and ordinances, strict liability and common law.</w:t>
      </w:r>
    </w:p>
    <w:p>
      <w:pPr>
        <w:spacing w:after="0" w:line="19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color w:val="auto"/>
        </w:rPr>
        <w:t>The provisions of this Section 22 shall survive any termination of this Lease or the Term.</w:t>
      </w:r>
    </w:p>
    <w:p>
      <w:pPr>
        <w:spacing w:after="0" w:line="196" w:lineRule="exact"/>
        <w:rPr>
          <w:sz w:val="20"/>
          <w:szCs w:val="20"/>
          <w:color w:val="auto"/>
        </w:rPr>
      </w:pPr>
    </w:p>
    <w:p>
      <w:pPr>
        <w:jc w:val="both"/>
        <w:ind w:firstLine="2"/>
        <w:spacing w:after="0" w:line="226" w:lineRule="auto"/>
        <w:tabs>
          <w:tab w:leader="none" w:pos="88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Landlord and Tenant each agree that they shall maintain in confidence and shall not divulge to</w:t>
      </w:r>
      <w:r>
        <w:rPr>
          <w:rFonts w:ascii="Arial" w:cs="Arial" w:eastAsia="Arial" w:hAnsi="Arial"/>
          <w:sz w:val="18"/>
          <w:szCs w:val="18"/>
          <w:b w:val="1"/>
          <w:bCs w:val="1"/>
          <w:color w:val="auto"/>
        </w:rPr>
        <w:t xml:space="preserve"> </w:t>
      </w:r>
      <w:r>
        <w:rPr>
          <w:rFonts w:ascii="Arial" w:cs="Arial" w:eastAsia="Arial" w:hAnsi="Arial"/>
          <w:sz w:val="18"/>
          <w:szCs w:val="18"/>
          <w:color w:val="auto"/>
        </w:rPr>
        <w:t>any third party (except as required by law) any of the terms, covenants and conditions of this Lease, including without limitation, any information related to the rental rate, the length of the Term, any renewal, termination, expansion, contraction or similar options, if any, or the amount of any free rent, improvement allowance or other concessions granted to Tenant by Landlord under this Lease, except to their respective employees, attorneys, auditors, lenders and brokers or as otherwise required by law (including, without limitation, public company reporting requirements). Landlord and Tenant further agree to take commercially reasonable precautions to prevent the unauthorized disclosure of any of such information to any other third parties. Landlord shall not (and shall not permit its broker’s or contractors to) use Tenant’s name (or make any other reference that may identify Tenant), including without limitation, on websites or marketing materials, without Tenant’s prior approval (which may be granted or withheld in Tenant’s sole discretion). Landlord’s and Tenant's obligations under this Section 23 shall survive termination of this Lease.</w:t>
      </w:r>
    </w:p>
    <w:p>
      <w:pPr>
        <w:spacing w:after="0" w:line="183" w:lineRule="exact"/>
        <w:rPr>
          <w:rFonts w:ascii="Arial" w:cs="Arial" w:eastAsia="Arial" w:hAnsi="Arial"/>
          <w:sz w:val="18"/>
          <w:szCs w:val="18"/>
          <w:b w:val="1"/>
          <w:bCs w:val="1"/>
          <w:color w:val="auto"/>
        </w:rPr>
      </w:pPr>
    </w:p>
    <w:p>
      <w:pPr>
        <w:jc w:val="both"/>
        <w:ind w:firstLine="2"/>
        <w:spacing w:after="0" w:line="225" w:lineRule="auto"/>
        <w:tabs>
          <w:tab w:leader="none" w:pos="88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VEHICLE PARKING. </w:t>
      </w:r>
      <w:r>
        <w:rPr>
          <w:rFonts w:ascii="Arial" w:cs="Arial" w:eastAsia="Arial" w:hAnsi="Arial"/>
          <w:sz w:val="18"/>
          <w:szCs w:val="18"/>
          <w:color w:val="auto"/>
        </w:rPr>
        <w:t>During the Term and subject to all terms, conditions, and provisions in this Lease and any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adopted by Landlord or any garage operator from time to time, Tenant's occupancy of the Premises will include the use of the Parking Spaces set forth in the Basic Lease Provisions. Tenant will, upon request, promptly furnish to Landlord the license numbers of the cars operated by Tenant and its subtenants, invitees, concessionaires, licensees and their respective officers, agents and employees. If any vehicle of Tenant, or of any subtenant, invitee, licensee, concessionaire, or their respective officers, agents or employees, is parked in any part of the Property other than those portions of the parking area(s) designated for this purpose by Landlord, or if Tenant shall exceed the number of Parking Spaces allocated to Tenant in the Basic Lease Provisions, then, Landlord will promptly notify Tenant who shall immediately comply with the parking requirements herein. Except as set forth below, all parking spaces are unreserved and available to card access users, tenants, invitees, and guests of the Office Unit on a first come, first serve basis. Notwithstanding the foregoing, nineteen (19) parking stalls situated on the ground floor level of the parking garage may be designated for the sole use of the retail tenant(s) in the Office Unit. Tenant’s parking rights are the personal rights of Tenant and Tenant shall not transfer, assign, or otherwise convey its parking rights provided herein separate or apart from this Lease.</w:t>
      </w:r>
    </w:p>
    <w:p>
      <w:pPr>
        <w:sectPr>
          <w:pgSz w:w="11900" w:h="16838" w:orient="portrait"/>
          <w:cols w:equalWidth="0" w:num="1">
            <w:col w:w="10580"/>
          </w:cols>
          <w:pgMar w:left="740" w:top="1440" w:right="579" w:bottom="1440" w:gutter="0" w:footer="0" w:header="0"/>
        </w:sectPr>
      </w:pPr>
    </w:p>
    <w:bookmarkStart w:id="143" w:name="page144"/>
    <w:bookmarkEnd w:id="143"/>
    <w:p>
      <w:pPr>
        <w:spacing w:after="0" w:line="189" w:lineRule="exact"/>
        <w:rPr>
          <w:sz w:val="20"/>
          <w:szCs w:val="20"/>
          <w:color w:val="auto"/>
        </w:rPr>
      </w:pPr>
    </w:p>
    <w:p>
      <w:pPr>
        <w:ind w:left="880" w:hanging="878"/>
        <w:spacing w:after="0"/>
        <w:tabs>
          <w:tab w:leader="none" w:pos="8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During the Term, Tenant shall have rights of first refusal (the “ROFR Option”) to lease:</w:t>
      </w:r>
    </w:p>
    <w:p>
      <w:pPr>
        <w:spacing w:after="0" w:line="4" w:lineRule="exact"/>
        <w:rPr>
          <w:rFonts w:ascii="Arial" w:cs="Arial" w:eastAsia="Arial" w:hAnsi="Arial"/>
          <w:sz w:val="18"/>
          <w:szCs w:val="18"/>
          <w:b w:val="1"/>
          <w:bCs w:val="1"/>
          <w:color w:val="auto"/>
        </w:rPr>
      </w:pPr>
    </w:p>
    <w:p>
      <w:pPr>
        <w:jc w:val="both"/>
        <w:spacing w:after="0" w:line="188" w:lineRule="auto"/>
        <w:rPr>
          <w:rFonts w:ascii="Arial" w:cs="Arial" w:eastAsia="Arial" w:hAnsi="Arial"/>
          <w:sz w:val="18"/>
          <w:szCs w:val="18"/>
          <w:b w:val="1"/>
          <w:bCs w:val="1"/>
          <w:color w:val="auto"/>
        </w:rPr>
      </w:pPr>
      <w:r>
        <w:rPr>
          <w:rFonts w:ascii="Arial" w:cs="Arial" w:eastAsia="Arial" w:hAnsi="Arial"/>
          <w:sz w:val="19"/>
          <w:szCs w:val="19"/>
          <w:color w:val="auto"/>
        </w:rPr>
        <w:t>(a) that certain eastern portion (i.e. S. Euclid Avenue Side) of the second (2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floor of the Office Unit, as depicted on </w:t>
      </w:r>
      <w:r>
        <w:rPr>
          <w:rFonts w:ascii="Arial" w:cs="Arial" w:eastAsia="Arial" w:hAnsi="Arial"/>
          <w:sz w:val="19"/>
          <w:szCs w:val="19"/>
          <w:u w:val="single" w:color="auto"/>
          <w:color w:val="auto"/>
        </w:rPr>
        <w:t>Exhibit H-1</w:t>
      </w:r>
      <w:r>
        <w:rPr>
          <w:rFonts w:ascii="Arial" w:cs="Arial" w:eastAsia="Arial" w:hAnsi="Arial"/>
          <w:sz w:val="19"/>
          <w:szCs w:val="19"/>
          <w:color w:val="auto"/>
        </w:rPr>
        <w:t xml:space="preserve"> (the “2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Floor ROFR Premises”), and (b) that certain space consisting of the entire fourth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of the Office Unit, comprised of a total of approximately 38,258 rentable square feet, as depicted on </w:t>
      </w:r>
      <w:r>
        <w:rPr>
          <w:rFonts w:ascii="Arial" w:cs="Arial" w:eastAsia="Arial" w:hAnsi="Arial"/>
          <w:sz w:val="19"/>
          <w:szCs w:val="19"/>
          <w:u w:val="single" w:color="auto"/>
          <w:color w:val="auto"/>
        </w:rPr>
        <w:t>Exhibit H-2</w:t>
      </w:r>
      <w:r>
        <w:rPr>
          <w:rFonts w:ascii="Arial" w:cs="Arial" w:eastAsia="Arial" w:hAnsi="Arial"/>
          <w:sz w:val="19"/>
          <w:szCs w:val="19"/>
          <w:color w:val="auto"/>
        </w:rPr>
        <w:t xml:space="preserve"> (the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ROFR Premises”) (the 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Floor ROFR Premises and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ROFR Premises collectively, “ROFR Premises”), upon the terms and conditions set forth in this Paragraph 25. The ROFR Option set forth herein shall be a one-time right for any portion of the ROFR Premises or, as applicable, the entire ROFR Premises, as identified in an Offer (as defined below). For the avoidance of doubt, to the extent the Offer does not include the entire ROFR Premises, Tenant’s ROFR Option shall continue for any other portions of the ROFR Premises not identified in the Offer. </w:t>
      </w:r>
      <w:r>
        <w:rPr>
          <w:rFonts w:ascii="Arial" w:cs="Arial" w:eastAsia="Arial" w:hAnsi="Arial"/>
          <w:sz w:val="19"/>
          <w:szCs w:val="19"/>
          <w:u w:val="single" w:color="auto"/>
          <w:color w:val="auto"/>
        </w:rPr>
        <w:t>Exhibits H-1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H-2</w:t>
      </w:r>
      <w:r>
        <w:rPr>
          <w:rFonts w:ascii="Arial" w:cs="Arial" w:eastAsia="Arial" w:hAnsi="Arial"/>
          <w:sz w:val="19"/>
          <w:szCs w:val="19"/>
          <w:color w:val="auto"/>
        </w:rPr>
        <w:t xml:space="preserve"> are incorporated herein by reference.</w:t>
      </w:r>
    </w:p>
    <w:p>
      <w:pPr>
        <w:spacing w:after="0" w:line="284"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Offer Notice</w:t>
      </w:r>
      <w:r>
        <w:rPr>
          <w:rFonts w:ascii="Arial" w:cs="Arial" w:eastAsia="Arial" w:hAnsi="Arial"/>
          <w:sz w:val="18"/>
          <w:szCs w:val="18"/>
          <w:color w:val="auto"/>
        </w:rPr>
        <w:t>. Upon Landlord's receipt of a bona fide offer to lease any portion of the ROFR Premises to an unrelated third-party which Landlord desires to accept (the “Offer”), Landlord shall notify Tenant in writing (“ROFR Notice”), which ROFR Notice shall contain the proposed terms of a supplemental lease between Landlord and Tenant with respect to such space, which shall include the material terms of the Offer, including: (i) the location and square footage of the premises, (ii) the commencement date (the “ROFR Premises Commencement Date”), (iii) the base rent (and increases in or adjustments of base rent),</w:t>
      </w:r>
    </w:p>
    <w:p>
      <w:pPr>
        <w:spacing w:after="0" w:line="4" w:lineRule="exact"/>
        <w:rPr>
          <w:sz w:val="20"/>
          <w:szCs w:val="20"/>
          <w:color w:val="auto"/>
        </w:rPr>
      </w:pPr>
    </w:p>
    <w:p>
      <w:pPr>
        <w:ind w:left="640" w:right="920" w:hanging="638"/>
        <w:spacing w:after="0" w:line="455" w:lineRule="auto"/>
        <w:tabs>
          <w:tab w:leader="none" w:pos="32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any provisions relating to additional rent, (v) construction allowances or other concessions, if any; and (vi) lease term. 25.2 </w:t>
      </w:r>
      <w:r>
        <w:rPr>
          <w:rFonts w:ascii="Arial" w:cs="Arial" w:eastAsia="Arial" w:hAnsi="Arial"/>
          <w:sz w:val="20"/>
          <w:szCs w:val="20"/>
          <w:u w:val="single" w:color="auto"/>
          <w:color w:val="auto"/>
        </w:rPr>
        <w:t>2nd Floor ROFR Premises</w:t>
      </w:r>
      <w:r>
        <w:rPr>
          <w:rFonts w:ascii="Arial" w:cs="Arial" w:eastAsia="Arial" w:hAnsi="Arial"/>
          <w:sz w:val="20"/>
          <w:szCs w:val="20"/>
          <w:color w:val="auto"/>
        </w:rPr>
        <w:t>.</w:t>
      </w:r>
    </w:p>
    <w:p>
      <w:pPr>
        <w:spacing w:after="0" w:line="56" w:lineRule="exact"/>
        <w:rPr>
          <w:rFonts w:ascii="Arial" w:cs="Arial" w:eastAsia="Arial" w:hAnsi="Arial"/>
          <w:sz w:val="20"/>
          <w:szCs w:val="20"/>
          <w:color w:val="auto"/>
        </w:rPr>
      </w:pPr>
    </w:p>
    <w:p>
      <w:pPr>
        <w:jc w:val="both"/>
        <w:ind w:firstLine="1298"/>
        <w:spacing w:after="0" w:line="213" w:lineRule="auto"/>
        <w:tabs>
          <w:tab w:leader="none" w:pos="1529"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Exercise During Initial 36 Months</w:t>
      </w:r>
      <w:r>
        <w:rPr>
          <w:rFonts w:ascii="Arial" w:cs="Arial" w:eastAsia="Arial" w:hAnsi="Arial"/>
          <w:sz w:val="19"/>
          <w:szCs w:val="19"/>
          <w:color w:val="auto"/>
        </w:rPr>
        <w:t>. With respect to only the 2nd Floor ROFR Premises, in the event that Landlord receives and delivers an Offer to Tenant for any portion of the 2nd Floor ROFR Premises during the first thirty-six (36) months of the Term and Tenant timely elects to exercise its ROFR Option for such portion of the 2nd Floor ROFR Premises, the portion so taken shall be leased to Tenant on the same terms as set forth herein, including the Fixed Basic Rent per RSF and pro-rata increase in the number of parking stalls allocated for Tenant’s use, however, any rent concession, tenant improvements/allowance, or other concession provided herein shall be reduced on a prorated monthly basis based upon the entire length of the Term and the portion of the Term then remaining. The Termination Fee (as such term is defined in Section 29 hereof) shall be adjusted to include 50% of the Fixed Basic Rent payable for such expansion space for the ninth, tenth and eleventh years of the Term. If Tenant effectively exercises the ROFR Option during the initial 36-month period as provided herein, then Landlord and Tenant shall promptly thereafter enter into a lease amendment amending this Lease to confirm such exercise and reflect the terms and conditions set forth herein and in the ROFR Notice.</w:t>
      </w:r>
    </w:p>
    <w:p>
      <w:pPr>
        <w:spacing w:after="0" w:line="189" w:lineRule="exact"/>
        <w:rPr>
          <w:rFonts w:ascii="Arial" w:cs="Arial" w:eastAsia="Arial" w:hAnsi="Arial"/>
          <w:sz w:val="19"/>
          <w:szCs w:val="19"/>
          <w:color w:val="auto"/>
        </w:rPr>
      </w:pPr>
    </w:p>
    <w:p>
      <w:pPr>
        <w:jc w:val="both"/>
        <w:ind w:right="20" w:firstLine="1298"/>
        <w:spacing w:after="0" w:line="207" w:lineRule="auto"/>
        <w:tabs>
          <w:tab w:leader="none" w:pos="1518"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Exercise After Initial 36 Months. Upon the expiration of the thirty-sixth (36th) month of the Term, Tenant’s exercise of its ROFR Option for any portion of the 2nd Floor ROFR Premises shall be subject to the same terms and conditions as the third-party offer, including, but not limited to, the rental rate, term, and commencement date set forth in the Offer. If Tenant effectively exercises the ROFR Option as provided in this Section 25.2.B., then Landlord and Tenant shall promptly thereafter enter into a supplemental lease agreement confirming such exercise and reflecting the terms and conditions set forth herein and in the ROFR Notice.</w:t>
      </w:r>
    </w:p>
    <w:p>
      <w:pPr>
        <w:spacing w:after="0" w:line="156" w:lineRule="exact"/>
        <w:rPr>
          <w:sz w:val="20"/>
          <w:szCs w:val="20"/>
          <w:color w:val="auto"/>
        </w:rPr>
      </w:pPr>
    </w:p>
    <w:p>
      <w:pPr>
        <w:ind w:left="640"/>
        <w:spacing w:after="0"/>
        <w:tabs>
          <w:tab w:leader="none" w:pos="3520" w:val="left"/>
        </w:tabs>
        <w:rPr>
          <w:sz w:val="20"/>
          <w:szCs w:val="20"/>
          <w:color w:val="auto"/>
        </w:rPr>
      </w:pPr>
      <w:r>
        <w:rPr>
          <w:rFonts w:ascii="Arial" w:cs="Arial" w:eastAsia="Arial" w:hAnsi="Arial"/>
          <w:sz w:val="20"/>
          <w:szCs w:val="20"/>
          <w:color w:val="auto"/>
        </w:rPr>
        <w:t>25.3</w:t>
      </w:r>
      <w:r>
        <w:rPr>
          <w:sz w:val="20"/>
          <w:szCs w:val="20"/>
          <w:color w:val="auto"/>
        </w:rPr>
        <w:tab/>
      </w:r>
      <w:r>
        <w:rPr>
          <w:rFonts w:ascii="Arial" w:cs="Arial" w:eastAsia="Arial" w:hAnsi="Arial"/>
          <w:sz w:val="17"/>
          <w:szCs w:val="17"/>
          <w:color w:val="auto"/>
        </w:rPr>
        <w:t>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ROFR Premises. With respect to the 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ROFR Premises, in 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-46355</wp:posOffset>
            </wp:positionV>
            <wp:extent cx="12858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jc w:val="both"/>
        <w:ind w:right="20"/>
        <w:spacing w:after="0" w:line="201" w:lineRule="auto"/>
        <w:rPr>
          <w:sz w:val="20"/>
          <w:szCs w:val="20"/>
          <w:color w:val="auto"/>
        </w:rPr>
      </w:pPr>
      <w:r>
        <w:rPr>
          <w:rFonts w:ascii="Arial" w:cs="Arial" w:eastAsia="Arial" w:hAnsi="Arial"/>
          <w:sz w:val="20"/>
          <w:szCs w:val="20"/>
          <w:color w:val="auto"/>
        </w:rPr>
        <w:t>Tenant elects to lease the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ROFR Premises, or any portion thereof, Tenant shall lease the same subject to the same terms and conditions of the third-party Offer as identified in the ROFR Notice, including, but not limited to, the rental rate, term, and commencement date. If Tenant effectively exercises the ROFR Option as aforesaid, then Landlord and Tenant shall promptly thereafter enter into a supplemental</w:t>
      </w:r>
    </w:p>
    <w:p>
      <w:pPr>
        <w:sectPr>
          <w:pgSz w:w="11900" w:h="16838" w:orient="portrait"/>
          <w:cols w:equalWidth="0" w:num="1">
            <w:col w:w="10600"/>
          </w:cols>
          <w:pgMar w:left="740" w:top="1440" w:right="559" w:bottom="1440" w:gutter="0" w:footer="0" w:header="0"/>
        </w:sectPr>
      </w:pPr>
    </w:p>
    <w:bookmarkStart w:id="144" w:name="page145"/>
    <w:bookmarkEnd w:id="144"/>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lease agreement confirming such exercise and reflecting the terms and conditions set forth herein and in the ROFR Notice.</w:t>
      </w:r>
    </w:p>
    <w:p>
      <w:pPr>
        <w:spacing w:after="0" w:line="21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 xml:space="preserve">25.4 </w:t>
      </w:r>
      <w:r>
        <w:rPr>
          <w:rFonts w:ascii="Arial" w:cs="Arial" w:eastAsia="Arial" w:hAnsi="Arial"/>
          <w:sz w:val="19"/>
          <w:szCs w:val="19"/>
          <w:u w:val="single" w:color="auto"/>
          <w:color w:val="auto"/>
        </w:rPr>
        <w:t>ROFR Conditions</w:t>
      </w:r>
      <w:r>
        <w:rPr>
          <w:rFonts w:ascii="Arial" w:cs="Arial" w:eastAsia="Arial" w:hAnsi="Arial"/>
          <w:sz w:val="19"/>
          <w:szCs w:val="19"/>
          <w:color w:val="auto"/>
        </w:rPr>
        <w:t xml:space="preserve">. The ROFR Option must be exercised, if at all, on and subject to the following terms and conditions: (i) Tenant shall deliver written notice to Landlord not later than ten (10) days following the date of Tenant’s receipt of the ROFR Notice, </w:t>
      </w:r>
      <w:r>
        <w:rPr>
          <w:rFonts w:ascii="Arial" w:cs="Arial" w:eastAsia="Arial" w:hAnsi="Arial"/>
          <w:sz w:val="19"/>
          <w:szCs w:val="19"/>
          <w:i w:val="1"/>
          <w:iCs w:val="1"/>
          <w:color w:val="auto"/>
        </w:rPr>
        <w:t>time being of the essence</w:t>
      </w:r>
      <w:r>
        <w:rPr>
          <w:rFonts w:ascii="Arial" w:cs="Arial" w:eastAsia="Arial" w:hAnsi="Arial"/>
          <w:sz w:val="19"/>
          <w:szCs w:val="19"/>
          <w:color w:val="auto"/>
        </w:rPr>
        <w:t>; (ii) at the time of exercising the ROFR Option, this Lease shall be in full force and effect and there shall then exist no uncured Event of Default of Tenant; (iii) Tenant shall be in occupancy of the entire Premises, and (iv) Tenant must lease all square footage set forth in the Offer even if greater in size than the ROFR Premises.</w:t>
      </w:r>
    </w:p>
    <w:p>
      <w:pPr>
        <w:spacing w:after="0" w:line="18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 xml:space="preserve">25.5 </w:t>
      </w:r>
      <w:r>
        <w:rPr>
          <w:rFonts w:ascii="Arial" w:cs="Arial" w:eastAsia="Arial" w:hAnsi="Arial"/>
          <w:sz w:val="19"/>
          <w:szCs w:val="19"/>
          <w:u w:val="single" w:color="auto"/>
          <w:color w:val="auto"/>
        </w:rPr>
        <w:t>Termination of ROFR Option; Partial Termination</w:t>
      </w:r>
      <w:r>
        <w:rPr>
          <w:rFonts w:ascii="Arial" w:cs="Arial" w:eastAsia="Arial" w:hAnsi="Arial"/>
          <w:sz w:val="19"/>
          <w:szCs w:val="19"/>
          <w:color w:val="auto"/>
        </w:rPr>
        <w:t>. If Tenant fails to timely exercise its ROFR Option, Tenant will be conclusively deemed to have elected not to exercise its ROFR Option with respect to that portion of the ROFR Premises identified in the Offer; in which event, the ROFR Option shall no longer apply and is thereafter deemed null and void.</w:t>
      </w:r>
    </w:p>
    <w:p>
      <w:pPr>
        <w:spacing w:after="0" w:line="19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25.6 </w:t>
      </w:r>
      <w:r>
        <w:rPr>
          <w:rFonts w:ascii="Arial" w:cs="Arial" w:eastAsia="Arial" w:hAnsi="Arial"/>
          <w:sz w:val="20"/>
          <w:szCs w:val="20"/>
          <w:u w:val="single" w:color="auto"/>
          <w:color w:val="auto"/>
        </w:rPr>
        <w:t>Assignment of Lease</w:t>
      </w:r>
      <w:r>
        <w:rPr>
          <w:rFonts w:ascii="Arial" w:cs="Arial" w:eastAsia="Arial" w:hAnsi="Arial"/>
          <w:sz w:val="20"/>
          <w:szCs w:val="20"/>
          <w:color w:val="auto"/>
        </w:rPr>
        <w:t>. This entire Section 25 shall automatically terminate and become null and void upon the assignment by Tenant of this Lease, in whole or in part, or the sublease by Tenant of all or any part of the Premises (except for a Permitted assignment or Permitted Sublease pursuant to Paragraph 15 herein).</w:t>
      </w:r>
    </w:p>
    <w:p>
      <w:pPr>
        <w:spacing w:after="0" w:line="177" w:lineRule="exact"/>
        <w:rPr>
          <w:sz w:val="20"/>
          <w:szCs w:val="20"/>
          <w:color w:val="auto"/>
        </w:rPr>
      </w:pPr>
    </w:p>
    <w:p>
      <w:pPr>
        <w:jc w:val="both"/>
        <w:ind w:firstLine="2"/>
        <w:spacing w:after="0" w:line="237" w:lineRule="auto"/>
        <w:tabs>
          <w:tab w:leader="none" w:pos="882"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OUTDOOR TERRACE. </w:t>
      </w:r>
      <w:r>
        <w:rPr>
          <w:rFonts w:ascii="Arial" w:cs="Arial" w:eastAsia="Arial" w:hAnsi="Arial"/>
          <w:sz w:val="17"/>
          <w:szCs w:val="17"/>
          <w:color w:val="auto"/>
        </w:rPr>
        <w:t>During the Term, Tenant shall, at no additional cost, have access to and exclusive use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floor exterior terrace (the “Terrace”), as depicted on </w:t>
      </w:r>
      <w:r>
        <w:rPr>
          <w:rFonts w:ascii="Arial" w:cs="Arial" w:eastAsia="Arial" w:hAnsi="Arial"/>
          <w:sz w:val="17"/>
          <w:szCs w:val="17"/>
          <w:u w:val="single" w:color="auto"/>
          <w:color w:val="auto"/>
        </w:rPr>
        <w:t>Exhibit F</w:t>
      </w:r>
      <w:r>
        <w:rPr>
          <w:rFonts w:ascii="Arial" w:cs="Arial" w:eastAsia="Arial" w:hAnsi="Arial"/>
          <w:sz w:val="17"/>
          <w:szCs w:val="17"/>
          <w:color w:val="auto"/>
        </w:rPr>
        <w:t>, attached hereto and incorporated herein. Tenant shall not make any alterations to the Terrace or install any fixture or improvements, except as permitted in accordance with Section 10 herein. The use of the Terrace shall be limited at all times to the terms and conditions of the Declaration, applicable law, and pursuant to any reasonable rules and regulations that may be imposed on the exterior terraces, patios, and porches situated in the Office Unit.</w:t>
      </w:r>
    </w:p>
    <w:p>
      <w:pPr>
        <w:spacing w:after="0" w:line="177" w:lineRule="exact"/>
        <w:rPr>
          <w:rFonts w:ascii="Arial" w:cs="Arial" w:eastAsia="Arial" w:hAnsi="Arial"/>
          <w:sz w:val="17"/>
          <w:szCs w:val="17"/>
          <w:b w:val="1"/>
          <w:bCs w:val="1"/>
          <w:color w:val="auto"/>
        </w:rPr>
      </w:pPr>
    </w:p>
    <w:p>
      <w:pPr>
        <w:jc w:val="both"/>
        <w:ind w:firstLine="2"/>
        <w:spacing w:after="0" w:line="225" w:lineRule="auto"/>
        <w:tabs>
          <w:tab w:leader="none" w:pos="88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SIGNAGE</w:t>
      </w:r>
      <w:r>
        <w:rPr>
          <w:rFonts w:ascii="Arial" w:cs="Arial" w:eastAsia="Arial" w:hAnsi="Arial"/>
          <w:sz w:val="18"/>
          <w:szCs w:val="18"/>
          <w:color w:val="auto"/>
        </w:rPr>
        <w:t>. Landlord shall install building standard suite signage relating to the Premises and install Tenant’s name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Building directory. Tenant shall not install, paint, display, inscribe, place, or affix any sign, picture, advertisement, notice, lettering, or direction (herein collectively called “Signs”) on the exterior of the Office Unit, the common areas of the Office Unit, the interior surface of glass and any other location which could be visible from outside of the Premises without first securing written consent from Landlord therefor, such written consent in Landlord’s sole discretion. Any Sign permitted by Landlord in writing, shall at all times conform to all municipal ordinances or other laws, regulations, deed restrictions, and other covenants applicable thereto. Tenant shall remove all Signs at the expiration or other termination of this Lease, at Tenant’s sole risk and expense, and shall in a good and workmanlike manner properly repair any damage caused by the installation, existence, or removal of Tenant’s Signs. Notwithstanding the foregoing, subject to applicable laws and related approvals, Tenant shall have the right to install one exterior building sign on the Euclid Avenue Façade of the Building in the location shown on the attached </w:t>
      </w:r>
      <w:r>
        <w:rPr>
          <w:rFonts w:ascii="Arial" w:cs="Arial" w:eastAsia="Arial" w:hAnsi="Arial"/>
          <w:sz w:val="18"/>
          <w:szCs w:val="18"/>
          <w:u w:val="single" w:color="auto"/>
          <w:color w:val="auto"/>
        </w:rPr>
        <w:t>Exhibit I</w:t>
      </w:r>
      <w:r>
        <w:rPr>
          <w:rFonts w:ascii="Arial" w:cs="Arial" w:eastAsia="Arial" w:hAnsi="Arial"/>
          <w:sz w:val="18"/>
          <w:szCs w:val="18"/>
          <w:color w:val="auto"/>
        </w:rPr>
        <w:t>, provided, (i) that the total face area of such sign does not exceed 80 square feet, (ii) that all costs and expenses associated with the signage, including permitting, shall be Tenant’s sole responsibility, and (iii) Tenant shall obtain all necessary permits and approvals under federal, state, or local laws and regulations and maintain all such approvals during the period in which the signage remains on the Office Unit.</w:t>
      </w:r>
    </w:p>
    <w:p>
      <w:pPr>
        <w:spacing w:after="0" w:line="177" w:lineRule="exact"/>
        <w:rPr>
          <w:rFonts w:ascii="Arial" w:cs="Arial" w:eastAsia="Arial" w:hAnsi="Arial"/>
          <w:sz w:val="18"/>
          <w:szCs w:val="18"/>
          <w:b w:val="1"/>
          <w:bCs w:val="1"/>
          <w:color w:val="auto"/>
        </w:rPr>
      </w:pPr>
    </w:p>
    <w:p>
      <w:pPr>
        <w:ind w:left="640" w:hanging="589"/>
        <w:spacing w:after="0"/>
        <w:tabs>
          <w:tab w:leader="none" w:pos="640" w:val="left"/>
        </w:tabs>
        <w:numPr>
          <w:ilvl w:val="1"/>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08"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28.1. </w:t>
      </w:r>
      <w:r>
        <w:rPr>
          <w:rFonts w:ascii="Arial" w:cs="Arial" w:eastAsia="Arial" w:hAnsi="Arial"/>
          <w:sz w:val="20"/>
          <w:szCs w:val="20"/>
          <w:u w:val="single" w:color="auto"/>
          <w:color w:val="auto"/>
        </w:rPr>
        <w:t>Lease Binding</w:t>
      </w:r>
      <w:r>
        <w:rPr>
          <w:rFonts w:ascii="Arial" w:cs="Arial" w:eastAsia="Arial" w:hAnsi="Arial"/>
          <w:sz w:val="20"/>
          <w:szCs w:val="20"/>
          <w:color w:val="auto"/>
        </w:rPr>
        <w:t>. This Lease shall be binding upon and inure to the benefit of Landlord and Tenant and their respective heirs, legal representatives, successors and permitted assigns.</w:t>
      </w:r>
    </w:p>
    <w:p>
      <w:pPr>
        <w:sectPr>
          <w:pgSz w:w="11900" w:h="16838" w:orient="portrait"/>
          <w:cols w:equalWidth="0" w:num="1">
            <w:col w:w="10580"/>
          </w:cols>
          <w:pgMar w:left="740" w:top="1440" w:right="579" w:bottom="1440" w:gutter="0" w:footer="0" w:header="0"/>
        </w:sectPr>
      </w:pPr>
    </w:p>
    <w:bookmarkStart w:id="145" w:name="page146"/>
    <w:bookmarkEnd w:id="145"/>
    <w:p>
      <w:pPr>
        <w:spacing w:after="0" w:line="19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 xml:space="preserve">28.2. </w:t>
      </w:r>
      <w:r>
        <w:rPr>
          <w:rFonts w:ascii="Arial" w:cs="Arial" w:eastAsia="Arial" w:hAnsi="Arial"/>
          <w:sz w:val="20"/>
          <w:szCs w:val="20"/>
          <w:u w:val="single" w:color="auto"/>
          <w:color w:val="auto"/>
        </w:rPr>
        <w:t>Payments Due</w:t>
      </w:r>
      <w:r>
        <w:rPr>
          <w:rFonts w:ascii="Arial" w:cs="Arial" w:eastAsia="Arial" w:hAnsi="Arial"/>
          <w:sz w:val="20"/>
          <w:szCs w:val="20"/>
          <w:color w:val="auto"/>
        </w:rPr>
        <w:t>. All amounts owed to Landlord hereunder, for which the date of payment is not expressly fixed herein, shall be paid within thirty (30) days from the date Landlord renders statements of account therefor.</w:t>
      </w:r>
    </w:p>
    <w:p>
      <w:pPr>
        <w:spacing w:after="0" w:line="182" w:lineRule="exact"/>
        <w:rPr>
          <w:sz w:val="20"/>
          <w:szCs w:val="20"/>
          <w:color w:val="auto"/>
        </w:rPr>
      </w:pPr>
    </w:p>
    <w:p>
      <w:pPr>
        <w:jc w:val="both"/>
        <w:ind w:right="20" w:firstLine="648"/>
        <w:spacing w:after="0" w:line="217" w:lineRule="auto"/>
        <w:rPr>
          <w:sz w:val="20"/>
          <w:szCs w:val="20"/>
          <w:color w:val="auto"/>
        </w:rPr>
      </w:pPr>
      <w:r>
        <w:rPr>
          <w:rFonts w:ascii="Arial" w:cs="Arial" w:eastAsia="Arial" w:hAnsi="Arial"/>
          <w:sz w:val="19"/>
          <w:szCs w:val="19"/>
          <w:color w:val="auto"/>
        </w:rPr>
        <w:t xml:space="preserve">28.3. </w:t>
      </w:r>
      <w:r>
        <w:rPr>
          <w:rFonts w:ascii="Arial" w:cs="Arial" w:eastAsia="Arial" w:hAnsi="Arial"/>
          <w:sz w:val="19"/>
          <w:szCs w:val="19"/>
          <w:u w:val="single" w:color="auto"/>
          <w:color w:val="auto"/>
        </w:rPr>
        <w:t>Eminent Domain</w:t>
      </w:r>
      <w:r>
        <w:rPr>
          <w:rFonts w:ascii="Arial" w:cs="Arial" w:eastAsia="Arial" w:hAnsi="Arial"/>
          <w:sz w:val="19"/>
          <w:szCs w:val="19"/>
          <w:color w:val="auto"/>
        </w:rPr>
        <w:t>. In the event that all or a substantial portion of the Premises or the Property are taken by eminent domain so that the Premises cannot be reasonably used by Tenant for the purposes for which they are demised or, in the reasonable judgment of Landlord, so that the Office Unit cannot be operated as an integral unit (whether or not the Premises are affected), then either party may terminate this Lease by giving written notice of termination to the other party within thirty (30) days after such taking. In the event of any taking by eminent domain, the entire award shall be paid to and retained by Landlord excepting, however, that Tenant may receive therefrom any portion paid on account of Tenant's relocation expenses and construction of leasehold improvements within the Premises.</w:t>
      </w:r>
    </w:p>
    <w:p>
      <w:pPr>
        <w:spacing w:after="0" w:line="18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Lease and the Exhibits attached hereto contain the entire agreement between Landlord and Tenant concerning the Premises and there are no other agreements, either oral or written. Any agreement hereafter made shall be ineffective to change, modify, discharge or effect an abandonment of this Lease in whole or in part, unless such agreement is in writing and signed by the party against whom enforcement of the change, modification, discharge or abandonment is sought.</w:t>
      </w:r>
    </w:p>
    <w:p>
      <w:pPr>
        <w:spacing w:after="0" w:line="185" w:lineRule="exact"/>
        <w:rPr>
          <w:sz w:val="20"/>
          <w:szCs w:val="20"/>
          <w:color w:val="auto"/>
        </w:rPr>
      </w:pPr>
    </w:p>
    <w:p>
      <w:pPr>
        <w:jc w:val="both"/>
        <w:ind w:right="20" w:firstLine="648"/>
        <w:spacing w:after="0" w:line="210" w:lineRule="auto"/>
        <w:rPr>
          <w:sz w:val="20"/>
          <w:szCs w:val="20"/>
          <w:color w:val="auto"/>
        </w:rPr>
      </w:pPr>
      <w:r>
        <w:rPr>
          <w:rFonts w:ascii="Arial" w:cs="Arial" w:eastAsia="Arial" w:hAnsi="Arial"/>
          <w:sz w:val="20"/>
          <w:szCs w:val="20"/>
          <w:color w:val="auto"/>
        </w:rPr>
        <w:t xml:space="preserve">28.5. </w:t>
      </w:r>
      <w:r>
        <w:rPr>
          <w:rFonts w:ascii="Arial" w:cs="Arial" w:eastAsia="Arial" w:hAnsi="Arial"/>
          <w:sz w:val="20"/>
          <w:szCs w:val="20"/>
          <w:u w:val="single" w:color="auto"/>
          <w:color w:val="auto"/>
        </w:rPr>
        <w:t>No Waiver</w:t>
      </w:r>
      <w:r>
        <w:rPr>
          <w:rFonts w:ascii="Arial" w:cs="Arial" w:eastAsia="Arial" w:hAnsi="Arial"/>
          <w:sz w:val="20"/>
          <w:szCs w:val="20"/>
          <w:color w:val="auto"/>
        </w:rPr>
        <w:t>. No receipt of money by Landlord from Tenant after the termination of this Lease or Tenant's right of possession of the Premises shall reinstate, continue or extend the Term. The failure or delay of either party to enforce or exercise at any time any of the provisions, rights, or remedies in this Lease shall in no way be construed to be a waiver thereof, nor shall same in any way affect the validity of this Lease or any part hereof, or the right of such party to hereafter enforce each and every such provision, right or remedy.</w:t>
      </w:r>
    </w:p>
    <w:p>
      <w:pPr>
        <w:spacing w:after="0" w:line="182" w:lineRule="exact"/>
        <w:rPr>
          <w:sz w:val="20"/>
          <w:szCs w:val="20"/>
          <w:color w:val="auto"/>
        </w:rPr>
      </w:pPr>
    </w:p>
    <w:p>
      <w:pPr>
        <w:jc w:val="both"/>
        <w:ind w:right="20" w:firstLine="648"/>
        <w:spacing w:after="0" w:line="215" w:lineRule="auto"/>
        <w:rPr>
          <w:sz w:val="20"/>
          <w:szCs w:val="20"/>
          <w:color w:val="auto"/>
        </w:rPr>
      </w:pPr>
      <w:r>
        <w:rPr>
          <w:rFonts w:ascii="Arial" w:cs="Arial" w:eastAsia="Arial" w:hAnsi="Arial"/>
          <w:sz w:val="19"/>
          <w:szCs w:val="19"/>
          <w:color w:val="auto"/>
        </w:rPr>
        <w:t xml:space="preserve">28.6. </w:t>
      </w:r>
      <w:r>
        <w:rPr>
          <w:rFonts w:ascii="Arial" w:cs="Arial" w:eastAsia="Arial" w:hAnsi="Arial"/>
          <w:sz w:val="19"/>
          <w:szCs w:val="19"/>
          <w:u w:val="single" w:color="auto"/>
          <w:color w:val="auto"/>
        </w:rPr>
        <w:t>Broker</w:t>
      </w:r>
      <w:r>
        <w:rPr>
          <w:rFonts w:ascii="Arial" w:cs="Arial" w:eastAsia="Arial" w:hAnsi="Arial"/>
          <w:sz w:val="19"/>
          <w:szCs w:val="19"/>
          <w:color w:val="auto"/>
        </w:rPr>
        <w:t>. Tenant represents that, except for the brokers, if any, specified in Section 1.Y., Tenant has not dealt with any real estate broker, sales person, or finder in connection with this Lease. Tenant hereby agrees to defend indemnify and hold harmless Landlord, its agents and employees, from and against any and all liabilities and claims for commissions and fees arising out of a breach of the foregoing representation. Unless otherwise agreed by the parties, Landlord shall be responsible for the payment of all commissions to the broker, if any, specified in Section 1.Y., based upon Landlord's separate agreement with such broker. Landlord represents that, except for the brokers, if any, specified in Section 1.Y., Landlord has not dealt with any other real estate broker, sales person, or finder in connection with this Lease. Landlord hereby agrees to defend indemnify and hold harmless Tenant, its agents and employees, from and against any and all liabilities and claims for commissions and fees arising out of a breach of the foregoing representation.</w:t>
      </w:r>
    </w:p>
    <w:p>
      <w:pPr>
        <w:spacing w:after="0" w:line="18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 xml:space="preserve">28.7. </w:t>
      </w:r>
      <w:r>
        <w:rPr>
          <w:rFonts w:ascii="Arial" w:cs="Arial" w:eastAsia="Arial" w:hAnsi="Arial"/>
          <w:sz w:val="18"/>
          <w:szCs w:val="18"/>
          <w:u w:val="single" w:color="auto"/>
          <w:color w:val="auto"/>
        </w:rPr>
        <w:t>Force Majeure</w:t>
      </w:r>
      <w:r>
        <w:rPr>
          <w:rFonts w:ascii="Arial" w:cs="Arial" w:eastAsia="Arial" w:hAnsi="Arial"/>
          <w:sz w:val="18"/>
          <w:szCs w:val="18"/>
          <w:color w:val="auto"/>
        </w:rPr>
        <w:t>. Landlord and Tenant shall not be deemed in default with respect to any of the terms, covenants and conditions of this Lease to be performed, if it fails to timely perform same and such failure is due in whole or in part to any event of Force Majeure. “Force Majeure” shall mean strike; lockout; labor trouble (whether legal or illegal); civil disorder; inability to procure material, failure of power and inability or delays to obtain any permits or approvals from governmental authorities, provided that such party has made appropriate and timely orders or requests to suppliers and to governmental authorities; restrictive governmental laws and regulations enacted after the Effective Date; pandemic, epidemic, or quarantine as directed by any Federal, state, or local governmental authorities; riots, insurrection; war; fuel shortages; accidents; casualties; Acts of God; acts caused directly or indirectly by the other party or its agents, employees or invitees; or any other cause beyond the reasonable control of the party who fails to perform (. Notwithstanding anything set forth herein, all payment obligations under and pursuant to the terms and conditions of this Lease shall not be delayed, excused, or otherwise suspended. Such excuse from non-monetary performance shall be effective only to the extent and duration of the event(s) prohibiting</w:t>
      </w:r>
    </w:p>
    <w:p>
      <w:pPr>
        <w:sectPr>
          <w:pgSz w:w="11900" w:h="16838" w:orient="portrait"/>
          <w:cols w:equalWidth="0" w:num="1">
            <w:col w:w="10600"/>
          </w:cols>
          <w:pgMar w:left="740" w:top="1440" w:right="559" w:bottom="1440" w:gutter="0" w:footer="0" w:header="0"/>
        </w:sectPr>
      </w:pPr>
    </w:p>
    <w:bookmarkStart w:id="146" w:name="page147"/>
    <w:bookmarkEnd w:id="146"/>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performance and provided that the party has not caused such event(s) to occur and continues to use diligent, good faith efforts to avoid the effects of such event and to perform the obligation.</w:t>
      </w:r>
    </w:p>
    <w:p>
      <w:pPr>
        <w:spacing w:after="0" w:line="182" w:lineRule="exact"/>
        <w:rPr>
          <w:sz w:val="20"/>
          <w:szCs w:val="20"/>
          <w:color w:val="auto"/>
        </w:rPr>
      </w:pPr>
    </w:p>
    <w:p>
      <w:pPr>
        <w:jc w:val="both"/>
        <w:ind w:right="80" w:firstLine="648"/>
        <w:spacing w:after="0" w:line="242" w:lineRule="auto"/>
        <w:rPr>
          <w:sz w:val="20"/>
          <w:szCs w:val="20"/>
          <w:color w:val="auto"/>
        </w:rPr>
      </w:pPr>
      <w:r>
        <w:rPr>
          <w:rFonts w:ascii="Arial" w:cs="Arial" w:eastAsia="Arial" w:hAnsi="Arial"/>
          <w:sz w:val="19"/>
          <w:szCs w:val="19"/>
          <w:color w:val="auto"/>
        </w:rPr>
        <w:t xml:space="preserve">28.8. </w:t>
      </w:r>
      <w:r>
        <w:rPr>
          <w:rFonts w:ascii="Arial" w:cs="Arial" w:eastAsia="Arial" w:hAnsi="Arial"/>
          <w:sz w:val="19"/>
          <w:szCs w:val="19"/>
          <w:u w:val="single" w:color="auto"/>
          <w:color w:val="auto"/>
        </w:rPr>
        <w:t>Headings and Captions</w:t>
      </w:r>
      <w:r>
        <w:rPr>
          <w:rFonts w:ascii="Arial" w:cs="Arial" w:eastAsia="Arial" w:hAnsi="Arial"/>
          <w:sz w:val="19"/>
          <w:szCs w:val="19"/>
          <w:color w:val="auto"/>
        </w:rPr>
        <w:t>. Paragraph and other captions in this Lease are inserted only as a matter of convenience and in no way define, limit, construe or describe the scope or intent of such Paragraphs or portions thereof.</w:t>
      </w:r>
    </w:p>
    <w:p>
      <w:pPr>
        <w:spacing w:after="0" w:line="180" w:lineRule="exact"/>
        <w:rPr>
          <w:sz w:val="20"/>
          <w:szCs w:val="20"/>
          <w:color w:val="auto"/>
        </w:rPr>
      </w:pPr>
    </w:p>
    <w:p>
      <w:pPr>
        <w:jc w:val="both"/>
        <w:ind w:right="80" w:firstLine="648"/>
        <w:spacing w:after="0" w:line="229" w:lineRule="auto"/>
        <w:rPr>
          <w:sz w:val="20"/>
          <w:szCs w:val="20"/>
          <w:color w:val="auto"/>
        </w:rPr>
      </w:pPr>
      <w:r>
        <w:rPr>
          <w:rFonts w:ascii="Arial" w:cs="Arial" w:eastAsia="Arial" w:hAnsi="Arial"/>
          <w:sz w:val="20"/>
          <w:szCs w:val="20"/>
          <w:color w:val="auto"/>
        </w:rPr>
        <w:t xml:space="preserve">28.9. </w:t>
      </w:r>
      <w:r>
        <w:rPr>
          <w:rFonts w:ascii="Arial" w:cs="Arial" w:eastAsia="Arial" w:hAnsi="Arial"/>
          <w:sz w:val="20"/>
          <w:szCs w:val="20"/>
          <w:u w:val="single" w:color="auto"/>
          <w:color w:val="auto"/>
        </w:rPr>
        <w:t>Choice of Law</w:t>
      </w:r>
      <w:r>
        <w:rPr>
          <w:rFonts w:ascii="Arial" w:cs="Arial" w:eastAsia="Arial" w:hAnsi="Arial"/>
          <w:sz w:val="20"/>
          <w:szCs w:val="20"/>
          <w:color w:val="auto"/>
        </w:rPr>
        <w:t>. This Lease shall be construed in accordance with the laws of the Commonwealth of Pennsylvania, without regard to conflicts of law principles.</w:t>
      </w:r>
    </w:p>
    <w:p>
      <w:pPr>
        <w:spacing w:after="0" w:line="196" w:lineRule="exact"/>
        <w:rPr>
          <w:sz w:val="20"/>
          <w:szCs w:val="20"/>
          <w:color w:val="auto"/>
        </w:rPr>
      </w:pPr>
    </w:p>
    <w:p>
      <w:pPr>
        <w:jc w:val="both"/>
        <w:ind w:right="80" w:firstLine="648"/>
        <w:spacing w:after="0" w:line="205" w:lineRule="auto"/>
        <w:rPr>
          <w:sz w:val="20"/>
          <w:szCs w:val="20"/>
          <w:color w:val="auto"/>
        </w:rPr>
      </w:pPr>
      <w:r>
        <w:rPr>
          <w:rFonts w:ascii="Arial" w:cs="Arial" w:eastAsia="Arial" w:hAnsi="Arial"/>
          <w:sz w:val="20"/>
          <w:szCs w:val="20"/>
          <w:color w:val="auto"/>
        </w:rPr>
        <w:t xml:space="preserve">28.10. </w:t>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Notwithstanding anything contained in this Lease to the contrary, the liability of Landlord under this Lease shall be limited to its interest in the Office Unit or any portion thereof and Tenant agrees that no judgment against Landlord under this Lease may be satisfied against any property or assets of Landlord other than the interest of Landlord in the Office Unit as set forth herein. It is expressly understood and agreed by Tenant that none of Landlord’s covenants, undertakings or agreements are made or intended as personal covenants, undertakings, or agreements by Landlord or its partners and no personal liability is assumed by, nor at any time may be asserted against, Landlord or its partners or any of its or their officers, agents, employees, legal representatives, successors or assigns, if any, all such liability, if any, being expressly waived and released by Tenant.</w:t>
      </w:r>
    </w:p>
    <w:p>
      <w:pPr>
        <w:spacing w:after="0" w:line="183" w:lineRule="exact"/>
        <w:rPr>
          <w:sz w:val="20"/>
          <w:szCs w:val="20"/>
          <w:color w:val="auto"/>
        </w:rPr>
      </w:pPr>
    </w:p>
    <w:p>
      <w:pPr>
        <w:jc w:val="both"/>
        <w:ind w:right="80" w:firstLine="648"/>
        <w:spacing w:after="0" w:line="207" w:lineRule="auto"/>
        <w:rPr>
          <w:sz w:val="20"/>
          <w:szCs w:val="20"/>
          <w:color w:val="auto"/>
        </w:rPr>
      </w:pPr>
      <w:r>
        <w:rPr>
          <w:rFonts w:ascii="Arial" w:cs="Arial" w:eastAsia="Arial" w:hAnsi="Arial"/>
          <w:sz w:val="20"/>
          <w:szCs w:val="20"/>
          <w:color w:val="auto"/>
        </w:rPr>
        <w:t xml:space="preserve">28.11. </w:t>
      </w:r>
      <w:r>
        <w:rPr>
          <w:rFonts w:ascii="Arial" w:cs="Arial" w:eastAsia="Arial" w:hAnsi="Arial"/>
          <w:sz w:val="20"/>
          <w:szCs w:val="20"/>
          <w:u w:val="single" w:color="auto"/>
          <w:color w:val="auto"/>
        </w:rPr>
        <w:t>Landlord May Perform Tenant's Obligations</w:t>
      </w:r>
      <w:r>
        <w:rPr>
          <w:rFonts w:ascii="Arial" w:cs="Arial" w:eastAsia="Arial" w:hAnsi="Arial"/>
          <w:sz w:val="20"/>
          <w:szCs w:val="20"/>
          <w:color w:val="auto"/>
        </w:rPr>
        <w:t>. If Tenant fails to timely perform any of its duties under this Lease, Landlord shall have the right (but not the obligation), after the expiration of any grace period elsewhere under this Lease expressly granted to Tenant for the performance of such duty, to perform such duty on behalf and at the expense of Tenant without further prior notice to Tenant, and all sums expended or expenses incurred by Landlord in performing such duty, along with a three percent (3%) service charge, shall be deemed to be additional rent under this Lease and shall be due and payable within thirty (30) days of invoice by Landlord.</w:t>
      </w:r>
    </w:p>
    <w:p>
      <w:pPr>
        <w:spacing w:after="0" w:line="187" w:lineRule="exact"/>
        <w:rPr>
          <w:sz w:val="20"/>
          <w:szCs w:val="20"/>
          <w:color w:val="auto"/>
        </w:rPr>
      </w:pPr>
    </w:p>
    <w:p>
      <w:pPr>
        <w:jc w:val="both"/>
        <w:ind w:right="80" w:firstLine="648"/>
        <w:spacing w:after="0" w:line="204" w:lineRule="auto"/>
        <w:rPr>
          <w:sz w:val="20"/>
          <w:szCs w:val="20"/>
          <w:color w:val="auto"/>
        </w:rPr>
      </w:pPr>
      <w:r>
        <w:rPr>
          <w:rFonts w:ascii="Arial" w:cs="Arial" w:eastAsia="Arial" w:hAnsi="Arial"/>
          <w:sz w:val="20"/>
          <w:szCs w:val="20"/>
          <w:color w:val="auto"/>
        </w:rPr>
        <w:t xml:space="preserve">28.12. </w:t>
      </w:r>
      <w:r>
        <w:rPr>
          <w:rFonts w:ascii="Arial" w:cs="Arial" w:eastAsia="Arial" w:hAnsi="Arial"/>
          <w:sz w:val="20"/>
          <w:szCs w:val="20"/>
          <w:u w:val="single" w:color="auto"/>
          <w:color w:val="auto"/>
        </w:rPr>
        <w:t>Claims</w:t>
      </w:r>
      <w:r>
        <w:rPr>
          <w:rFonts w:ascii="Arial" w:cs="Arial" w:eastAsia="Arial" w:hAnsi="Arial"/>
          <w:sz w:val="20"/>
          <w:szCs w:val="20"/>
          <w:color w:val="auto"/>
        </w:rPr>
        <w:t>. Tenant waives all claims it may have against Landlord and the Building Manager and their respective agents or employees, for injury or damage to person, property or business sustained by Tenant, its agents, employees or invitees resulting directly or indirectly from the Property, equipment therein, or any part of the Premises becoming out of repair or resulting from any accident within the Property unless due to the negligence or willful conduct of Landlord, Building Manager or their respective agents or employees. This provision shall apply without limitation to damage caused by water, snow, frost, steam, gas, sewer gas or odors, or by the bursting or leaking of pipes or plumbing works or the failure of any appurtenances or equipment. All Tenant’s equipment and other personal property belonging to Tenant or any occupant of the Premises that is in or on any part of the Premises or Property shall be there at the risk of Tenant or of such other person only, and Landlord shall not be liable for any damage thereto.</w:t>
      </w:r>
    </w:p>
    <w:p>
      <w:pPr>
        <w:spacing w:after="0" w:line="185" w:lineRule="exact"/>
        <w:rPr>
          <w:sz w:val="20"/>
          <w:szCs w:val="20"/>
          <w:color w:val="auto"/>
        </w:rPr>
      </w:pPr>
    </w:p>
    <w:p>
      <w:pPr>
        <w:jc w:val="both"/>
        <w:ind w:right="80" w:firstLine="648"/>
        <w:spacing w:after="0" w:line="218" w:lineRule="auto"/>
        <w:rPr>
          <w:sz w:val="20"/>
          <w:szCs w:val="20"/>
          <w:color w:val="auto"/>
        </w:rPr>
      </w:pPr>
      <w:r>
        <w:rPr>
          <w:rFonts w:ascii="Arial" w:cs="Arial" w:eastAsia="Arial" w:hAnsi="Arial"/>
          <w:sz w:val="20"/>
          <w:szCs w:val="20"/>
          <w:color w:val="auto"/>
        </w:rPr>
        <w:t xml:space="preserve">28.13. </w:t>
      </w:r>
      <w:r>
        <w:rPr>
          <w:rFonts w:ascii="Arial" w:cs="Arial" w:eastAsia="Arial" w:hAnsi="Arial"/>
          <w:sz w:val="20"/>
          <w:szCs w:val="20"/>
          <w:u w:val="single" w:color="auto"/>
          <w:color w:val="auto"/>
        </w:rPr>
        <w:t>Remaining Provisions</w:t>
      </w:r>
      <w:r>
        <w:rPr>
          <w:rFonts w:ascii="Arial" w:cs="Arial" w:eastAsia="Arial" w:hAnsi="Arial"/>
          <w:sz w:val="20"/>
          <w:szCs w:val="20"/>
          <w:color w:val="auto"/>
        </w:rPr>
        <w:t>. If any provision of this Lease shall be held to be invalid, void or unenforceable, the remaining provisions hereof shall in no way be affected or impaired and such remaining provisions shall remain in full force and effect.</w:t>
      </w:r>
    </w:p>
    <w:p>
      <w:pPr>
        <w:spacing w:after="0" w:line="197" w:lineRule="exact"/>
        <w:rPr>
          <w:sz w:val="20"/>
          <w:szCs w:val="20"/>
          <w:color w:val="auto"/>
        </w:rPr>
      </w:pPr>
    </w:p>
    <w:p>
      <w:pPr>
        <w:jc w:val="both"/>
        <w:ind w:right="80" w:firstLine="648"/>
        <w:spacing w:after="0" w:line="236" w:lineRule="auto"/>
        <w:rPr>
          <w:sz w:val="20"/>
          <w:szCs w:val="20"/>
          <w:color w:val="auto"/>
        </w:rPr>
      </w:pPr>
      <w:r>
        <w:rPr>
          <w:rFonts w:ascii="Arial" w:cs="Arial" w:eastAsia="Arial" w:hAnsi="Arial"/>
          <w:sz w:val="18"/>
          <w:szCs w:val="18"/>
          <w:color w:val="auto"/>
        </w:rPr>
        <w:t xml:space="preserve">28.14.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It is mutually agreed by and between Landlord and Tenant that the respective parties hereto shall and they hereby do waive trial by jury in any action, proceeding or counterclaim brought by either of the parties hereto against the other on any matters whatsoever arising out of or in any way connected with this Lease, including but not limited to the relationship of Landlord and Tenant, Tenant's occupancy of the Premises, and any emergency statutory or any other remedy.</w:t>
      </w:r>
    </w:p>
    <w:p>
      <w:pPr>
        <w:spacing w:after="0" w:line="185" w:lineRule="exact"/>
        <w:rPr>
          <w:sz w:val="20"/>
          <w:szCs w:val="20"/>
          <w:color w:val="auto"/>
        </w:rPr>
      </w:pPr>
    </w:p>
    <w:p>
      <w:pPr>
        <w:jc w:val="both"/>
        <w:ind w:right="80" w:firstLine="648"/>
        <w:spacing w:after="0" w:line="229" w:lineRule="auto"/>
        <w:rPr>
          <w:sz w:val="20"/>
          <w:szCs w:val="20"/>
          <w:color w:val="auto"/>
        </w:rPr>
      </w:pPr>
      <w:r>
        <w:rPr>
          <w:rFonts w:ascii="Arial" w:cs="Arial" w:eastAsia="Arial" w:hAnsi="Arial"/>
          <w:sz w:val="20"/>
          <w:szCs w:val="20"/>
          <w:color w:val="auto"/>
        </w:rPr>
        <w:t xml:space="preserve">28.15. </w:t>
      </w:r>
      <w:r>
        <w:rPr>
          <w:rFonts w:ascii="Arial" w:cs="Arial" w:eastAsia="Arial" w:hAnsi="Arial"/>
          <w:sz w:val="20"/>
          <w:szCs w:val="20"/>
          <w:u w:val="single" w:color="auto"/>
          <w:color w:val="auto"/>
        </w:rPr>
        <w:t>Fees</w:t>
      </w:r>
      <w:r>
        <w:rPr>
          <w:rFonts w:ascii="Arial" w:cs="Arial" w:eastAsia="Arial" w:hAnsi="Arial"/>
          <w:sz w:val="20"/>
          <w:szCs w:val="20"/>
          <w:color w:val="auto"/>
        </w:rPr>
        <w:t>. In the event of any litigation or arbitration between Tenant and Landlord to enforce any provision of this Lease or any right of either party hereto, the non-prevailing party agrees to pay all</w:t>
      </w:r>
    </w:p>
    <w:p>
      <w:pPr>
        <w:sectPr>
          <w:pgSz w:w="11900" w:h="16838" w:orient="portrait"/>
          <w:cols w:equalWidth="0" w:num="1">
            <w:col w:w="10660"/>
          </w:cols>
          <w:pgMar w:left="740" w:top="1440" w:right="499" w:bottom="1440" w:gutter="0" w:footer="0" w:header="0"/>
        </w:sectPr>
      </w:pPr>
    </w:p>
    <w:bookmarkStart w:id="147" w:name="page148"/>
    <w:bookmarkEnd w:id="147"/>
    <w:p>
      <w:pPr>
        <w:spacing w:after="0" w:line="195"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costs, charges and expenses, including reasonable fees of attorneys, agents and others retained or employed by the prevailing party in proceedings involving the obligations and undertakings of the parties hereunder, and all costs, charges and expenses incurred in any lawsuit, in which one party causes the other party to become involved or concerned, that are awarded by a court of law. Landlord and Tenant agree that attorneys’ fees incurred with respect to defaults and bankruptcy are actual pecuniary losses within the meaning of Section 365(b)(1)(B) of the Bankruptcy Code or any successor statute.</w:t>
      </w:r>
    </w:p>
    <w:p>
      <w:pPr>
        <w:spacing w:after="0" w:line="18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 xml:space="preserve">28.16. </w:t>
      </w:r>
      <w:r>
        <w:rPr>
          <w:rFonts w:ascii="Arial" w:cs="Arial" w:eastAsia="Arial" w:hAnsi="Arial"/>
          <w:sz w:val="18"/>
          <w:szCs w:val="18"/>
          <w:u w:val="single" w:color="auto"/>
          <w:color w:val="auto"/>
        </w:rPr>
        <w:t>Lease Recording; Confidentiality</w:t>
      </w:r>
      <w:r>
        <w:rPr>
          <w:rFonts w:ascii="Arial" w:cs="Arial" w:eastAsia="Arial" w:hAnsi="Arial"/>
          <w:sz w:val="18"/>
          <w:szCs w:val="18"/>
          <w:color w:val="auto"/>
        </w:rPr>
        <w:t>. Nothing contained in this Lease shall empower Tenant to do any act which can, shall or may encumber the interest or title of Landlord in and to the Office Unit or the Property upon which the Office Unit is situated. Landlord may not record this Lease or any memorandum of this Lease. Tenant may not record any instrument affecting the Office Unit or the Property upon which the Office Unit is situated in any public office without Landlord’s prior written consent. Landlord shall not disclose the terms of this Lease or make any public statements regarding this Lease or Tenant.</w:t>
      </w:r>
    </w:p>
    <w:p>
      <w:pPr>
        <w:spacing w:after="0" w:line="197"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28.17 </w:t>
      </w:r>
      <w:r>
        <w:rPr>
          <w:rFonts w:ascii="Arial" w:cs="Arial" w:eastAsia="Arial" w:hAnsi="Arial"/>
          <w:sz w:val="20"/>
          <w:szCs w:val="20"/>
          <w:u w:val="single" w:color="auto"/>
          <w:color w:val="auto"/>
        </w:rPr>
        <w:t>Counterparts; Electronic Execution and Delivery</w:t>
      </w:r>
      <w:r>
        <w:rPr>
          <w:rFonts w:ascii="Arial" w:cs="Arial" w:eastAsia="Arial" w:hAnsi="Arial"/>
          <w:sz w:val="20"/>
          <w:szCs w:val="20"/>
          <w:color w:val="auto"/>
        </w:rPr>
        <w:t>. This Lease may be executed in any number of counterparts, each of which shall be deemed to be an original and all of which, when taken together, shall constitute one and the same agreement. The parties may execute this Lease electronically. Further, electronic copies of the executed copies of this Lease may be delivered to the parties by facsimile transmission or email (including as an attachment in .PDF format) and, upon receipt, shall be deemed originals and binding upon the parties hereto.</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28.18</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each provision of this Lease.</w:t>
      </w:r>
    </w:p>
    <w:p>
      <w:pPr>
        <w:spacing w:after="0" w:line="277" w:lineRule="exact"/>
        <w:rPr>
          <w:sz w:val="20"/>
          <w:szCs w:val="20"/>
          <w:color w:val="auto"/>
        </w:rPr>
      </w:pPr>
    </w:p>
    <w:p>
      <w:pPr>
        <w:ind w:left="640" w:hanging="639"/>
        <w:spacing w:after="0"/>
        <w:tabs>
          <w:tab w:leader="none" w:pos="64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EARLY TERMINATION OPTION.</w:t>
      </w:r>
    </w:p>
    <w:p>
      <w:pPr>
        <w:spacing w:after="0" w:line="208"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29.1 So long as no Default of Tenant has occurred and is continuing at the time Tenant gives Landlord notice exercising the Early Termination Option herein granted or thereafter until the Early Termination Date (unless Landlord in its sole discretion at any time shall elect to waive such condition), Tenant shall have a one-time option (the “</w:t>
      </w:r>
      <w:r>
        <w:rPr>
          <w:rFonts w:ascii="Arial" w:cs="Arial" w:eastAsia="Arial" w:hAnsi="Arial"/>
          <w:sz w:val="20"/>
          <w:szCs w:val="20"/>
          <w:u w:val="single" w:color="auto"/>
          <w:color w:val="auto"/>
        </w:rPr>
        <w:t>Early Termination Option</w:t>
      </w:r>
      <w:r>
        <w:rPr>
          <w:rFonts w:ascii="Arial" w:cs="Arial" w:eastAsia="Arial" w:hAnsi="Arial"/>
          <w:sz w:val="20"/>
          <w:szCs w:val="20"/>
          <w:color w:val="auto"/>
        </w:rPr>
        <w:t>”) to terminate this Lease with respect to the entire Premises with such termination to be effective as April 30, 2030 (as applicable, the “</w:t>
      </w:r>
      <w:r>
        <w:rPr>
          <w:rFonts w:ascii="Arial" w:cs="Arial" w:eastAsia="Arial" w:hAnsi="Arial"/>
          <w:sz w:val="20"/>
          <w:szCs w:val="20"/>
          <w:u w:val="single" w:color="auto"/>
          <w:color w:val="auto"/>
        </w:rPr>
        <w:t>Early Termination Date</w:t>
      </w:r>
      <w:r>
        <w:rPr>
          <w:rFonts w:ascii="Arial" w:cs="Arial" w:eastAsia="Arial" w:hAnsi="Arial"/>
          <w:sz w:val="20"/>
          <w:szCs w:val="20"/>
          <w:color w:val="auto"/>
        </w:rPr>
        <w:t>”) by giving Landlord written notice of Tenant's election to exercise the Early Termination Option (the “</w:t>
      </w:r>
      <w:r>
        <w:rPr>
          <w:rFonts w:ascii="Arial" w:cs="Arial" w:eastAsia="Arial" w:hAnsi="Arial"/>
          <w:sz w:val="20"/>
          <w:szCs w:val="20"/>
          <w:u w:val="single" w:color="auto"/>
          <w:color w:val="auto"/>
        </w:rPr>
        <w:t>Early Termination Notice</w:t>
      </w:r>
      <w:r>
        <w:rPr>
          <w:rFonts w:ascii="Arial" w:cs="Arial" w:eastAsia="Arial" w:hAnsi="Arial"/>
          <w:sz w:val="20"/>
          <w:szCs w:val="20"/>
          <w:color w:val="auto"/>
        </w:rPr>
        <w:t xml:space="preserve">”) not later than April 30, 2029, </w:t>
      </w:r>
      <w:r>
        <w:rPr>
          <w:rFonts w:ascii="Arial" w:cs="Arial" w:eastAsia="Arial" w:hAnsi="Arial"/>
          <w:sz w:val="20"/>
          <w:szCs w:val="20"/>
          <w:i w:val="1"/>
          <w:iCs w:val="1"/>
          <w:color w:val="auto"/>
        </w:rPr>
        <w:t>time being of the essence</w:t>
      </w:r>
      <w:r>
        <w:rPr>
          <w:rFonts w:ascii="Arial" w:cs="Arial" w:eastAsia="Arial" w:hAnsi="Arial"/>
          <w:sz w:val="20"/>
          <w:szCs w:val="20"/>
          <w:color w:val="auto"/>
        </w:rPr>
        <w:t xml:space="preserve"> with respect to the giving of such notice. If Tenant does not timely deliver the Early Termination Notice prior to April 30, 2029, the Early Termination Option shall expire, and Tenant shall have no further right to terminate the Lease.</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29.2 Tenant shall pay to Landlord concurrent with the delivery of the Early Termination Notice, a Termination Fee equal to $2,891,612.67, which amount may be increased in accordance with the terms and conditions herein (the “</w:t>
      </w: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23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29.3 Time shall be of the essence with regard to Tenant’s responsibilities under this Early Termination Option, and in the event that Tenant fails to timely deliver the Early Termination Notice or to timely pay the Termination Fee, such failure shall be deemed a waiver by Tenant of its right to terminate the Lease.</w:t>
      </w:r>
    </w:p>
    <w:p>
      <w:pPr>
        <w:spacing w:after="0" w:line="183"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29.4 If Tenant timely and properly exercises the Early Termination Option, Tenant shall vacate the Premises and deliver possession thereof to Landlord in the condition required by the terms of the Lease on or before the Early Termination Date and neither Landlord nor Tenant shall have further obligations under the Lease with respect to the Premises except for those accruing prior to the Early Termination Date and those which, pursuant to the terms of the Lease, survive the expiration or early termination of the Lease.</w:t>
      </w:r>
    </w:p>
    <w:p>
      <w:pPr>
        <w:sectPr>
          <w:pgSz w:w="11900" w:h="16838" w:orient="portrait"/>
          <w:cols w:equalWidth="0" w:num="1">
            <w:col w:w="10580"/>
          </w:cols>
          <w:pgMar w:left="740" w:top="1440" w:right="579" w:bottom="1440" w:gutter="0" w:footer="0" w:header="0"/>
        </w:sectPr>
      </w:pPr>
    </w:p>
    <w:bookmarkStart w:id="148" w:name="page149"/>
    <w:bookmarkEnd w:id="148"/>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the extent that Tenant does not timely vacate the Premises, the Tenant will be deemed to be a holdover Tenant and subject to Paragraph 14 of the Lease. Any purported attempt to terminate the Lease with respect to the Premises, or any portion thereof, that is not in conformity with the terms and conditions as set forth in this Paragraph 29 shall be deemed to be null, void and of no effect.</w:t>
      </w:r>
    </w:p>
    <w:p>
      <w:pPr>
        <w:spacing w:after="0" w:line="173" w:lineRule="exact"/>
        <w:rPr>
          <w:sz w:val="20"/>
          <w:szCs w:val="20"/>
          <w:color w:val="auto"/>
        </w:rPr>
      </w:pPr>
    </w:p>
    <w:p>
      <w:pPr>
        <w:ind w:left="640" w:hanging="639"/>
        <w:spacing w:after="0"/>
        <w:tabs>
          <w:tab w:leader="none" w:pos="640" w:val="left"/>
        </w:tabs>
        <w:numPr>
          <w:ilvl w:val="0"/>
          <w:numId w:val="107"/>
        </w:numPr>
        <w:rPr>
          <w:rFonts w:ascii="Arial" w:cs="Arial" w:eastAsia="Arial" w:hAnsi="Arial"/>
          <w:sz w:val="20"/>
          <w:szCs w:val="20"/>
          <w:color w:val="auto"/>
        </w:rPr>
      </w:pPr>
      <w:r>
        <w:rPr>
          <w:rFonts w:ascii="Arial" w:cs="Arial" w:eastAsia="Arial" w:hAnsi="Arial"/>
          <w:sz w:val="20"/>
          <w:szCs w:val="20"/>
          <w:b w:val="1"/>
          <w:bCs w:val="1"/>
          <w:color w:val="auto"/>
        </w:rPr>
        <w:t>OPTIONS TO EXTEND</w:t>
      </w:r>
    </w:p>
    <w:p>
      <w:pPr>
        <w:spacing w:after="0" w:line="208"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30.1 Subject to the terms of this Section 30, Tenant shall have two (2) option(s) to extend the term of this Lease for an additional period of five (5) years (each an “Option Period” and collectively, the “Option Periods”), with each such Option Period to begin upon the expiration of the Term (as the same may have been extended) on the same terms and conditions set forth herein, except that (i) no concessions, abatements or allowances granted with respect to the Term hereof shall be applicable to the Option Period,</w:t>
      </w:r>
    </w:p>
    <w:p>
      <w:pPr>
        <w:spacing w:after="0" w:line="3" w:lineRule="exact"/>
        <w:rPr>
          <w:sz w:val="20"/>
          <w:szCs w:val="20"/>
          <w:color w:val="auto"/>
        </w:rPr>
      </w:pPr>
    </w:p>
    <w:p>
      <w:pPr>
        <w:ind w:firstLine="2"/>
        <w:spacing w:after="0" w:line="220" w:lineRule="auto"/>
        <w:tabs>
          <w:tab w:leader="none" w:pos="31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Fixed Basic Rent shall be adjusted as set forth in this Section 30 and (iii) Option Period, once exercised, cannot be exercised again.</w:t>
      </w:r>
    </w:p>
    <w:p>
      <w:pPr>
        <w:spacing w:after="0" w:line="19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30.2 Tenant shall provide Landlord with written notice of its desire to extend the Term for an Option Period (the “Extension Notice”) not less than 12 months prior to the scheduled expiration of the Term (as the same may have been previously extended by an Option Period) (the “Renewal Deadline”). Failure by Tenant to deliver to Landlord the Extension Notice on or before the Renewal Deadline shall be deemed a conclusive waiver of such option to extend the Term of this Lease. If Tenant shall extend the Term hereof pursuant to the provisions of this Paragraph 30, such notice shall be irrevocable and the extension shall (subject to satisfaction of the Renewal Conditions, as defined in Paragraph 30.6 below, unless waived by Landlord) be automatically effected without the execution of any additional documents, but the parties shall, at either of Landlord’s or Tenant’s request, execute an agreement confirming the total Fixed Basic Rent for the Renewal Term. Notwithstanding anything to the contrary contained in this Paragraph 30, the failure of the parties to execute any amendment with respect to Tenant’s exercise of the Renewal Option shall not be deemed to rescind Tenant’s notice of its exercise of the Renewal Option and Tenant shall remain bound by its election under this Paragraph 30.</w:t>
      </w:r>
    </w:p>
    <w:p>
      <w:pPr>
        <w:spacing w:after="0" w:line="18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30.3 If Tenant timely delivers an Extension Notice, Landlord shall deliver to Tenant, within 30 days after receipt of the Extension Notice, notice (the “Rent Notice”) of Landlord’s determination of the Fixed Basic Rent for the first year of the applicable Option Period (the “Option Period Fixed Basic Rent”), which shall be the then prevailing Fair Market Fixed Basic Rent (defined below) for the Premises. If Tenant does not agree with Landlord’s determination, then Landlord and Tenant shall commence negotiations to attempt to agree on each party’s determination of the Option Period Fixed Basic Rent within 30 days after Landlord’s delivery of its Rent Notice to Tenant. If the parties cannot agree upon the Option Period Fixed Basic Rent by the date that is thirty</w:t>
      </w:r>
    </w:p>
    <w:p>
      <w:pPr>
        <w:spacing w:after="0" w:line="1" w:lineRule="exact"/>
        <w:rPr>
          <w:sz w:val="20"/>
          <w:szCs w:val="20"/>
          <w:color w:val="auto"/>
        </w:rPr>
      </w:pPr>
    </w:p>
    <w:p>
      <w:pPr>
        <w:jc w:val="both"/>
        <w:ind w:firstLine="2"/>
        <w:spacing w:after="0" w:line="209" w:lineRule="auto"/>
        <w:tabs>
          <w:tab w:leader="none" w:pos="4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days following delivery of the Rent Notice, then either party, prior to the date which is sixty (60) days before the commencement of the Option Period, may deliver written notice to the other to request that the Option Period Fixed Basic Rent be determined by appraisal. If neither party timely delivers such request, the Fixed Basic Rent as set forth in the Landlord Rent Notice shall be the applicable rental rate for the Option Period and not subject to further adjustment.</w:t>
      </w:r>
    </w:p>
    <w:p>
      <w:pPr>
        <w:spacing w:after="0" w:line="182" w:lineRule="exact"/>
        <w:rPr>
          <w:sz w:val="20"/>
          <w:szCs w:val="20"/>
          <w:color w:val="auto"/>
        </w:rPr>
      </w:pPr>
    </w:p>
    <w:p>
      <w:pPr>
        <w:jc w:val="both"/>
        <w:spacing w:after="0" w:line="216" w:lineRule="auto"/>
        <w:rPr>
          <w:sz w:val="20"/>
          <w:szCs w:val="20"/>
          <w:color w:val="auto"/>
        </w:rPr>
      </w:pPr>
      <w:r>
        <w:rPr>
          <w:rFonts w:ascii="Arial" w:cs="Arial" w:eastAsia="Arial" w:hAnsi="Arial"/>
          <w:sz w:val="19"/>
          <w:szCs w:val="19"/>
          <w:color w:val="auto"/>
        </w:rPr>
        <w:t>If so elected by either party, the determination of the Option Period Fixed Basic Rent shall be submitted to appraisal as follows: Within fifteen (15) days after one party delivers written notice to the other electing for the Option Period Fixed Basic Rent to be determined by appraisal, Landlord and Tenant shall each give notice to the other specifying the name and address of the appraiser each has chosen. The two appraisers so chosen shall meet within ten (10) days after the second appraiser is appointed and if, within twenty (20) days after the second appraiser is appointed, the two appraisers shall not agree upon a determination of the Option Period Fixed Basic Rent in accordance with the following provisions of this Section 30 they shall together appoint a third appraiser. If only one appraiser shall be chosen whose name and address shall have been given to the other party within such fifteen (15) day period and who shall have the qualifications</w:t>
      </w:r>
    </w:p>
    <w:p>
      <w:pPr>
        <w:sectPr>
          <w:pgSz w:w="11900" w:h="16838" w:orient="portrait"/>
          <w:cols w:equalWidth="0" w:num="1">
            <w:col w:w="10580"/>
          </w:cols>
          <w:pgMar w:left="740" w:top="1440" w:right="579" w:bottom="1440" w:gutter="0" w:footer="0" w:header="0"/>
        </w:sectPr>
      </w:pPr>
    </w:p>
    <w:bookmarkStart w:id="149" w:name="page150"/>
    <w:bookmarkEnd w:id="149"/>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hereinafter set forth, that sole appraiser shall render the decision which would otherwise have been made as hereinabove provided.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If said two appraisers cannot agree upon the appointment of a third appraiser within ten (10) days after the expiration of such twenty</w:t>
      </w:r>
    </w:p>
    <w:p>
      <w:pPr>
        <w:jc w:val="both"/>
        <w:ind w:firstLine="2"/>
        <w:spacing w:after="0" w:line="223" w:lineRule="auto"/>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day period, then either party, on behalf of both and on notice to the other, may request such appointment by the then President of the Real Estate Board (or any similar or successor organization) for the greater Pittsburgh area in accordance with its then prevailing rules. If said President shall fail to appoint said third appraiser within ten (10) days after such request is made, then either party, on behalf of both and on notice to the other, may request such appointment by the American Arbitration Association (or any successor organization) in accordance with its then prevailing rules. In the event that all three appraisers cannot agree upon such Option Period Fixed Basic Rent within ten (10) days after the third appraiser shall have been selected, then each appraiser shall submit his or her designation of such Option Period Fixed Basic Rent to the other two appraisers in writing; and Option Period Fixed Basic Rent shall be determined by calculating the average of the two numerically closest (or, if the values are equidistant, all three) values so determined. Both appraisers or a majority of them (or the sole appraiser, if applicable) shall determine the Option Period Fixed Basic Rent of the Premises for the Option Period and render a decision and award as to their determination to both Landlord and Tenant (a) within twenty (20) days after the appointment of the second appraiser, (b) within twenty (20) days after the appointment of the third appraiser or (c) within fifteen (15) days after the appointment of the sole appraiser, as the case may be.</w:t>
      </w:r>
    </w:p>
    <w:p>
      <w:pPr>
        <w:spacing w:after="0" w:line="187"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30.4 If the dispute between the parties as to the Option Period Fixed Basic Rent has not been resolved before the commencement of Option Period based upon determination of such Option Period Fixed Basic Rent, then Tenant shall pay the total Fixed Basic Rent under the Lease based upon the Fixed Basic Rent payable as of the expiration of the Term as escalated by 2% per annum until either the agreement of the parties as to the Option Period Fixed Basic Rent, or the decision of the appraiser(s), as the case may be, at which time Tenant shall pay any underpayment of the Fixed Basic Rent to Landlord, or Landlord shall refund any overpayment of the Fixed Basic Rent to Tenant.</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30.5 On the anniversary of the first day of the applicable Option Period, Fixed Basic Rent shall be increased to an amount equal to the product of (a) the Fixed Basic Rent amount in effect immediately prior to that increase, multiplied by (b) 1.02.</w:t>
      </w:r>
    </w:p>
    <w:p>
      <w:pPr>
        <w:spacing w:after="0" w:line="18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30.5 “Fair Market Fixed Basic Rent” shall mean the base rent (exclusive of Additional Rent which shall be paid as provided elsewhere in this Lease) at which a willing landlord would lease comparable premises as the Premises in a comparable building as the Building (“comparable” being determined on the basis of age, square footage, size and existing tenant improvements, furniture, fixtures and equipment, all taken “as is where is” without imposing any artificial schedule of depreciation or artificial schedule of amortization of useful life) to a willing tenant of comparable creditworthiness as the creditworthiness of Tenant as determined on the last day of the Term immediately prior to the commencement of the applicable Option Period and for a lease term commensurate with the Option Period (with effect given to any additional renewal periods set forth in the Lease) commencing on the last day of the then-current Term and that is similar in all material economic and non-economic respects to this Lease. Fair Market Fixed Basic Rent shall not be reduced by reason of any costs or expenses saved by Landlord by reason of Landlord’s not having to find a new tenant for the Premises (including brokerage commissions, costs of improvements necessary to prepare the space for such tenant’s occupancy, rent concession, or lost rental income during any vacancy period) nor shall it be increased by Tenant’s cost of moving or the amount of the unamortized portion of Tenant’s alterations. Notwithstanding anything to the contrary herein, the Fair Market Fixed Basic Rent shall not be less than the Fixed Basic Rent for the last month of the Term prior to the commencement of the Option Period as escalated by 2%.</w:t>
      </w:r>
    </w:p>
    <w:p>
      <w:pPr>
        <w:sectPr>
          <w:pgSz w:w="11900" w:h="16838" w:orient="portrait"/>
          <w:cols w:equalWidth="0" w:num="1">
            <w:col w:w="10580"/>
          </w:cols>
          <w:pgMar w:left="740" w:top="1440" w:right="579" w:bottom="1440" w:gutter="0" w:footer="0" w:header="0"/>
        </w:sectPr>
      </w:pPr>
    </w:p>
    <w:bookmarkStart w:id="150" w:name="page151"/>
    <w:bookmarkEnd w:id="150"/>
    <w:p>
      <w:pPr>
        <w:spacing w:after="0" w:line="195"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30.6 Renewal Conditions. The “</w:t>
      </w:r>
      <w:r>
        <w:rPr>
          <w:rFonts w:ascii="Arial" w:cs="Arial" w:eastAsia="Arial" w:hAnsi="Arial"/>
          <w:sz w:val="20"/>
          <w:szCs w:val="20"/>
          <w:u w:val="single" w:color="auto"/>
          <w:color w:val="auto"/>
        </w:rPr>
        <w:t>Renewal Conditions</w:t>
      </w:r>
      <w:r>
        <w:rPr>
          <w:rFonts w:ascii="Arial" w:cs="Arial" w:eastAsia="Arial" w:hAnsi="Arial"/>
          <w:sz w:val="20"/>
          <w:szCs w:val="20"/>
          <w:color w:val="auto"/>
        </w:rPr>
        <w:t>” include that, as of the date of the Extension Notice, (i) there shall not exist any Default of Tenant under the Lease which remains uncured beyond any applicable cure period, (ii) the named Tenant, as then set forth in the Lease (including, without limitation, all permitted assigns), shall actually occupy the entire Premises, and (iii) there shall be no allowance or inducements payable by Landlord during the Renewal Term. Landlord, at its sole option, may waive any Renewal Conditions.</w:t>
      </w:r>
    </w:p>
    <w:p>
      <w:pPr>
        <w:spacing w:after="0" w:line="176" w:lineRule="exact"/>
        <w:rPr>
          <w:sz w:val="20"/>
          <w:szCs w:val="20"/>
          <w:color w:val="auto"/>
        </w:rPr>
      </w:pPr>
    </w:p>
    <w:p>
      <w:pPr>
        <w:ind w:left="640" w:hanging="639"/>
        <w:spacing w:after="0"/>
        <w:tabs>
          <w:tab w:leader="none" w:pos="640" w:val="left"/>
        </w:tabs>
        <w:numPr>
          <w:ilvl w:val="0"/>
          <w:numId w:val="111"/>
        </w:numPr>
        <w:rPr>
          <w:rFonts w:ascii="Arial" w:cs="Arial" w:eastAsia="Arial" w:hAnsi="Arial"/>
          <w:sz w:val="20"/>
          <w:szCs w:val="20"/>
          <w:color w:val="auto"/>
        </w:rPr>
      </w:pPr>
      <w:r>
        <w:rPr>
          <w:rFonts w:ascii="Arial" w:cs="Arial" w:eastAsia="Arial" w:hAnsi="Arial"/>
          <w:sz w:val="20"/>
          <w:szCs w:val="20"/>
          <w:b w:val="1"/>
          <w:bCs w:val="1"/>
          <w:color w:val="auto"/>
        </w:rPr>
        <w:t>GENERATOR</w:t>
      </w:r>
    </w:p>
    <w:p>
      <w:pPr>
        <w:spacing w:after="0" w:line="22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31.1 During the Term Tenant shall have the right, at Tenant’s sole option, cost, and expense, to install one (1) emergency backup generator that is owned by Tenant in a location mutually agreed to by Landlord and Tenant on the Property, subject to Landlord’s approval of Tenant’s plans and specifications for such installation, including, size, applicable required landscaping, and sound mitigation requirements and subject to the terms and conditions set forth in Exhibit J. Landlord shall not unreasonably withhold Landlord's consent subject to Tenant (a) obtaining Landlord's prior approval of final plans and specifications; (b) obtaining Landlord's prior approval of all contractors and subcontractors and their respective contracts; (c) obtaining all permits, approvals, and certificates required by any governmental or quasi-governmental bodies and, upon completion, certificates of final approval and shall deliver promptly duplicates of all such permits, approvals and certificates to Landlord; and (d) prior to occupancy by Tenant and/or commencement of any alterations or improvements by contractors or subcontractors, providing proof of coverage by any contractor by a certificate and/or copy of the policy complying with all insurance requirements set forth herein, as the same may be changed by written notice from Landlord to Tenant from time to time during the Term. Landlord shall either approve or make reasonable detailed comments on any plans and specifications within five (5) business days after delivery of such plans and specifications to Landlord.</w:t>
      </w:r>
    </w:p>
    <w:p>
      <w:pPr>
        <w:spacing w:after="0" w:line="176" w:lineRule="exact"/>
        <w:rPr>
          <w:sz w:val="20"/>
          <w:szCs w:val="20"/>
          <w:color w:val="auto"/>
        </w:rPr>
      </w:pPr>
    </w:p>
    <w:p>
      <w:pPr>
        <w:jc w:val="both"/>
        <w:ind w:firstLine="2"/>
        <w:spacing w:after="0" w:line="224" w:lineRule="auto"/>
        <w:tabs>
          <w:tab w:leader="none" w:pos="88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EXPANSION</w:t>
      </w:r>
      <w:r>
        <w:rPr>
          <w:rFonts w:ascii="Arial" w:cs="Arial" w:eastAsia="Arial" w:hAnsi="Arial"/>
          <w:sz w:val="18"/>
          <w:szCs w:val="18"/>
          <w:color w:val="auto"/>
        </w:rPr>
        <w:t>. During the initial thirty-six (36) months of the Term, Tenant shall have the right to request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space on the second and fourth floor within the Office Unit from Landlord to the extent space is available. Tenant shall be deemed to agree to lease any such expansion space on the same terms and conditions as this Lease, except that (i) the definition of Premises shall be amended to include the expansion space, (iii) the Fixed Basic Rent payable for the expansion space shall be equal to the per square foot amount of Fixed Basic Rent then payable for the Premises, which shall be subject to adjustment pursuant to Section 1.N, (iv) Tenant’s Proportionate Share of Operating Expenses and Increases in Real Estate Taxes shall be proportionately increased based upon the addition of the expansion space to the Premises, (v) Tenant shall accept the expansion space in its “as is” condition, (vi) Landlord shall provide the same per square foot Tl Allowance as was provided for the Premises as a tenant improvement allowance for the expansion space but ratably reduced based on the length of the remaining term after the expansion space is delivered to Tenant for the construction of tenant improvements within the expansion space as approved by Landlord, (vii) Landlord shall provide the same number of parking spaces per square foot of the expansions space that was provided for the Premises, (viii) the term of the Lease shall commence with respect to the expansion space and Tenant shall commence paying Fixed Basic Rent and Additional Rent on the date that is not greater than six (6) months after the delivery of Tenant’s request to expand, and (ix) the Termination Fee (as defined in Section 29) shall be increased by an amount equal to 50% of the Fixed Basic Rent payable for such expansion space for the ninth, tenth and eleventh years of the Term.</w:t>
      </w:r>
    </w:p>
    <w:p>
      <w:pPr>
        <w:spacing w:after="0" w:line="315"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[REMAINDER OF PAGE LEFT INTENTIONALLY BLANK] [SIGNATURE PAGE</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FOLLOWS]</w:t>
      </w:r>
    </w:p>
    <w:p>
      <w:pPr>
        <w:sectPr>
          <w:pgSz w:w="11900" w:h="16838" w:orient="portrait"/>
          <w:cols w:equalWidth="0" w:num="1">
            <w:col w:w="10580"/>
          </w:cols>
          <w:pgMar w:left="740" w:top="1440" w:right="579" w:bottom="1440" w:gutter="0" w:footer="0" w:header="0"/>
        </w:sectPr>
      </w:pPr>
    </w:p>
    <w:bookmarkStart w:id="151" w:name="page152"/>
    <w:bookmarkEnd w:id="151"/>
    <w:p>
      <w:pPr>
        <w:spacing w:after="0" w:line="3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have executed this Lease on the day and year set forth above.</w:t>
      </w:r>
    </w:p>
    <w:p>
      <w:pPr>
        <w:spacing w:after="0" w:line="237"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color w:val="auto"/>
        </w:rPr>
        <w:t>LANDLORD:</w:t>
        <w:tab/>
        <w:t>WITNESS:</w:t>
      </w:r>
    </w:p>
    <w:p>
      <w:pPr>
        <w:spacing w:after="0"/>
        <w:rPr>
          <w:sz w:val="20"/>
          <w:szCs w:val="20"/>
          <w:color w:val="auto"/>
        </w:rPr>
      </w:pPr>
      <w:r>
        <w:rPr>
          <w:rFonts w:ascii="Arial" w:cs="Arial" w:eastAsia="Arial" w:hAnsi="Arial"/>
          <w:sz w:val="20"/>
          <w:szCs w:val="20"/>
          <w:color w:val="auto"/>
        </w:rPr>
        <w:t>5704 PENN OFFICE,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137160</wp:posOffset>
            </wp:positionV>
            <wp:extent cx="5760720" cy="23660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5760720" cy="2366010"/>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bookmarkStart w:id="152" w:name="page153"/>
    <w:bookmarkEnd w:id="152"/>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A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557530</wp:posOffset>
            </wp:positionV>
            <wp:extent cx="5126355" cy="2905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5126355" cy="29057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EXHIBIT B</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TAX AND OPERATING EXPENSES RIDER</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w:t>
      </w:r>
      <w:r>
        <w:rPr>
          <w:rFonts w:ascii="Arial" w:cs="Arial" w:eastAsia="Arial" w:hAnsi="Arial"/>
          <w:sz w:val="20"/>
          <w:szCs w:val="20"/>
          <w:u w:val="single" w:color="auto"/>
          <w:color w:val="auto"/>
        </w:rPr>
        <w:t>Operating Expenses Escalation.</w:t>
      </w:r>
      <w:r>
        <w:rPr>
          <w:rFonts w:ascii="Arial" w:cs="Arial" w:eastAsia="Arial" w:hAnsi="Arial"/>
          <w:sz w:val="20"/>
          <w:szCs w:val="20"/>
          <w:color w:val="auto"/>
        </w:rPr>
        <w:t xml:space="preserve"> “Operating Expenses” means all costs, expenses, and disbursements of every kind, nature or description (including, but not limited to, a fee for management of the Property) and shall include all costs, expenses and fees incurred by Landlord in connection with or attributable to the operation and management of the Property, including, but not limited to the following items:</w:t>
      </w:r>
    </w:p>
    <w:p>
      <w:pPr>
        <w:spacing w:after="0" w:line="196" w:lineRule="exact"/>
        <w:rPr>
          <w:sz w:val="20"/>
          <w:szCs w:val="20"/>
          <w:color w:val="auto"/>
        </w:rPr>
      </w:pPr>
    </w:p>
    <w:p>
      <w:pPr>
        <w:ind w:left="640" w:firstLine="1306"/>
        <w:spacing w:after="0" w:line="229" w:lineRule="auto"/>
        <w:tabs>
          <w:tab w:leader="none" w:pos="216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all costs, expenses and fees associated with or attributable to the management, operation, repair, maintenance, improvement, alteration and replacement of the Property, or any part thereof;</w:t>
      </w:r>
    </w:p>
    <w:p>
      <w:pPr>
        <w:spacing w:after="0" w:line="182" w:lineRule="exact"/>
        <w:rPr>
          <w:rFonts w:ascii="Arial" w:cs="Arial" w:eastAsia="Arial" w:hAnsi="Arial"/>
          <w:sz w:val="20"/>
          <w:szCs w:val="20"/>
          <w:color w:val="auto"/>
        </w:rPr>
      </w:pPr>
    </w:p>
    <w:p>
      <w:pPr>
        <w:jc w:val="both"/>
        <w:ind w:left="640" w:firstLine="1306"/>
        <w:spacing w:after="0" w:line="224" w:lineRule="auto"/>
        <w:tabs>
          <w:tab w:leader="none" w:pos="281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cost of repairs and general maintenance of the Property, including, but not limited to, trash disposal, janitorial services, pest control, landscaping maintenance, lawn mowing, gardening, irrigation of landscaped areas, line painting, uniforms, pavement maintenance, sweeping, and sanitary control, and the costs of exterior painting of the Property and interior painting of the Common Areas, including the agreements relating thereto;</w:t>
      </w:r>
    </w:p>
    <w:p>
      <w:pPr>
        <w:spacing w:after="0" w:line="196" w:lineRule="exact"/>
        <w:rPr>
          <w:rFonts w:ascii="Arial" w:cs="Arial" w:eastAsia="Arial" w:hAnsi="Arial"/>
          <w:sz w:val="19"/>
          <w:szCs w:val="19"/>
          <w:color w:val="auto"/>
        </w:rPr>
      </w:pPr>
    </w:p>
    <w:p>
      <w:pPr>
        <w:ind w:left="640" w:firstLine="1306"/>
        <w:spacing w:after="0" w:line="229" w:lineRule="auto"/>
        <w:tabs>
          <w:tab w:leader="none" w:pos="281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cost to maintain, repair, replace, and operate the fire protection systems, fire extinguishers, fire hoses, security systems, remote guarding systems, and protective services for the Office Unit;</w:t>
      </w:r>
    </w:p>
    <w:p>
      <w:pPr>
        <w:spacing w:after="0" w:line="168" w:lineRule="exact"/>
        <w:rPr>
          <w:rFonts w:ascii="Arial" w:cs="Arial" w:eastAsia="Arial" w:hAnsi="Arial"/>
          <w:sz w:val="20"/>
          <w:szCs w:val="20"/>
          <w:color w:val="auto"/>
        </w:rPr>
      </w:pPr>
    </w:p>
    <w:p>
      <w:pPr>
        <w:ind w:left="2820" w:hanging="874"/>
        <w:spacing w:after="0"/>
        <w:tabs>
          <w:tab w:leader="none" w:pos="28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costs for the installation and maintenance of Common Areas and exterior lighting in the</w:t>
      </w:r>
    </w:p>
    <w:p>
      <w:pPr>
        <w:ind w:left="640"/>
        <w:spacing w:after="0"/>
        <w:rPr>
          <w:rFonts w:ascii="Arial" w:cs="Arial" w:eastAsia="Arial" w:hAnsi="Arial"/>
          <w:sz w:val="19"/>
          <w:szCs w:val="19"/>
          <w:color w:val="auto"/>
        </w:rPr>
      </w:pPr>
      <w:r>
        <w:rPr>
          <w:rFonts w:ascii="Arial" w:cs="Arial" w:eastAsia="Arial" w:hAnsi="Arial"/>
          <w:sz w:val="20"/>
          <w:szCs w:val="20"/>
          <w:color w:val="auto"/>
        </w:rPr>
        <w:t>Property;</w:t>
      </w:r>
    </w:p>
    <w:p>
      <w:pPr>
        <w:spacing w:after="0" w:line="200" w:lineRule="exact"/>
        <w:rPr>
          <w:sz w:val="20"/>
          <w:szCs w:val="20"/>
          <w:color w:val="auto"/>
        </w:rPr>
      </w:pPr>
    </w:p>
    <w:p>
      <w:pPr>
        <w:ind w:left="640" w:firstLine="1296"/>
        <w:spacing w:after="0" w:line="269" w:lineRule="auto"/>
        <w:rPr>
          <w:sz w:val="20"/>
          <w:szCs w:val="20"/>
          <w:color w:val="auto"/>
        </w:rPr>
      </w:pPr>
      <w:r>
        <w:rPr>
          <w:rFonts w:ascii="Arial" w:cs="Arial" w:eastAsia="Arial" w:hAnsi="Arial"/>
          <w:sz w:val="18"/>
          <w:szCs w:val="18"/>
          <w:color w:val="auto"/>
        </w:rPr>
        <w:t>(v)the cost of all insurance purchased by Landlord, which Landlord reasonably deems appropriate, including any rent loss or liability insurance, and the cost of deductibles paid on claims made by Landlord for the Property;</w:t>
      </w:r>
    </w:p>
    <w:p>
      <w:pPr>
        <w:spacing w:after="0" w:line="171" w:lineRule="exact"/>
        <w:rPr>
          <w:sz w:val="20"/>
          <w:szCs w:val="20"/>
          <w:color w:val="auto"/>
        </w:rPr>
      </w:pPr>
    </w:p>
    <w:p>
      <w:pPr>
        <w:ind w:left="640" w:firstLine="1306"/>
        <w:spacing w:after="0" w:line="229" w:lineRule="auto"/>
        <w:tabs>
          <w:tab w:leader="none" w:pos="281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cost of water, sewer, gas, electricity, air conditioning, and all other utilities paid by Landlord and not billed to any tenant(s), and the cost of maintaining the systems supplying the same;</w:t>
      </w:r>
    </w:p>
    <w:p>
      <w:pPr>
        <w:spacing w:after="0" w:line="195" w:lineRule="exact"/>
        <w:rPr>
          <w:rFonts w:ascii="Arial" w:cs="Arial" w:eastAsia="Arial" w:hAnsi="Arial"/>
          <w:sz w:val="20"/>
          <w:szCs w:val="20"/>
          <w:color w:val="auto"/>
        </w:rPr>
      </w:pPr>
    </w:p>
    <w:p>
      <w:pPr>
        <w:jc w:val="both"/>
        <w:ind w:left="640" w:firstLine="1306"/>
        <w:spacing w:after="0" w:line="221" w:lineRule="auto"/>
        <w:tabs>
          <w:tab w:leader="none" w:pos="281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cost of labor, salaries and applicable fringe benefits for property manager and personnel supporting such property manager incurred by Landlord in the operation, maintenance, security, and/or access control of the Property (to the extent that persons are engaged with respect to more than one building, wages and salaries relating to such persons shall be equitably apportioned between all such buildings based upon Landlord’s reasonable estimate of time spent by each such person on each building relative to their total time on all buildings);</w:t>
      </w:r>
    </w:p>
    <w:p>
      <w:pPr>
        <w:spacing w:after="0" w:line="168" w:lineRule="exact"/>
        <w:rPr>
          <w:rFonts w:ascii="Arial" w:cs="Arial" w:eastAsia="Arial" w:hAnsi="Arial"/>
          <w:sz w:val="19"/>
          <w:szCs w:val="19"/>
          <w:color w:val="auto"/>
        </w:rPr>
      </w:pPr>
    </w:p>
    <w:p>
      <w:pPr>
        <w:ind w:left="2820" w:hanging="874"/>
        <w:spacing w:after="0"/>
        <w:tabs>
          <w:tab w:leader="none" w:pos="28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cost of materials, supplies and tools used in managing, maintaining and/or cleaning the</w:t>
      </w:r>
    </w:p>
    <w:p>
      <w:pPr>
        <w:ind w:left="640"/>
        <w:spacing w:after="0"/>
        <w:rPr>
          <w:rFonts w:ascii="Arial" w:cs="Arial" w:eastAsia="Arial" w:hAnsi="Arial"/>
          <w:sz w:val="19"/>
          <w:szCs w:val="19"/>
          <w:color w:val="auto"/>
        </w:rPr>
      </w:pPr>
      <w:r>
        <w:rPr>
          <w:rFonts w:ascii="Arial" w:cs="Arial" w:eastAsia="Arial" w:hAnsi="Arial"/>
          <w:sz w:val="20"/>
          <w:szCs w:val="20"/>
          <w:color w:val="auto"/>
        </w:rPr>
        <w:t>Property;</w:t>
      </w:r>
    </w:p>
    <w:p>
      <w:pPr>
        <w:spacing w:after="0" w:line="199" w:lineRule="exact"/>
        <w:rPr>
          <w:rFonts w:ascii="Arial" w:cs="Arial" w:eastAsia="Arial" w:hAnsi="Arial"/>
          <w:sz w:val="19"/>
          <w:szCs w:val="19"/>
          <w:color w:val="auto"/>
        </w:rPr>
      </w:pPr>
    </w:p>
    <w:p>
      <w:pPr>
        <w:jc w:val="both"/>
        <w:ind w:left="640" w:firstLine="1306"/>
        <w:spacing w:after="0" w:line="218" w:lineRule="auto"/>
        <w:tabs>
          <w:tab w:leader="none" w:pos="281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cost of accounting fees, management fees, legal fees and consulting fees attributable to the operation, management, maintenance and repair of the Property plus the cost of any space occupied by the property manager and/or leasing agent;</w:t>
      </w:r>
    </w:p>
    <w:p>
      <w:pPr>
        <w:sectPr>
          <w:pgSz w:w="11900" w:h="16838" w:orient="portrait"/>
          <w:cols w:equalWidth="0" w:num="1">
            <w:col w:w="10580"/>
          </w:cols>
          <w:pgMar w:left="740" w:top="1440" w:right="579" w:bottom="1440" w:gutter="0" w:footer="0" w:header="0"/>
        </w:sectPr>
      </w:pPr>
    </w:p>
    <w:bookmarkStart w:id="154" w:name="page155"/>
    <w:bookmarkEnd w:id="154"/>
    <w:p>
      <w:pPr>
        <w:spacing w:after="0" w:line="195" w:lineRule="exact"/>
        <w:rPr>
          <w:sz w:val="20"/>
          <w:szCs w:val="20"/>
          <w:color w:val="auto"/>
        </w:rPr>
      </w:pPr>
    </w:p>
    <w:p>
      <w:pPr>
        <w:jc w:val="both"/>
        <w:ind w:left="640" w:firstLine="1296"/>
        <w:spacing w:after="0" w:line="218" w:lineRule="auto"/>
        <w:rPr>
          <w:sz w:val="20"/>
          <w:szCs w:val="20"/>
          <w:color w:val="auto"/>
        </w:rPr>
      </w:pPr>
      <w:r>
        <w:rPr>
          <w:rFonts w:ascii="Arial" w:cs="Arial" w:eastAsia="Arial" w:hAnsi="Arial"/>
          <w:sz w:val="20"/>
          <w:szCs w:val="20"/>
          <w:color w:val="auto"/>
        </w:rPr>
        <w:t>(x)the cost of operating, replacing, modifying and/or adding improvements or equipment to the Property mandated by any law, statute, regulation or directive of any governmental agency and any repairs or removals necessitated thereby;</w:t>
      </w:r>
    </w:p>
    <w:p>
      <w:pPr>
        <w:spacing w:after="0" w:line="197" w:lineRule="exact"/>
        <w:rPr>
          <w:sz w:val="20"/>
          <w:szCs w:val="20"/>
          <w:color w:val="auto"/>
        </w:rPr>
      </w:pPr>
    </w:p>
    <w:p>
      <w:pPr>
        <w:jc w:val="both"/>
        <w:ind w:left="640" w:firstLine="1306"/>
        <w:spacing w:after="0" w:line="218" w:lineRule="auto"/>
        <w:tabs>
          <w:tab w:leader="none" w:pos="281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payments made by Landlord under any easement, license, operating agreement, declaration, condominium declaration, restrictive agreements, restrictive covenant, reciprocal agreements, or instrument pertaining to the payment or sharing of maintenance and repair costs among property owners;</w:t>
      </w:r>
    </w:p>
    <w:p>
      <w:pPr>
        <w:spacing w:after="0" w:line="196" w:lineRule="exact"/>
        <w:rPr>
          <w:rFonts w:ascii="Arial" w:cs="Arial" w:eastAsia="Arial" w:hAnsi="Arial"/>
          <w:sz w:val="20"/>
          <w:szCs w:val="20"/>
          <w:color w:val="auto"/>
        </w:rPr>
      </w:pPr>
    </w:p>
    <w:p>
      <w:pPr>
        <w:jc w:val="both"/>
        <w:ind w:left="640" w:firstLine="1306"/>
        <w:spacing w:after="0" w:line="236" w:lineRule="auto"/>
        <w:tabs>
          <w:tab w:leader="none" w:pos="28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business property taxes or personal property taxes imposed upon the fixtures, machinery, equipment, furniture and personal property used in connection with the operation of the Property (to the extent that such fixtures, machinery, equipment, furniture or personal property is engaged with respect to more than one building, such taxes relating to such items shall be equitably apportioned between all such buildings relative to their total use on all buildings);</w:t>
      </w:r>
    </w:p>
    <w:p>
      <w:pPr>
        <w:spacing w:after="0" w:line="184" w:lineRule="exact"/>
        <w:rPr>
          <w:rFonts w:ascii="Arial" w:cs="Arial" w:eastAsia="Arial" w:hAnsi="Arial"/>
          <w:sz w:val="18"/>
          <w:szCs w:val="18"/>
          <w:color w:val="auto"/>
        </w:rPr>
      </w:pPr>
    </w:p>
    <w:p>
      <w:pPr>
        <w:jc w:val="both"/>
        <w:ind w:left="640" w:firstLine="1306"/>
        <w:spacing w:after="0" w:line="218" w:lineRule="auto"/>
        <w:tabs>
          <w:tab w:leader="none" w:pos="281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cost of all business licenses, including Business Professional and Occupational License Taxes and Business Improvements Districts Taxes, any gross receipt taxes based on rental income received by Landlord, business privilege taxes, commercial rental taxes or any similar taxes or fees; and</w:t>
      </w:r>
    </w:p>
    <w:p>
      <w:pPr>
        <w:spacing w:after="0" w:line="196" w:lineRule="exact"/>
        <w:rPr>
          <w:rFonts w:ascii="Arial" w:cs="Arial" w:eastAsia="Arial" w:hAnsi="Arial"/>
          <w:sz w:val="20"/>
          <w:szCs w:val="20"/>
          <w:color w:val="auto"/>
        </w:rPr>
      </w:pPr>
    </w:p>
    <w:p>
      <w:pPr>
        <w:ind w:left="640" w:firstLine="1306"/>
        <w:spacing w:after="0" w:line="229" w:lineRule="auto"/>
        <w:tabs>
          <w:tab w:leader="none" w:pos="280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cost of any other service provided by Landlord or any cost that is elsewhere stated in this Lease to be an “Operating Expense”.</w:t>
      </w:r>
    </w:p>
    <w:p>
      <w:pPr>
        <w:spacing w:after="0" w:line="19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Notwithstanding anything to the contrary, any expenses or costs for capital improvements or expenditures shall be amortized over their useful life per GAAP principles. Tenant shall pay its pro rata share of the annualized amortized amount beginning in the year such improvements were incurred/placed into service.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“Operating Expenses” shall not include the following:</w:t>
      </w:r>
    </w:p>
    <w:p>
      <w:pPr>
        <w:spacing w:after="0" w:line="202" w:lineRule="exact"/>
        <w:rPr>
          <w:sz w:val="20"/>
          <w:szCs w:val="20"/>
          <w:color w:val="auto"/>
        </w:rPr>
      </w:pPr>
    </w:p>
    <w:p>
      <w:pPr>
        <w:jc w:val="both"/>
        <w:ind w:firstLine="1944"/>
        <w:spacing w:after="0" w:line="229" w:lineRule="auto"/>
        <w:rPr>
          <w:sz w:val="20"/>
          <w:szCs w:val="20"/>
          <w:color w:val="auto"/>
        </w:rPr>
      </w:pPr>
      <w:r>
        <w:rPr>
          <w:rFonts w:ascii="Arial" w:cs="Arial" w:eastAsia="Arial" w:hAnsi="Arial"/>
          <w:sz w:val="20"/>
          <w:szCs w:val="20"/>
          <w:color w:val="auto"/>
        </w:rPr>
        <w:t>(a)costs incurred to procure or negotiate leases with any existing or prospective tenants, including, without limitation, the costs of tenant improvement renovations pursuant to any “Work Letter”;</w:t>
      </w:r>
    </w:p>
    <w:p>
      <w:pPr>
        <w:spacing w:after="0" w:line="182" w:lineRule="exact"/>
        <w:rPr>
          <w:sz w:val="20"/>
          <w:szCs w:val="20"/>
          <w:color w:val="auto"/>
        </w:rPr>
      </w:pPr>
    </w:p>
    <w:p>
      <w:pPr>
        <w:ind w:left="2580" w:hanging="635"/>
        <w:spacing w:after="0"/>
        <w:tabs>
          <w:tab w:leader="none" w:pos="25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leasing commissions and fees;</w:t>
      </w:r>
    </w:p>
    <w:p>
      <w:pPr>
        <w:spacing w:after="0" w:line="216" w:lineRule="exact"/>
        <w:rPr>
          <w:sz w:val="20"/>
          <w:szCs w:val="20"/>
          <w:color w:val="auto"/>
        </w:rPr>
      </w:pPr>
    </w:p>
    <w:p>
      <w:pPr>
        <w:jc w:val="both"/>
        <w:ind w:firstLine="1944"/>
        <w:spacing w:after="0" w:line="229" w:lineRule="auto"/>
        <w:rPr>
          <w:sz w:val="20"/>
          <w:szCs w:val="20"/>
          <w:color w:val="auto"/>
        </w:rPr>
      </w:pPr>
      <w:r>
        <w:rPr>
          <w:rFonts w:ascii="Arial" w:cs="Arial" w:eastAsia="Arial" w:hAnsi="Arial"/>
          <w:sz w:val="20"/>
          <w:szCs w:val="20"/>
          <w:color w:val="auto"/>
        </w:rPr>
        <w:t>(c)expenses for which Landlord actually receives reimbursed from any tenant, or under the terms of any insurance policy, warranty, or condemnation award;</w:t>
      </w:r>
    </w:p>
    <w:p>
      <w:pPr>
        <w:spacing w:after="0" w:line="182" w:lineRule="exact"/>
        <w:rPr>
          <w:sz w:val="20"/>
          <w:szCs w:val="20"/>
          <w:color w:val="auto"/>
        </w:rPr>
      </w:pPr>
    </w:p>
    <w:p>
      <w:pPr>
        <w:jc w:val="both"/>
        <w:ind w:firstLine="1944"/>
        <w:spacing w:after="0" w:line="229" w:lineRule="auto"/>
        <w:rPr>
          <w:sz w:val="20"/>
          <w:szCs w:val="20"/>
          <w:color w:val="auto"/>
        </w:rPr>
      </w:pPr>
      <w:r>
        <w:rPr>
          <w:rFonts w:ascii="Arial" w:cs="Arial" w:eastAsia="Arial" w:hAnsi="Arial"/>
          <w:sz w:val="20"/>
          <w:szCs w:val="20"/>
          <w:color w:val="auto"/>
        </w:rPr>
        <w:t>(d)depreciation, interest and principal payments on mortgages and other indebtedness related to the Office Unit and on any personal property used in connection therewith;</w:t>
      </w:r>
    </w:p>
    <w:p>
      <w:pPr>
        <w:spacing w:after="0" w:line="182" w:lineRule="exact"/>
        <w:rPr>
          <w:sz w:val="20"/>
          <w:szCs w:val="20"/>
          <w:color w:val="auto"/>
        </w:rPr>
      </w:pPr>
    </w:p>
    <w:p>
      <w:pPr>
        <w:jc w:val="both"/>
        <w:ind w:firstLine="1944"/>
        <w:spacing w:after="0" w:line="218" w:lineRule="auto"/>
        <w:rPr>
          <w:sz w:val="20"/>
          <w:szCs w:val="20"/>
          <w:color w:val="auto"/>
        </w:rPr>
      </w:pPr>
      <w:r>
        <w:rPr>
          <w:rFonts w:ascii="Arial" w:cs="Arial" w:eastAsia="Arial" w:hAnsi="Arial"/>
          <w:sz w:val="20"/>
          <w:szCs w:val="20"/>
          <w:color w:val="auto"/>
        </w:rPr>
        <w:t>(e)legal fees, judgments, settlements, costs and expenses to compel full performance or disputes with any lender or under leases with all prior, existing and prospective tenants, in connection with the sale of any portion or developmental rights of the Office Unit/Property or Landlord, or bankruptcy of Landlord;</w:t>
      </w:r>
    </w:p>
    <w:p>
      <w:pPr>
        <w:spacing w:after="0" w:line="183" w:lineRule="exact"/>
        <w:rPr>
          <w:sz w:val="20"/>
          <w:szCs w:val="20"/>
          <w:color w:val="auto"/>
        </w:rPr>
      </w:pPr>
    </w:p>
    <w:p>
      <w:pPr>
        <w:ind w:firstLine="1946"/>
        <w:spacing w:after="0" w:line="229" w:lineRule="auto"/>
        <w:tabs>
          <w:tab w:leader="none" w:pos="216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cost of any repair to remedy damage caused by or resulting from the negligence of any other tenants, including their agents, servants, employees or invitees, together with the</w:t>
      </w:r>
    </w:p>
    <w:p>
      <w:pPr>
        <w:sectPr>
          <w:pgSz w:w="11900" w:h="16838" w:orient="portrait"/>
          <w:cols w:equalWidth="0" w:num="1">
            <w:col w:w="10580"/>
          </w:cols>
          <w:pgMar w:left="740" w:top="1440" w:right="579" w:bottom="1440" w:gutter="0" w:footer="0" w:header="0"/>
        </w:sectPr>
      </w:pPr>
    </w:p>
    <w:bookmarkStart w:id="155" w:name="page156"/>
    <w:bookmarkEnd w:id="155"/>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costs and expenses incurred by Landlord in attempting to recover such costs and where reimbursement is actually received;</w:t>
      </w:r>
    </w:p>
    <w:p>
      <w:pPr>
        <w:spacing w:after="0" w:line="214" w:lineRule="exact"/>
        <w:rPr>
          <w:sz w:val="20"/>
          <w:szCs w:val="20"/>
          <w:color w:val="auto"/>
        </w:rPr>
      </w:pPr>
    </w:p>
    <w:p>
      <w:pPr>
        <w:ind w:left="2580" w:hanging="635"/>
        <w:spacing w:after="0"/>
        <w:tabs>
          <w:tab w:leader="none" w:pos="25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advertising and promotional expenditures;</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(h)any compensation paid to employees, attendants, or other persons in commercial concessions operated by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Landlord;</w:t>
      </w:r>
    </w:p>
    <w:p>
      <w:pPr>
        <w:spacing w:after="0" w:line="186"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(i) electric power and other utility costs for which any tenant (including Tenant) directly contracts with a</w:t>
      </w:r>
    </w:p>
    <w:p>
      <w:pPr>
        <w:spacing w:after="0"/>
        <w:rPr>
          <w:sz w:val="20"/>
          <w:szCs w:val="20"/>
          <w:color w:val="auto"/>
        </w:rPr>
      </w:pPr>
      <w:r>
        <w:rPr>
          <w:rFonts w:ascii="Arial" w:cs="Arial" w:eastAsia="Arial" w:hAnsi="Arial"/>
          <w:sz w:val="20"/>
          <w:szCs w:val="20"/>
          <w:color w:val="auto"/>
        </w:rPr>
        <w:t>public service company;</w:t>
      </w:r>
    </w:p>
    <w:p>
      <w:pPr>
        <w:spacing w:after="0" w:line="186" w:lineRule="exact"/>
        <w:rPr>
          <w:sz w:val="20"/>
          <w:szCs w:val="20"/>
          <w:color w:val="auto"/>
        </w:rPr>
      </w:pPr>
    </w:p>
    <w:p>
      <w:pPr>
        <w:jc w:val="both"/>
        <w:ind w:firstLine="1946"/>
        <w:spacing w:after="0" w:line="231" w:lineRule="auto"/>
        <w:tabs>
          <w:tab w:leader="none" w:pos="217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costs of capital improvements to the Office Unit, except that Operating Expenses shall include (i) the cost of any capital improvement, amortized with interest over the useful life of such capital improvement, which reduces any component cost included within Operating Expenses, (ii) if Landlord shall lease any capital improvement described in clause (i), above, all rental and other payments made under such lease, and (iii) the cost of any capital improvements, amortized with interest over the useful life of such capital improvement, made to keep the Office Unit in compliance with applicable governmental laws, ordinances, rules and regulations (including, but not limited to The Americans with Disabilities Act) that are effective after the Commencement Date;</w:t>
      </w:r>
    </w:p>
    <w:p>
      <w:pPr>
        <w:spacing w:after="0" w:line="237" w:lineRule="exact"/>
        <w:rPr>
          <w:rFonts w:ascii="Arial" w:cs="Arial" w:eastAsia="Arial" w:hAnsi="Arial"/>
          <w:sz w:val="18"/>
          <w:szCs w:val="18"/>
          <w:color w:val="auto"/>
        </w:rPr>
      </w:pPr>
    </w:p>
    <w:p>
      <w:pPr>
        <w:ind w:left="2580" w:hanging="635"/>
        <w:spacing w:after="0"/>
        <w:tabs>
          <w:tab w:leader="none" w:pos="25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costs of constructing and installing or reconstructing the Common Areas</w:t>
      </w:r>
    </w:p>
    <w:p>
      <w:pPr>
        <w:spacing w:after="0"/>
        <w:rPr>
          <w:sz w:val="20"/>
          <w:szCs w:val="20"/>
          <w:color w:val="auto"/>
        </w:rPr>
      </w:pPr>
      <w:r>
        <w:rPr>
          <w:rFonts w:ascii="Arial" w:cs="Arial" w:eastAsia="Arial" w:hAnsi="Arial"/>
          <w:sz w:val="20"/>
          <w:szCs w:val="20"/>
          <w:color w:val="auto"/>
        </w:rPr>
        <w:t>or the Office Unit;</w:t>
      </w:r>
    </w:p>
    <w:p>
      <w:pPr>
        <w:spacing w:after="0" w:line="267" w:lineRule="exact"/>
        <w:rPr>
          <w:sz w:val="20"/>
          <w:szCs w:val="20"/>
          <w:color w:val="auto"/>
        </w:rPr>
      </w:pPr>
    </w:p>
    <w:p>
      <w:pPr>
        <w:ind w:firstLine="1946"/>
        <w:spacing w:after="0" w:line="229" w:lineRule="auto"/>
        <w:tabs>
          <w:tab w:leader="none" w:pos="217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interest and penalties on any Operating Expenses, except to the extent incurred as a result of a default by tenant in its obligation to make timely payments Additional Rent; and</w:t>
      </w:r>
    </w:p>
    <w:p>
      <w:pPr>
        <w:spacing w:after="0" w:line="182" w:lineRule="exact"/>
        <w:rPr>
          <w:rFonts w:ascii="Arial" w:cs="Arial" w:eastAsia="Arial" w:hAnsi="Arial"/>
          <w:sz w:val="20"/>
          <w:szCs w:val="20"/>
          <w:color w:val="auto"/>
        </w:rPr>
      </w:pPr>
    </w:p>
    <w:p>
      <w:pPr>
        <w:jc w:val="both"/>
        <w:ind w:firstLine="1946"/>
        <w:spacing w:after="0" w:line="218" w:lineRule="auto"/>
        <w:tabs>
          <w:tab w:leader="none" w:pos="282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cost of Real Estate Taxes, as defined in Section 3 of Exhibit B herein, assessments, and governmental or other charges, general or special, foreseen or unforeseen, which are levied, assessed, or otherwise imposed against the Property.</w:t>
      </w:r>
    </w:p>
    <w:p>
      <w:pPr>
        <w:spacing w:after="0" w:line="18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Nothing contained in this Section shall imply any duty on the part of Landlord to pay any expense or provide any service not otherwise imposed by the express terms of this Lease.</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Expenses Adjustment</w:t>
      </w:r>
      <w:r>
        <w:rPr>
          <w:rFonts w:ascii="Arial" w:cs="Arial" w:eastAsia="Arial" w:hAnsi="Arial"/>
          <w:sz w:val="18"/>
          <w:szCs w:val="18"/>
          <w:color w:val="auto"/>
        </w:rPr>
        <w:t>. Tenant shall pay as Additional Rent for each Lease Year an amount (the “Expense Adjustment Amount”) equal to Tenant’s Proportionate Share of the increase in Operating Expenses for such Lease Year over the Base Year for Operating Expenses, and if the Term shall terminate on a date other than December 31, the Expense Adjustment Amount for the last Lease Year of the Term shall be an amount equal to Tenant’s Proportionate Share of the increase in Operating Expenses for the full calendar year in which the Term ends multiplied by a fraction, the numerator of which shall be the number of months and partial months during such calendar year which coincide with the Term, and the denominator of which shall be twelve.</w:t>
      </w:r>
    </w:p>
    <w:p>
      <w:pPr>
        <w:spacing w:after="0" w:line="19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(3)</w:t>
      </w:r>
      <w:r>
        <w:rPr>
          <w:rFonts w:ascii="Arial" w:cs="Arial" w:eastAsia="Arial" w:hAnsi="Arial"/>
          <w:sz w:val="19"/>
          <w:szCs w:val="19"/>
          <w:u w:val="single" w:color="auto"/>
          <w:color w:val="auto"/>
        </w:rPr>
        <w:t>Tax Escalation</w:t>
      </w:r>
      <w:r>
        <w:rPr>
          <w:rFonts w:ascii="Arial" w:cs="Arial" w:eastAsia="Arial" w:hAnsi="Arial"/>
          <w:sz w:val="19"/>
          <w:szCs w:val="19"/>
          <w:color w:val="auto"/>
        </w:rPr>
        <w:t>. If the Real Estate Taxes for any Lease Year or Partial Lease Year during the Term will be greater than the Real Estate Taxes Base Year (adjusted proportionately to correspond to the duration of periods less than a Lease Year), then Tenant will pay to Landlord as Additional Rent, Tenant's Proportionate Share of the Increases in Real Estate Taxes.</w:t>
      </w:r>
    </w:p>
    <w:p>
      <w:pPr>
        <w:spacing w:after="0" w:line="18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As used herein, the term “Real Estate Taxes” shall include any form of real estate tax or assessment, general, special, ordinary or extraordinary, improvement bond or bonds imposed on the Property or any portion thereof, foreseen or unforeseen, by any authority having the direct or indirect power to tax, including any city, county, state or federal government, or any school, agricultural, sanitary, fire, street, drainage or</w:t>
      </w:r>
    </w:p>
    <w:p>
      <w:pPr>
        <w:sectPr>
          <w:pgSz w:w="11900" w:h="16838" w:orient="portrait"/>
          <w:cols w:equalWidth="0" w:num="1">
            <w:col w:w="10580"/>
          </w:cols>
          <w:pgMar w:left="740" w:top="1440" w:right="579" w:bottom="1440" w:gutter="0" w:footer="0" w:header="0"/>
        </w:sectPr>
      </w:pPr>
    </w:p>
    <w:bookmarkStart w:id="156" w:name="page157"/>
    <w:bookmarkEnd w:id="156"/>
    <w:p>
      <w:pPr>
        <w:spacing w:after="0" w:line="195"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other improvement district thereof, as against any legal or equitable interest of Landlord in the Property. If due to a future change in the method of taxation, any franchise, income or profit tax will be levied against Landlord in substitution for, or in lieu of, or in addition to, any tax which would otherwise constitute Real Estate Taxes, such franchise, income or profit tax will be deemed to be Real Estate Taxes for purposes of this Lease (to the extent that such taxes would be payable if the Property was the only property of Landlord subject to such tax). Real Estate Taxes and Operating Expenses shall not include any income tax (or tax that is a successor thereto) or any excess profit, franchise, capital stock, estate or inheritance tax or gift tax, except as specifically provided in the preceding sentence. Any special assessments/tax and extraordinary charges shall be allocated over the maximum term allowed by law and shall include the interest charge for such allocation, and Tenant shall only be responsible to pay Tenant’s Proportionate Share of the amortized portion as it is amortized during the term of the Lease in the year such assessment is actually paid after deducting abatements, rebates or refunds, if any.</w:t>
      </w:r>
    </w:p>
    <w:p>
      <w:pPr>
        <w:spacing w:after="0" w:line="198"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From time to time Landlord may challenge the assessed value of the Property as determined by applicable taxing authorities and/or Landlord may attempt to cause the Real Estate Taxes to be reduced. If Landlord, in Landlord’s commercially reasonable discretion, seeks to cause the Real Estate Taxes to be reduced, defends against any taxing agencies appeal seeking to increase the Real Estate Taxes, or in obtaining a refund, rebate, credit or similar benefit, all costs incurred by Landlord shall be considered an Operating Expense.</w:t>
      </w:r>
    </w:p>
    <w:p>
      <w:pPr>
        <w:spacing w:after="0" w:line="19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Electrical Charge</w:t>
      </w:r>
      <w:r>
        <w:rPr>
          <w:rFonts w:ascii="Arial" w:cs="Arial" w:eastAsia="Arial" w:hAnsi="Arial"/>
          <w:sz w:val="18"/>
          <w:szCs w:val="18"/>
          <w:color w:val="auto"/>
        </w:rPr>
        <w:t>. From and after the Commencement Date, Tenant shall pay to Landlord the cost for the actual electricity charges incurred in the operation of the Premises based on the submeter for the Premises or other building management system’s calculation of electrical consumption within the Premises. Tenant shall pay for the first month of the Term, an estimated amount equal to $1.50 per rentable square foot, per annum, and for each month thereafter during the Term, Tenant shall pay the actual charges associated with Tenant’s use of electricity within the Premises upon receipt of an invoice from Landlord. As soon as practicable after each Lease Year or Partial Lease Year, Landlord will give Tenant a statement (the “Electric Statement”) showing the actual amounts payable by Tenant under this Rider during such Lease Year. If the Electric Statement shows that the actual amount Tenant owes for such Lease Year or Partial Lease Year is less than the estimated amount paid by Tenant during such Lease Year or Partial Lease Year, Landlord, at its option, will either return the difference or credit the difference against the next succeeding payment(s) of the monthly electric charge, provided a sufficient number of months remain in the term to exhaust the amount owed. If the Electric Statement shows that the actual amount Tenant owes is more than the estimated electrical charge paid by Tenant during such Lease Year or Partial Lease Year, Tenant will pay the difference after the following month from when the Electric Statement is delivered to Tenant. Upon request, the Landlord will provide the Tenant copies of its electrical bills.</w:t>
      </w:r>
    </w:p>
    <w:p>
      <w:pPr>
        <w:spacing w:after="0" w:line="189"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(5)</w:t>
      </w:r>
      <w:r>
        <w:rPr>
          <w:rFonts w:ascii="Arial" w:cs="Arial" w:eastAsia="Arial" w:hAnsi="Arial"/>
          <w:sz w:val="20"/>
          <w:szCs w:val="20"/>
          <w:u w:val="single" w:color="auto"/>
          <w:color w:val="auto"/>
        </w:rPr>
        <w:t>Lease Year</w:t>
      </w:r>
      <w:r>
        <w:rPr>
          <w:rFonts w:ascii="Arial" w:cs="Arial" w:eastAsia="Arial" w:hAnsi="Arial"/>
          <w:sz w:val="20"/>
          <w:szCs w:val="20"/>
          <w:color w:val="auto"/>
        </w:rPr>
        <w:t>. As used in this Lease, the defined term “Lease Year” will mean a calendar year. Any portion of the Term which is less than a Lease Year, that is, from the Commencement Date through the following December 31, and from the last January 1 falling within the Term to the end of the Term, will be deemed a “Partial Lease Year”. Any reference in this Lease to a Lease Year will, unless the context clearly indicates otherwise, be deemed to be a reference to a Partial Lease Year if the period in question involves a Partial Lease Year.</w:t>
      </w:r>
    </w:p>
    <w:p>
      <w:pPr>
        <w:spacing w:after="0" w:line="182" w:lineRule="exact"/>
        <w:rPr>
          <w:sz w:val="20"/>
          <w:szCs w:val="20"/>
          <w:color w:val="auto"/>
        </w:rPr>
      </w:pPr>
    </w:p>
    <w:p>
      <w:pPr>
        <w:jc w:val="both"/>
        <w:ind w:right="60"/>
        <w:spacing w:after="0" w:line="218" w:lineRule="auto"/>
        <w:rPr>
          <w:sz w:val="20"/>
          <w:szCs w:val="20"/>
          <w:color w:val="auto"/>
        </w:rPr>
      </w:pPr>
      <w:r>
        <w:rPr>
          <w:rFonts w:ascii="Arial" w:cs="Arial" w:eastAsia="Arial" w:hAnsi="Arial"/>
          <w:sz w:val="19"/>
          <w:szCs w:val="19"/>
          <w:color w:val="auto"/>
        </w:rPr>
        <w:t>(6)</w:t>
      </w:r>
      <w:r>
        <w:rPr>
          <w:rFonts w:ascii="Arial" w:cs="Arial" w:eastAsia="Arial" w:hAnsi="Arial"/>
          <w:sz w:val="19"/>
          <w:szCs w:val="19"/>
          <w:u w:val="single" w:color="auto"/>
          <w:color w:val="auto"/>
        </w:rPr>
        <w:t>Payment of Operating Expenses</w:t>
      </w:r>
      <w:r>
        <w:rPr>
          <w:rFonts w:ascii="Arial" w:cs="Arial" w:eastAsia="Arial" w:hAnsi="Arial"/>
          <w:sz w:val="19"/>
          <w:szCs w:val="19"/>
          <w:color w:val="auto"/>
        </w:rPr>
        <w:t>. For purposes of estimating an increase in Tenant’s Proportionate Share of Operating Expenses and Real Estate Taxes during each subsequent calendar year, Landlord shall estimate the increase in Tenant’s Proportionate Share for the ensuing calendar year, or, if applicable, the remaining portion thereof and notify Tenant in writing of such estimate. Such estimate shall be made by Landlord in the exercise of its sole reasonable discretion and not subject to arbitration. Landlord’s estimate shall be paid by Tenant each month during the Term of the Lease, on the same day as the Fixed Basic Rent is due hereunder. As soon as practicable after each Lease Year or Partial Lease Year, Landlord will give</w:t>
      </w:r>
    </w:p>
    <w:p>
      <w:pPr>
        <w:sectPr>
          <w:pgSz w:w="11900" w:h="16838" w:orient="portrait"/>
          <w:cols w:equalWidth="0" w:num="1">
            <w:col w:w="10580"/>
          </w:cols>
          <w:pgMar w:left="740" w:top="1440" w:right="579" w:bottom="1440" w:gutter="0" w:footer="0" w:header="0"/>
        </w:sectPr>
      </w:pPr>
    </w:p>
    <w:bookmarkStart w:id="157" w:name="page158"/>
    <w:bookmarkEnd w:id="157"/>
    <w:p>
      <w:pPr>
        <w:spacing w:after="0" w:line="195" w:lineRule="exact"/>
        <w:rPr>
          <w:sz w:val="20"/>
          <w:szCs w:val="20"/>
          <w:color w:val="auto"/>
        </w:rPr>
      </w:pPr>
    </w:p>
    <w:p>
      <w:pPr>
        <w:jc w:val="both"/>
        <w:ind w:right="60"/>
        <w:spacing w:after="0" w:line="228" w:lineRule="auto"/>
        <w:rPr>
          <w:sz w:val="20"/>
          <w:szCs w:val="20"/>
          <w:color w:val="auto"/>
        </w:rPr>
      </w:pPr>
      <w:r>
        <w:rPr>
          <w:rFonts w:ascii="Arial" w:cs="Arial" w:eastAsia="Arial" w:hAnsi="Arial"/>
          <w:sz w:val="18"/>
          <w:szCs w:val="18"/>
          <w:color w:val="auto"/>
        </w:rPr>
        <w:t>Tenant a statement (the “Statement”) showing the actual amounts payable by Tenant under this Rider for such Lease Year. If the Statement shows that the actual amount Tenant owes for such Lease Year or Partial Lease Year is less than the estimated amount paid by Tenant during such Lease Year or Partial Lease Year, Landlord, at its option, will either return the difference or credit the difference against the next succeeding payment(s) of Rent, provided a sufficient number of months remain in the term to exhaust the amount owed. Notwithstanding the foregoing, in no event shall Tenant receive any reimbursement for a reduction in Operating Expenses below the Base Year for Operating Expenses. If the Statement shows that the actual amount Tenant owes is more than the estimated Additional Rent paid by Tenant during such Lease Year or Partial Lease Year, Tenant will pay the difference after the following month from when the Statement is delivered to Tenant as Additional Rent.</w:t>
      </w:r>
    </w:p>
    <w:p>
      <w:pPr>
        <w:spacing w:after="0" w:line="182" w:lineRule="exact"/>
        <w:rPr>
          <w:sz w:val="20"/>
          <w:szCs w:val="20"/>
          <w:color w:val="auto"/>
        </w:rPr>
      </w:pPr>
    </w:p>
    <w:p>
      <w:pPr>
        <w:jc w:val="both"/>
        <w:spacing w:after="0" w:line="201" w:lineRule="auto"/>
        <w:rPr>
          <w:sz w:val="20"/>
          <w:szCs w:val="20"/>
          <w:color w:val="auto"/>
        </w:rPr>
      </w:pPr>
      <w:r>
        <w:rPr>
          <w:rFonts w:ascii="Arial" w:cs="Arial" w:eastAsia="Arial" w:hAnsi="Arial"/>
          <w:sz w:val="20"/>
          <w:szCs w:val="20"/>
          <w:color w:val="auto"/>
        </w:rPr>
        <w:t>(7)</w:t>
      </w:r>
      <w:r>
        <w:rPr>
          <w:rFonts w:ascii="Arial" w:cs="Arial" w:eastAsia="Arial" w:hAnsi="Arial"/>
          <w:sz w:val="20"/>
          <w:szCs w:val="20"/>
          <w:u w:val="single" w:color="auto"/>
          <w:color w:val="auto"/>
        </w:rPr>
        <w:t>Audit</w:t>
      </w:r>
      <w:r>
        <w:rPr>
          <w:rFonts w:ascii="Arial" w:cs="Arial" w:eastAsia="Arial" w:hAnsi="Arial"/>
          <w:sz w:val="20"/>
          <w:szCs w:val="20"/>
          <w:color w:val="auto"/>
        </w:rPr>
        <w:t>. During the Lease Term, but not more than one (1) time per year, Tenant, at its sole cost and expense (except as provided below) shall have the right to cause Landlord’s books and records with respect to Operating Expenses and Real Estate Taxes to be audited by an independent certified public accountant of Tenant's choosing. Tenant shall deliver notice of the request to audit Landlord within one hundred twenty</w:t>
      </w:r>
    </w:p>
    <w:p>
      <w:pPr>
        <w:spacing w:after="0" w:line="2" w:lineRule="exact"/>
        <w:rPr>
          <w:sz w:val="20"/>
          <w:szCs w:val="20"/>
          <w:color w:val="auto"/>
        </w:rPr>
      </w:pPr>
    </w:p>
    <w:p>
      <w:pPr>
        <w:jc w:val="both"/>
        <w:ind w:firstLine="2"/>
        <w:spacing w:after="0" w:line="222" w:lineRule="auto"/>
        <w:tabs>
          <w:tab w:leader="none" w:pos="50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days after delivery of the Landlord Statement. Landlord shall cause such books and records to be made available for such inspection during such normal business hours as are prescribed by Landlord and at such location where Landlord regularly keeps its books and records (or by using computer technology available to Landlord at no additional cost), upon ten (10) business days' prior notification to Tenant. If, at the conclusion of Tenant's audit, such expenses for the preceding year indicates that Tenant made an overpayment to Landlord for such preceding year, Landlord shall (a) credit such amount to Tenant's subsequent payments of Rent, or if the Lease has expired, and no default exists under the Lease, remit the amount of such overpayment to Tenant within thirty (30) days after receipt of notice from Tenant of the amount of such overpayment and (b) if the actual Operating Expenses allocable to the Premises are overstated by more than 5%, Landlord shall reimburse Tenant for the actual, reasonable out-of-pocket costs of such audit not to exceed a maximum amount of $4,500.00. If, at the conclusion of the audit, such audit reveals an underpayment by Tenant, Tenant will remit the amount of such underpayment within thirty (30) days of Tenant becoming aware of such underpayment. Should Landlord disagree with the results of Tenant's audit, Landlord and Tenant shall refer the matter to a mutually acceptable independent certified public accountant, who shall work in good faith with Landlord and Tenant to resolve the discrepancy. Landlord's books and records and the results of any such audit are to be kept strictly confidential and are not to be made available or published to any third party, unless required by any applicable legal requirement or governmental authority. The auditor employed by the Tenant shall not provide for any compensation based or measured in any way upon any savings in additional rent or reduction in Operating Expenses allocable to the Premises achieved through the inspection process described in this Paragraph and shall be paid on an hourly-basis, or similar form of compensation.</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Occupancy Adjustment.</w:t>
      </w:r>
      <w:r>
        <w:rPr>
          <w:rFonts w:ascii="Arial" w:cs="Arial" w:eastAsia="Arial" w:hAnsi="Arial"/>
          <w:sz w:val="18"/>
          <w:szCs w:val="18"/>
          <w:color w:val="auto"/>
        </w:rPr>
        <w:t xml:space="preserve"> If the Office Unit is less than ninety-five percent (95%) occupied during the Base Year for Operating Expenses or during any Lease Year or Partial Lease Year subsequent to the Calendar Year, then the Operating Expenses will be adjusted during any such Lease Year or Partial Lease Year so as to reflect ninety-five percent (95%) occupancy. The aforesaid adjustment will only be made with respect to those items that are in fact affected by variations in occupancy levels.</w:t>
      </w:r>
    </w:p>
    <w:p>
      <w:pPr>
        <w:sectPr>
          <w:pgSz w:w="11900" w:h="16838" w:orient="portrait"/>
          <w:cols w:equalWidth="0" w:num="1">
            <w:col w:w="10580"/>
          </w:cols>
          <w:pgMar w:left="740" w:top="1440" w:right="579" w:bottom="1440" w:gutter="0" w:footer="0" w:header="0"/>
        </w:sectPr>
      </w:pPr>
    </w:p>
    <w:bookmarkStart w:id="158" w:name="page159"/>
    <w:bookmarkEnd w:id="158"/>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EXHIBIT C</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RULES AND REGULATIONS</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General Rules</w:t>
      </w:r>
    </w:p>
    <w:p>
      <w:pPr>
        <w:spacing w:after="0" w:line="202" w:lineRule="exact"/>
        <w:rPr>
          <w:sz w:val="20"/>
          <w:szCs w:val="20"/>
          <w:color w:val="auto"/>
        </w:rPr>
      </w:pPr>
    </w:p>
    <w:p>
      <w:pPr>
        <w:jc w:val="both"/>
        <w:ind w:firstLine="650"/>
        <w:spacing w:after="0" w:line="212" w:lineRule="auto"/>
        <w:tabs>
          <w:tab w:leader="none" w:pos="87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Compliance with Laws. Tenant shall not suffer or permit the Premises or any part thereof to be used in any manner, or suffer or permit anything to be done therein, or suffer or permit anything to be brought into or kept therein, which may in any way (i) violate any of the provisions of any Lease or Mortgage (as those terms are defined in the Lease) of which Tenant has actual knowledge or the rules, statutes, ordinances or requirements of any governmental or quasi-governmental authority having or claiming jurisdiction, (ii) invalidate or increase the amount of premiums for any policy of insurance affecting the Office Unit, (iii) be dangerous to persons or property, (iv) constitute a public or private nuisance, (v) impair, in the sole reasonable opinion of Landlord, the appearance, character or reputation of the Office Unit, (vi) discharge objectionable fumes, vapors or odors into the Office Unit or the Office Unit air conditioning system or into the Office Unit flues or vents not designed to receive them or otherwise in such manner as may offend the occupants of the Office Unit, (vii) impair or interfere with any of the Office Unit services or the proper and economic heating, cleaning, air conditioning or other servicing of the Property, Office Unit or the Premises or impair or interfere with or tend to impair or interfere with the use of any of the other areas of the Property or Office Unit by, or occasion discomfort, annoyance or inconvenience to, Landlord or any of the other tenants or occupants of the Office Unit, any such impairment or interference to be in the sole judgment of Landlord, or (viii) increase the pedestrian traffic in and out of the Premises or the Office Unit above ordinary reasonable level.</w:t>
      </w:r>
    </w:p>
    <w:p>
      <w:pPr>
        <w:spacing w:after="0" w:line="200" w:lineRule="exact"/>
        <w:rPr>
          <w:rFonts w:ascii="Arial" w:cs="Arial" w:eastAsia="Arial" w:hAnsi="Arial"/>
          <w:sz w:val="19"/>
          <w:szCs w:val="19"/>
          <w:color w:val="auto"/>
        </w:rPr>
      </w:pPr>
    </w:p>
    <w:p>
      <w:pPr>
        <w:jc w:val="both"/>
        <w:ind w:firstLine="650"/>
        <w:spacing w:after="0" w:line="213" w:lineRule="auto"/>
        <w:tabs>
          <w:tab w:leader="none" w:pos="87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Signage. The listing of any name other than that of Tenant or its subtenants, whether on the doors of the Premises, on the Office Unit directory, or otherwise, shall not operate to vest any right or interest in this Lease or in the Premises or be deemed to be the written consent of Landlord, it being expressly understood that any such listing is a privilege extended by Landlord and is revocable at will by written notice to Tenant.</w:t>
      </w:r>
    </w:p>
    <w:p>
      <w:pPr>
        <w:spacing w:after="0" w:line="182" w:lineRule="exact"/>
        <w:rPr>
          <w:rFonts w:ascii="Arial" w:cs="Arial" w:eastAsia="Arial" w:hAnsi="Arial"/>
          <w:sz w:val="20"/>
          <w:szCs w:val="20"/>
          <w:color w:val="auto"/>
        </w:rPr>
      </w:pPr>
    </w:p>
    <w:p>
      <w:pPr>
        <w:ind w:firstLine="650"/>
        <w:spacing w:after="0" w:line="229" w:lineRule="auto"/>
        <w:tabs>
          <w:tab w:leader="none" w:pos="87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View from outside Premises. No objects shall be placed against glass partitions, doors or windows which would be unsightly from the Office Unit's corridors or from the exterior of the Office Unit.</w:t>
      </w:r>
    </w:p>
    <w:p>
      <w:pPr>
        <w:spacing w:after="0" w:line="182" w:lineRule="exact"/>
        <w:rPr>
          <w:rFonts w:ascii="Arial" w:cs="Arial" w:eastAsia="Arial" w:hAnsi="Arial"/>
          <w:sz w:val="20"/>
          <w:szCs w:val="20"/>
          <w:color w:val="auto"/>
        </w:rPr>
      </w:pPr>
    </w:p>
    <w:p>
      <w:pPr>
        <w:jc w:val="both"/>
        <w:ind w:firstLine="650"/>
        <w:spacing w:after="0" w:line="218" w:lineRule="auto"/>
        <w:tabs>
          <w:tab w:leader="none" w:pos="87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Animal, Pets, and Bicycle Parking. Except as otherwise provided in the Lease, no animals, pets, or modes of transportation shall be brought or permitted to be in Office Unit or the Premises. Notwithstanding the foregoing, bicycles may be stored in areas designated by Landlord within the Office Unit from time to time for bicycle parking.</w:t>
      </w:r>
    </w:p>
    <w:p>
      <w:pPr>
        <w:spacing w:after="0" w:line="183" w:lineRule="exact"/>
        <w:rPr>
          <w:rFonts w:ascii="Arial" w:cs="Arial" w:eastAsia="Arial" w:hAnsi="Arial"/>
          <w:sz w:val="20"/>
          <w:szCs w:val="20"/>
          <w:color w:val="auto"/>
        </w:rPr>
      </w:pPr>
    </w:p>
    <w:p>
      <w:pPr>
        <w:ind w:left="880" w:hanging="230"/>
        <w:spacing w:after="0"/>
        <w:tabs>
          <w:tab w:leader="none" w:pos="8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Solicitation. Room to room canvasses to solicit business from other tenants of the Office Unit are not permitted.</w:t>
      </w:r>
    </w:p>
    <w:p>
      <w:pPr>
        <w:spacing w:after="0" w:line="227" w:lineRule="exact"/>
        <w:rPr>
          <w:rFonts w:ascii="Arial" w:cs="Arial" w:eastAsia="Arial" w:hAnsi="Arial"/>
          <w:sz w:val="19"/>
          <w:szCs w:val="19"/>
          <w:color w:val="auto"/>
        </w:rPr>
      </w:pPr>
    </w:p>
    <w:p>
      <w:pPr>
        <w:jc w:val="both"/>
        <w:ind w:firstLine="650"/>
        <w:spacing w:after="0" w:line="205" w:lineRule="auto"/>
        <w:tabs>
          <w:tab w:leader="none" w:pos="87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Waste. Tenant shall not waste electricity, water or air conditioning services. All controls shall be adjusted only by authorized building personnel. Tenant shall not utilize the Premises in any manner that would overload the standard heating, ventilating, or air conditioning systems of the Office Unit. Tenant shall not open or permit to be opened any windows in the Premises. Tenant shall not permit the use of any apparatus for sound production or transmission in such manner that the sound so transmitted or produced shall be audible or vibrations therefrom shall be detectable beyond the Premises. Tenant shall not utilize any electronic, radio wave, microwave or other transmitting, receiving, amplification or magnetic device that would disturb or interfere with any other tenant of the Office Unit or the operation of the Office Unit generally. Tenant shall keep all electrical and mechanical apparatus free of vibration, noise, magnetic</w:t>
      </w:r>
    </w:p>
    <w:p>
      <w:pPr>
        <w:sectPr>
          <w:pgSz w:w="11900" w:h="16838" w:orient="portrait"/>
          <w:cols w:equalWidth="0" w:num="1">
            <w:col w:w="10580"/>
          </w:cols>
          <w:pgMar w:left="740" w:top="1440" w:right="579" w:bottom="1440" w:gutter="0" w:footer="0" w:header="0"/>
        </w:sectPr>
      </w:pPr>
    </w:p>
    <w:bookmarkStart w:id="159" w:name="page160"/>
    <w:bookmarkEnd w:id="159"/>
    <w:p>
      <w:pPr>
        <w:spacing w:after="0" w:line="195" w:lineRule="exact"/>
        <w:rPr>
          <w:sz w:val="20"/>
          <w:szCs w:val="20"/>
          <w:color w:val="auto"/>
        </w:rPr>
      </w:pPr>
    </w:p>
    <w:p>
      <w:pPr>
        <w:ind w:right="320"/>
        <w:spacing w:after="0" w:line="229" w:lineRule="auto"/>
        <w:rPr>
          <w:sz w:val="20"/>
          <w:szCs w:val="20"/>
          <w:color w:val="auto"/>
        </w:rPr>
      </w:pPr>
      <w:r>
        <w:rPr>
          <w:rFonts w:ascii="Arial" w:cs="Arial" w:eastAsia="Arial" w:hAnsi="Arial"/>
          <w:sz w:val="20"/>
          <w:szCs w:val="20"/>
          <w:color w:val="auto"/>
        </w:rPr>
        <w:t>fields, and air waves which may be transmitted beyond the Premises, it being understood and permitted that Tenant has a wireless network.</w:t>
      </w:r>
    </w:p>
    <w:p>
      <w:pPr>
        <w:spacing w:after="0" w:line="182" w:lineRule="exact"/>
        <w:rPr>
          <w:sz w:val="20"/>
          <w:szCs w:val="20"/>
          <w:color w:val="auto"/>
        </w:rPr>
      </w:pPr>
    </w:p>
    <w:p>
      <w:pPr>
        <w:ind w:left="1300" w:hanging="651"/>
        <w:spacing w:after="0"/>
        <w:tabs>
          <w:tab w:leader="none" w:pos="13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Corridor Access. All corridor doors shall remain closed at all times.</w:t>
      </w:r>
    </w:p>
    <w:p>
      <w:pPr>
        <w:spacing w:after="0" w:line="202" w:lineRule="exact"/>
        <w:rPr>
          <w:rFonts w:ascii="Arial" w:cs="Arial" w:eastAsia="Arial" w:hAnsi="Arial"/>
          <w:sz w:val="20"/>
          <w:szCs w:val="20"/>
          <w:color w:val="auto"/>
        </w:rPr>
      </w:pPr>
    </w:p>
    <w:p>
      <w:pPr>
        <w:jc w:val="both"/>
        <w:ind w:firstLine="650"/>
        <w:spacing w:after="0" w:line="231" w:lineRule="auto"/>
        <w:tabs>
          <w:tab w:leader="none" w:pos="8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Additional Locks. No additional locks or similar devices shall be attached to any door or window without Landlord's prior written consent. No keys for any door other than those provided by the Landlord shall be made. If more than two (2) keys for one (1) lock are desired, Landlord will provide the same upon payment by Tenant of the reasonable cost therefor. All keys must be returned to Landlord at the expiration or termination of this Lease. It is understood and permitted that Tenant install and maintain a keycard access control system with associated locking mechanisms. Tenant shall provide Landlord with a keycard to access any locked or area with restricted access to be utilized in the event of an ongoing emergency for the safety of Tenant and the Office Unit.</w:t>
      </w:r>
    </w:p>
    <w:p>
      <w:pPr>
        <w:spacing w:after="0" w:line="195" w:lineRule="exact"/>
        <w:rPr>
          <w:rFonts w:ascii="Arial" w:cs="Arial" w:eastAsia="Arial" w:hAnsi="Arial"/>
          <w:sz w:val="18"/>
          <w:szCs w:val="18"/>
          <w:color w:val="auto"/>
        </w:rPr>
      </w:pPr>
    </w:p>
    <w:p>
      <w:pPr>
        <w:jc w:val="both"/>
        <w:ind w:firstLine="650"/>
        <w:spacing w:after="0" w:line="218" w:lineRule="auto"/>
        <w:tabs>
          <w:tab w:leader="none" w:pos="87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Responsibilities. Tenant assumes full responsibility of protecting the Premises from theft, robbery and pilferage. Except during Tenant's normal business hours, Tenant shall keep all doors to the Premises locked and other means of entry to the Premises closed and secured.</w:t>
      </w:r>
    </w:p>
    <w:p>
      <w:pPr>
        <w:spacing w:after="0" w:line="196" w:lineRule="exact"/>
        <w:rPr>
          <w:rFonts w:ascii="Arial" w:cs="Arial" w:eastAsia="Arial" w:hAnsi="Arial"/>
          <w:sz w:val="20"/>
          <w:szCs w:val="20"/>
          <w:color w:val="auto"/>
        </w:rPr>
      </w:pPr>
    </w:p>
    <w:p>
      <w:pPr>
        <w:jc w:val="both"/>
        <w:ind w:firstLine="650"/>
        <w:spacing w:after="0" w:line="206" w:lineRule="auto"/>
        <w:tabs>
          <w:tab w:leader="none" w:pos="153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Equipment. Only equipment or mechanical devices of a nature directly related to Tenant's ordinary use of the Premises shall be installed, placed, or used in the Premises and the installation and use of all such equipment and mechanical devices is subject to the other rules contained herein and the other portions of this Lease. Unless Landlord gives advance written consent, Tenant shall not install or operate any steam or internal combustion engine, boiler, machinery, refrigerating or heating device or air conditioning apparatus in or about the Premises, or carry on any mechanical business therein. Tenant shall not install any supplemental air conditioning unit(s) within the Premises, including, but not limited to, Tenant’s IT / telecom room, without Landlord’s prior written consent.</w:t>
      </w:r>
    </w:p>
    <w:p>
      <w:pPr>
        <w:spacing w:after="0" w:line="184" w:lineRule="exact"/>
        <w:rPr>
          <w:rFonts w:ascii="Arial" w:cs="Arial" w:eastAsia="Arial" w:hAnsi="Arial"/>
          <w:sz w:val="20"/>
          <w:szCs w:val="20"/>
          <w:color w:val="auto"/>
        </w:rPr>
      </w:pPr>
    </w:p>
    <w:p>
      <w:pPr>
        <w:ind w:firstLine="650"/>
        <w:spacing w:after="0" w:line="229" w:lineRule="auto"/>
        <w:tabs>
          <w:tab w:leader="none" w:pos="1522"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Cleaning and Repairs. All cleaning, repairing, janitorial, decorating, painting or other services and work in and about the Premises shall be done only by authorized Office Unit personnel.</w:t>
      </w:r>
    </w:p>
    <w:p>
      <w:pPr>
        <w:spacing w:after="0" w:line="195" w:lineRule="exact"/>
        <w:rPr>
          <w:rFonts w:ascii="Arial" w:cs="Arial" w:eastAsia="Arial" w:hAnsi="Arial"/>
          <w:sz w:val="20"/>
          <w:szCs w:val="20"/>
          <w:color w:val="auto"/>
        </w:rPr>
      </w:pPr>
    </w:p>
    <w:p>
      <w:pPr>
        <w:jc w:val="both"/>
        <w:ind w:firstLine="650"/>
        <w:spacing w:after="0" w:line="233" w:lineRule="auto"/>
        <w:tabs>
          <w:tab w:leader="none" w:pos="15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Floor Loading. Tenant shall not overload any floor or exceed the floor load capacity for which any such floor was designed or allowed by law to carry. Safes, furniture, equipment, machines and other large or bulky articles shall be brought to the Office Unit and into and out of the Premises at such times and in such manner as Landlord shall direct (including the designation of elevator) and at Tenant's sole risk and cost. Prior to Tenant's removal of such articles from the Office Unit, Tenant shall obtain written authorization from Landlord's agent and shall present such authorization to the designated employee of Landlord.</w:t>
      </w:r>
    </w:p>
    <w:p>
      <w:pPr>
        <w:spacing w:after="0" w:line="183" w:lineRule="exact"/>
        <w:rPr>
          <w:rFonts w:ascii="Arial" w:cs="Arial" w:eastAsia="Arial" w:hAnsi="Arial"/>
          <w:sz w:val="18"/>
          <w:szCs w:val="18"/>
          <w:color w:val="auto"/>
        </w:rPr>
      </w:pPr>
    </w:p>
    <w:p>
      <w:pPr>
        <w:ind w:left="1540" w:hanging="890"/>
        <w:spacing w:after="0"/>
        <w:tabs>
          <w:tab w:leader="none" w:pos="15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Damage. Tenant shall not in any manner deface or damage the Office Unit or Property.</w:t>
      </w:r>
    </w:p>
    <w:p>
      <w:pPr>
        <w:spacing w:after="0" w:line="202" w:lineRule="exact"/>
        <w:rPr>
          <w:rFonts w:ascii="Arial" w:cs="Arial" w:eastAsia="Arial" w:hAnsi="Arial"/>
          <w:sz w:val="20"/>
          <w:szCs w:val="20"/>
          <w:color w:val="auto"/>
        </w:rPr>
      </w:pPr>
    </w:p>
    <w:p>
      <w:pPr>
        <w:jc w:val="both"/>
        <w:ind w:firstLine="650"/>
        <w:spacing w:after="0" w:line="210" w:lineRule="auto"/>
        <w:tabs>
          <w:tab w:leader="none" w:pos="153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No Residential / Overnight Use. Tenant shall not use the Premises for housing accommodations or lodging or sleeping purposes or do any cooking therein (except for the use of a microwave or barista preparation of coffee products), or use any illumination other than electric light, or use or permit to be brought into the Office Unit any inflammable fluids such as gasoline, kerosene, naphtha, and benzene, or any explosives, radioactive materials, carcinogens or other articles deemed extra hazardous to life, limb or property.</w:t>
      </w:r>
    </w:p>
    <w:p>
      <w:pPr>
        <w:spacing w:after="0" w:line="181" w:lineRule="exact"/>
        <w:rPr>
          <w:rFonts w:ascii="Arial" w:cs="Arial" w:eastAsia="Arial" w:hAnsi="Arial"/>
          <w:sz w:val="20"/>
          <w:szCs w:val="20"/>
          <w:color w:val="auto"/>
        </w:rPr>
      </w:pPr>
    </w:p>
    <w:p>
      <w:pPr>
        <w:jc w:val="both"/>
        <w:ind w:firstLine="650"/>
        <w:spacing w:after="0" w:line="218" w:lineRule="auto"/>
        <w:tabs>
          <w:tab w:leader="none" w:pos="153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Labor Conflicts. Tenant shall not contract for any work or service which might involve the employment of labor incompatible with the Office Unit employees or employees of contractors doing work or performing services by or on behalf of Landlord. Tenant shall take no action which would violate any</w:t>
      </w:r>
    </w:p>
    <w:p>
      <w:pPr>
        <w:sectPr>
          <w:pgSz w:w="11900" w:h="16838" w:orient="portrait"/>
          <w:cols w:equalWidth="0" w:num="1">
            <w:col w:w="10580"/>
          </w:cols>
          <w:pgMar w:left="740" w:top="1440" w:right="579" w:bottom="1440" w:gutter="0" w:footer="0" w:header="0"/>
        </w:sectPr>
      </w:pPr>
    </w:p>
    <w:bookmarkStart w:id="160" w:name="page161"/>
    <w:bookmarkEnd w:id="160"/>
    <w:p>
      <w:pPr>
        <w:spacing w:after="0" w:line="195"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of Landlord's contracts affecting the Office Unit, or which would create or contribute to any work stoppage, strike, picketing, labor disruption or dispute, or which would interfere, in any way, with the business of Landlord or any other tenants of the Office Unit or with the rights and privileges of any invitees, licensees, employees or any other persons lawfully in and upon the Office Unit, or which would cause any impairment or reduction of the good will and reputation of the Office Unit.</w:t>
      </w:r>
    </w:p>
    <w:p>
      <w:pPr>
        <w:spacing w:after="0" w:line="183" w:lineRule="exact"/>
        <w:rPr>
          <w:sz w:val="20"/>
          <w:szCs w:val="20"/>
          <w:color w:val="auto"/>
        </w:rPr>
      </w:pPr>
    </w:p>
    <w:p>
      <w:pPr>
        <w:jc w:val="both"/>
        <w:ind w:firstLine="650"/>
        <w:spacing w:after="0" w:line="218" w:lineRule="auto"/>
        <w:tabs>
          <w:tab w:leader="none" w:pos="153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Roof and Basement Access Restrictions. Neither Tenant nor any of its agents, employees, contractors, workmen, visitors or guests shall enter into or go upon roof or basement or other restricted areas of the Office Unit, including all storage, heating, ventilation, air conditioning, mechanical or elevator machinery housing areas, unless Tenant receives written approval from Landlord to access the same, which shall be in the Landlord’s sole reasonable discretion, and subject to being accompanied by Landlord and/or Landlord’s roofing contractor. Any such access may be denied if the requested access has the potential to void or otherwise impact any existing warranties held by Landlord.</w:t>
      </w:r>
    </w:p>
    <w:p>
      <w:pPr>
        <w:spacing w:after="0" w:line="199" w:lineRule="exact"/>
        <w:rPr>
          <w:rFonts w:ascii="Arial" w:cs="Arial" w:eastAsia="Arial" w:hAnsi="Arial"/>
          <w:sz w:val="19"/>
          <w:szCs w:val="19"/>
          <w:color w:val="auto"/>
        </w:rPr>
      </w:pPr>
    </w:p>
    <w:p>
      <w:pPr>
        <w:ind w:firstLine="650"/>
        <w:spacing w:after="0" w:line="229" w:lineRule="auto"/>
        <w:tabs>
          <w:tab w:leader="none" w:pos="153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 Solicitation. Tenant shall not distribute literature, flyers, handouts or pamphlets of any type in any of the common areas of the Office Unit, without the prior written consent of Landlord.</w:t>
      </w:r>
    </w:p>
    <w:p>
      <w:pPr>
        <w:spacing w:after="0" w:line="182" w:lineRule="exact"/>
        <w:rPr>
          <w:rFonts w:ascii="Arial" w:cs="Arial" w:eastAsia="Arial" w:hAnsi="Arial"/>
          <w:sz w:val="20"/>
          <w:szCs w:val="20"/>
          <w:color w:val="auto"/>
        </w:rPr>
      </w:pPr>
    </w:p>
    <w:p>
      <w:pPr>
        <w:ind w:firstLine="650"/>
        <w:spacing w:after="0" w:line="229" w:lineRule="auto"/>
        <w:tabs>
          <w:tab w:leader="none" w:pos="153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 Food Preparation. Tenant shall not cook, otherwise prepare, except for the use of a microwave, or sell any food or beverages in or from the Premises.</w:t>
      </w:r>
    </w:p>
    <w:p>
      <w:pPr>
        <w:spacing w:after="0" w:line="182" w:lineRule="exact"/>
        <w:rPr>
          <w:rFonts w:ascii="Arial" w:cs="Arial" w:eastAsia="Arial" w:hAnsi="Arial"/>
          <w:sz w:val="20"/>
          <w:szCs w:val="20"/>
          <w:color w:val="auto"/>
        </w:rPr>
      </w:pPr>
    </w:p>
    <w:p>
      <w:pPr>
        <w:ind w:left="1280" w:hanging="631"/>
        <w:spacing w:after="0"/>
        <w:tabs>
          <w:tab w:leader="none" w:pos="12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Odors. Tenant shall not permit objectionable odors or vapors to emanate from the Premises.</w:t>
      </w:r>
    </w:p>
    <w:p>
      <w:pPr>
        <w:spacing w:after="0" w:line="202" w:lineRule="exact"/>
        <w:rPr>
          <w:rFonts w:ascii="Arial" w:cs="Arial" w:eastAsia="Arial" w:hAnsi="Arial"/>
          <w:sz w:val="20"/>
          <w:szCs w:val="20"/>
          <w:color w:val="auto"/>
        </w:rPr>
      </w:pPr>
    </w:p>
    <w:p>
      <w:pPr>
        <w:jc w:val="both"/>
        <w:ind w:firstLine="650"/>
        <w:spacing w:after="0" w:line="206" w:lineRule="auto"/>
        <w:tabs>
          <w:tab w:leader="none" w:pos="153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Hall Access. The halls, passages, exits, entrances, elevators, and stairways shall not be obstructed by Tenant or used for any purpose other than for ingress to and egress from its Premises. The halls, passages, exists, entrances, elevators, stairways and roof are not for the use of' the general public and the Landlord shall in all cases retain the right to control and prevent access thereto by all persons whose presence, in the judgment of Landlord, shall be prejudicial to the safety, character, reputation and interests of the Office Unit and its tenants, provided that nothing herein contained shall be construed to prevent such access to persons with whom Tenant normally deals in the ordinary course of Tenant's business unless such persons are engaged in illegal activities.</w:t>
      </w:r>
    </w:p>
    <w:p>
      <w:pPr>
        <w:spacing w:after="0" w:line="184" w:lineRule="exact"/>
        <w:rPr>
          <w:rFonts w:ascii="Arial" w:cs="Arial" w:eastAsia="Arial" w:hAnsi="Arial"/>
          <w:sz w:val="20"/>
          <w:szCs w:val="20"/>
          <w:color w:val="auto"/>
        </w:rPr>
      </w:pPr>
    </w:p>
    <w:p>
      <w:pPr>
        <w:jc w:val="both"/>
        <w:ind w:firstLine="650"/>
        <w:spacing w:after="0" w:line="213" w:lineRule="auto"/>
        <w:tabs>
          <w:tab w:leader="none" w:pos="153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Loading. All loading/unloading shall occur within area(s) identified by Landlord for the use by the tenants of the Office Unit and subject to all supplemental rules and regulations adopted by Landlord from time to time. Tenant shall coordinate with Landlord or the Office Unit’s property manager to schedule loading or unloading and use of the freight elevator or other elevators that may designated for such use.</w:t>
      </w:r>
    </w:p>
    <w:p>
      <w:pPr>
        <w:spacing w:after="0" w:line="182" w:lineRule="exact"/>
        <w:rPr>
          <w:rFonts w:ascii="Arial" w:cs="Arial" w:eastAsia="Arial" w:hAnsi="Arial"/>
          <w:sz w:val="20"/>
          <w:szCs w:val="20"/>
          <w:color w:val="auto"/>
        </w:rPr>
      </w:pPr>
    </w:p>
    <w:p>
      <w:pPr>
        <w:jc w:val="both"/>
        <w:ind w:firstLine="650"/>
        <w:spacing w:after="0" w:line="231" w:lineRule="auto"/>
        <w:tabs>
          <w:tab w:leader="none" w:pos="15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Refuse. Tenant shall, at Tenant’s cost, provide trash bins or other adequate garbage disposal containers within the Premises for the interim disposal of all of its trash, garbage, and waste. All such trash, garbage, and waste temporarily stored in the Premises shall be stored in such a manner so that it is not visible from outside of the Premises and otherwise in a manner consistent with Class A buildings. Tenant shall keep the Premises in a clean, safe, and neat condition free and clear of all of Tenant's trash, garbage, and/or waste at all times. In no event shall Tenant dispose of any trash, garbage, or waste in any Common Area or other location within the Property, except as may be directed by Landlord from time to time.</w:t>
      </w:r>
    </w:p>
    <w:p>
      <w:pPr>
        <w:sectPr>
          <w:pgSz w:w="11900" w:h="16838" w:orient="portrait"/>
          <w:cols w:equalWidth="0" w:num="1">
            <w:col w:w="10580"/>
          </w:cols>
          <w:pgMar w:left="740" w:top="1440" w:right="579" w:bottom="1440" w:gutter="0" w:footer="0" w:header="0"/>
        </w:sectPr>
      </w:pPr>
    </w:p>
    <w:bookmarkStart w:id="161" w:name="page162"/>
    <w:bookmarkEnd w:id="161"/>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EXHIBIT C-1</w:t>
      </w: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Dog Policy Rules and Regulations</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Notwithstanding anything to the contrary in the Office Unit Rules and Regulations, Tenant shall be permitted to allow dogs within the Demised Premises, subject to the rules and regulations set forth herein, as may be modified by Landlord from time to time upon notice to Tenant, and in accordance with all applicable Federal, State, and local laws, regulations, ordinances, and statutes.</w:t>
      </w:r>
    </w:p>
    <w:p>
      <w:pPr>
        <w:spacing w:after="0" w:line="19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Tenant is responsible for assuring the health and safety of all employees. In keeping with this objective, Tenant has formulated a policy, provided below, balancing these concerns with the desire to promote a positive employment experience by allowing appropriate dogs in the office. A dog may be allowed in the office if its health and behavior are acceptable within an office setting, and if it does not adversely affect office operations within the Demised Premises or Office Unit.</w:t>
      </w:r>
    </w:p>
    <w:p>
      <w:pPr>
        <w:spacing w:after="0" w:line="18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Tenant shall be solely responsible for and shall reimburse Landlord for any and all increased costs associated with access to the Office Unit and use of the Demised Premises by any dog. Any damage to the Office Unit and / or Demised Premises resulting from a dog shall be repaired promptly by Tenant. Tenant hereby agrees to indemnify, defend, and hold Landlord harmless from and against any and all claims, liabilities, causes of action, or demands in connection with any accident, injury (including biting), or damage whatsoever caused to any person or property resulting from any dog brought to the Office Unit by a Tenant employee, invitee, guest, contractor, or other related party, including, but not limited to, all cost, expenses and liability, including reasonable attorneys' fees, incurred in connection with any such claim or proceeding brought thereon.</w:t>
      </w:r>
    </w:p>
    <w:p>
      <w:pPr>
        <w:spacing w:after="0" w:line="5"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0"/>
          <w:szCs w:val="20"/>
          <w:color w:val="auto"/>
        </w:rPr>
        <w:t>Tenant shall ensure that in the event of the release of any waste or excrement by a dog within the Office Unit the same shall be immediately cleaned by Tenant. All dogs shall be leashed except when the dog is inside the Demised Premises. Upon request by Landlord, Tenant shall provide to Landlord with evidence of the current vaccinations of any dogs that will be accessing the Demised Premises.</w:t>
      </w:r>
    </w:p>
    <w:p>
      <w:pPr>
        <w:spacing w:after="0" w:line="182" w:lineRule="exact"/>
        <w:rPr>
          <w:sz w:val="20"/>
          <w:szCs w:val="20"/>
          <w:color w:val="auto"/>
        </w:rPr>
      </w:pPr>
    </w:p>
    <w:p>
      <w:pPr>
        <w:jc w:val="both"/>
        <w:ind w:firstLine="697"/>
        <w:spacing w:after="0" w:line="218" w:lineRule="auto"/>
        <w:rPr>
          <w:sz w:val="20"/>
          <w:szCs w:val="20"/>
          <w:color w:val="auto"/>
        </w:rPr>
      </w:pPr>
      <w:r>
        <w:rPr>
          <w:rFonts w:ascii="Arial" w:cs="Arial" w:eastAsia="Arial" w:hAnsi="Arial"/>
          <w:sz w:val="20"/>
          <w:szCs w:val="20"/>
          <w:color w:val="auto"/>
        </w:rPr>
        <w:t>Tenant shall require that each employee, prior to bringing their dog on the Office Unit, shall execute Landlord’s standard waiver and acknowledgement form. Tenant shall provide a copy of the executed waiver to Landlord upon execution (which may be delivered electronically).</w:t>
      </w:r>
    </w:p>
    <w:p>
      <w:pPr>
        <w:spacing w:after="0" w:line="18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Tenant Dog Policy Regulations. Tenant has enacted the following policies for dog-friendly workspaces, which policy, as may be amended from time to time by Tenant, shall, in addition to rules and regulations of Landlord, be followed by Tenant during the Term.</w:t>
      </w:r>
    </w:p>
    <w:p>
      <w:pPr>
        <w:spacing w:after="0" w:line="151" w:lineRule="exact"/>
        <w:rPr>
          <w:sz w:val="20"/>
          <w:szCs w:val="20"/>
          <w:color w:val="auto"/>
        </w:rPr>
      </w:pPr>
    </w:p>
    <w:p>
      <w:pPr>
        <w:ind w:left="1300" w:right="300" w:hanging="326"/>
        <w:spacing w:after="0" w:line="215" w:lineRule="auto"/>
        <w:tabs>
          <w:tab w:leader="none" w:pos="1295" w:val="left"/>
        </w:tabs>
        <w:numPr>
          <w:ilvl w:val="0"/>
          <w:numId w:val="125"/>
        </w:numPr>
        <w:rPr>
          <w:rFonts w:ascii="Arial" w:cs="Arial" w:eastAsia="Arial" w:hAnsi="Arial"/>
          <w:sz w:val="18"/>
          <w:szCs w:val="18"/>
          <w:color w:val="auto"/>
        </w:rPr>
      </w:pPr>
      <w:r>
        <w:rPr>
          <w:rFonts w:ascii="Arial" w:cs="Arial" w:eastAsia="Arial" w:hAnsi="Arial"/>
          <w:sz w:val="20"/>
          <w:szCs w:val="20"/>
          <w:b w:val="1"/>
          <w:bCs w:val="1"/>
          <w:color w:val="auto"/>
        </w:rPr>
        <w:t>Before bringing your dog to Duolingo, ensure that the office is a safe environment for them and other Duo-dogs</w:t>
      </w:r>
    </w:p>
    <w:p>
      <w:pPr>
        <w:spacing w:after="0" w:line="1" w:lineRule="exact"/>
        <w:rPr>
          <w:rFonts w:ascii="Arial" w:cs="Arial" w:eastAsia="Arial" w:hAnsi="Arial"/>
          <w:sz w:val="18"/>
          <w:szCs w:val="18"/>
          <w:color w:val="auto"/>
        </w:rPr>
      </w:pPr>
    </w:p>
    <w:p>
      <w:pPr>
        <w:ind w:left="1940" w:hanging="319"/>
        <w:spacing w:after="0" w:line="211" w:lineRule="auto"/>
        <w:tabs>
          <w:tab w:leader="none" w:pos="1940" w:val="left"/>
        </w:tabs>
        <w:numPr>
          <w:ilvl w:val="1"/>
          <w:numId w:val="125"/>
        </w:numPr>
        <w:rPr>
          <w:rFonts w:ascii="Arial" w:cs="Arial" w:eastAsia="Arial" w:hAnsi="Arial"/>
          <w:sz w:val="18"/>
          <w:szCs w:val="18"/>
          <w:color w:val="auto"/>
        </w:rPr>
      </w:pPr>
      <w:r>
        <w:rPr>
          <w:rFonts w:ascii="Arial" w:cs="Arial" w:eastAsia="Arial" w:hAnsi="Arial"/>
          <w:sz w:val="20"/>
          <w:szCs w:val="20"/>
          <w:color w:val="auto"/>
        </w:rPr>
        <w:t>Do they have all relevant vaccinations? Are they healthy?</w:t>
      </w:r>
    </w:p>
    <w:p>
      <w:pPr>
        <w:ind w:left="2580" w:hanging="311"/>
        <w:spacing w:after="0" w:line="197" w:lineRule="auto"/>
        <w:tabs>
          <w:tab w:leader="none" w:pos="2580" w:val="left"/>
        </w:tabs>
        <w:numPr>
          <w:ilvl w:val="2"/>
          <w:numId w:val="125"/>
        </w:numPr>
        <w:rPr>
          <w:rFonts w:ascii="Arial" w:cs="Arial" w:eastAsia="Arial" w:hAnsi="Arial"/>
          <w:sz w:val="18"/>
          <w:szCs w:val="18"/>
          <w:color w:val="auto"/>
        </w:rPr>
      </w:pPr>
      <w:r>
        <w:rPr>
          <w:rFonts w:ascii="Arial" w:cs="Arial" w:eastAsia="Arial" w:hAnsi="Arial"/>
          <w:sz w:val="20"/>
          <w:szCs w:val="20"/>
          <w:color w:val="auto"/>
        </w:rPr>
        <w:t>Sick Duos should stay home, and so should sick Duo-dogs!</w:t>
      </w:r>
    </w:p>
    <w:p>
      <w:pPr>
        <w:ind w:left="2580" w:hanging="311"/>
        <w:spacing w:after="0" w:line="197" w:lineRule="auto"/>
        <w:tabs>
          <w:tab w:leader="none" w:pos="2580" w:val="left"/>
        </w:tabs>
        <w:numPr>
          <w:ilvl w:val="2"/>
          <w:numId w:val="125"/>
        </w:numPr>
        <w:rPr>
          <w:rFonts w:ascii="Arial" w:cs="Arial" w:eastAsia="Arial" w:hAnsi="Arial"/>
          <w:sz w:val="18"/>
          <w:szCs w:val="18"/>
          <w:color w:val="auto"/>
        </w:rPr>
      </w:pPr>
      <w:r>
        <w:rPr>
          <w:rFonts w:ascii="Arial" w:cs="Arial" w:eastAsia="Arial" w:hAnsi="Arial"/>
          <w:sz w:val="20"/>
          <w:szCs w:val="20"/>
          <w:color w:val="auto"/>
        </w:rPr>
        <w:t>Duo-dogs should be up to date on vaccinations.</w:t>
      </w:r>
    </w:p>
    <w:p>
      <w:pPr>
        <w:ind w:left="1940" w:hanging="318"/>
        <w:spacing w:after="0" w:line="197" w:lineRule="auto"/>
        <w:tabs>
          <w:tab w:leader="none" w:pos="1940" w:val="left"/>
        </w:tabs>
        <w:numPr>
          <w:ilvl w:val="1"/>
          <w:numId w:val="125"/>
        </w:numPr>
        <w:rPr>
          <w:rFonts w:ascii="Arial" w:cs="Arial" w:eastAsia="Arial" w:hAnsi="Arial"/>
          <w:sz w:val="18"/>
          <w:szCs w:val="18"/>
          <w:color w:val="auto"/>
        </w:rPr>
      </w:pPr>
      <w:r>
        <w:rPr>
          <w:rFonts w:ascii="Arial" w:cs="Arial" w:eastAsia="Arial" w:hAnsi="Arial"/>
          <w:sz w:val="20"/>
          <w:szCs w:val="20"/>
          <w:color w:val="auto"/>
        </w:rPr>
        <w:t>Are they comfortable being in an office environment around other dogs and lots of people?</w:t>
      </w:r>
    </w:p>
    <w:p>
      <w:pPr>
        <w:ind w:left="2600" w:right="760" w:hanging="330"/>
        <w:spacing w:after="0" w:line="197" w:lineRule="auto"/>
        <w:tabs>
          <w:tab w:leader="none" w:pos="2595" w:val="left"/>
        </w:tabs>
        <w:numPr>
          <w:ilvl w:val="2"/>
          <w:numId w:val="125"/>
        </w:numPr>
        <w:rPr>
          <w:rFonts w:ascii="Arial" w:cs="Arial" w:eastAsia="Arial" w:hAnsi="Arial"/>
          <w:sz w:val="18"/>
          <w:szCs w:val="18"/>
          <w:color w:val="auto"/>
        </w:rPr>
      </w:pPr>
      <w:r>
        <w:rPr>
          <w:rFonts w:ascii="Arial" w:cs="Arial" w:eastAsia="Arial" w:hAnsi="Arial"/>
          <w:sz w:val="20"/>
          <w:szCs w:val="20"/>
          <w:color w:val="auto"/>
        </w:rPr>
        <w:t>Unsure if your dog will be comfortable at Duolingo? Try bringing them to the office during evenings/weekends first!</w:t>
      </w:r>
    </w:p>
    <w:p>
      <w:pPr>
        <w:ind w:left="2600" w:right="660" w:hanging="330"/>
        <w:spacing w:after="0" w:line="197" w:lineRule="auto"/>
        <w:tabs>
          <w:tab w:leader="none" w:pos="2595" w:val="left"/>
        </w:tabs>
        <w:numPr>
          <w:ilvl w:val="2"/>
          <w:numId w:val="125"/>
        </w:numPr>
        <w:rPr>
          <w:rFonts w:ascii="Arial" w:cs="Arial" w:eastAsia="Arial" w:hAnsi="Arial"/>
          <w:sz w:val="18"/>
          <w:szCs w:val="18"/>
          <w:color w:val="auto"/>
        </w:rPr>
      </w:pPr>
      <w:r>
        <w:rPr>
          <w:rFonts w:ascii="Arial" w:cs="Arial" w:eastAsia="Arial" w:hAnsi="Arial"/>
          <w:sz w:val="20"/>
          <w:szCs w:val="20"/>
          <w:color w:val="auto"/>
        </w:rPr>
        <w:t>In Pittsburgh, coordinate with other dog-owners when you bring your dog to the office using #office-dogs-pgh. We’d like to keep it to a max of 10 dogs per day.</w:t>
      </w:r>
    </w:p>
    <w:p>
      <w:pPr>
        <w:ind w:left="1300" w:hanging="327"/>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20"/>
          <w:szCs w:val="20"/>
          <w:b w:val="1"/>
          <w:bCs w:val="1"/>
          <w:color w:val="auto"/>
        </w:rPr>
        <w:t>Be considerate to those sitting near your Duo-dog</w:t>
      </w:r>
    </w:p>
    <w:p>
      <w:pPr>
        <w:sectPr>
          <w:pgSz w:w="11900" w:h="16838" w:orient="portrait"/>
          <w:cols w:equalWidth="0" w:num="1">
            <w:col w:w="10580"/>
          </w:cols>
          <w:pgMar w:left="740" w:top="1440" w:right="579" w:bottom="1440" w:gutter="0" w:footer="0" w:header="0"/>
        </w:sectPr>
      </w:pPr>
    </w:p>
    <w:bookmarkStart w:id="162" w:name="page163"/>
    <w:bookmarkEnd w:id="162"/>
    <w:p>
      <w:pPr>
        <w:spacing w:after="0" w:line="195" w:lineRule="exact"/>
        <w:rPr>
          <w:sz w:val="20"/>
          <w:szCs w:val="20"/>
          <w:color w:val="auto"/>
        </w:rPr>
      </w:pPr>
    </w:p>
    <w:p>
      <w:pPr>
        <w:jc w:val="both"/>
        <w:ind w:left="1940" w:right="260" w:hanging="318"/>
        <w:spacing w:after="0" w:line="207" w:lineRule="auto"/>
        <w:tabs>
          <w:tab w:leader="none" w:pos="1935" w:val="left"/>
        </w:tabs>
        <w:numPr>
          <w:ilvl w:val="1"/>
          <w:numId w:val="126"/>
        </w:numPr>
        <w:rPr>
          <w:rFonts w:ascii="Arial" w:cs="Arial" w:eastAsia="Arial" w:hAnsi="Arial"/>
          <w:sz w:val="18"/>
          <w:szCs w:val="18"/>
          <w:color w:val="auto"/>
        </w:rPr>
      </w:pPr>
      <w:r>
        <w:rPr>
          <w:rFonts w:ascii="Arial" w:cs="Arial" w:eastAsia="Arial" w:hAnsi="Arial"/>
          <w:sz w:val="20"/>
          <w:szCs w:val="20"/>
          <w:color w:val="auto"/>
        </w:rPr>
        <w:t>Ask those sitting near you if they have dog allergies! If someone who sits near you has dog allergies, please consider bringing your dog in on a day when that person is working from home and/or sit somewhere else for the day.</w:t>
      </w:r>
    </w:p>
    <w:p>
      <w:pPr>
        <w:spacing w:after="0" w:line="1" w:lineRule="exact"/>
        <w:rPr>
          <w:rFonts w:ascii="Arial" w:cs="Arial" w:eastAsia="Arial" w:hAnsi="Arial"/>
          <w:sz w:val="18"/>
          <w:szCs w:val="18"/>
          <w:color w:val="auto"/>
        </w:rPr>
      </w:pPr>
    </w:p>
    <w:p>
      <w:pPr>
        <w:ind w:left="1940" w:hanging="319"/>
        <w:spacing w:after="0" w:line="211" w:lineRule="auto"/>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Be sensitive that some Duos are afraid of dogs (even little pups).</w:t>
      </w:r>
    </w:p>
    <w:p>
      <w:pPr>
        <w:ind w:left="1940" w:hanging="319"/>
        <w:spacing w:after="0" w:line="197" w:lineRule="auto"/>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Give those around you a heads up beforehand so everyone can plan accordingly.</w:t>
      </w:r>
    </w:p>
    <w:p>
      <w:pPr>
        <w:ind w:left="1940" w:hanging="318"/>
        <w:spacing w:after="0" w:line="204" w:lineRule="auto"/>
        <w:tabs>
          <w:tab w:leader="none" w:pos="1935" w:val="left"/>
        </w:tabs>
        <w:numPr>
          <w:ilvl w:val="1"/>
          <w:numId w:val="126"/>
        </w:numPr>
        <w:rPr>
          <w:rFonts w:ascii="Arial" w:cs="Arial" w:eastAsia="Arial" w:hAnsi="Arial"/>
          <w:sz w:val="18"/>
          <w:szCs w:val="18"/>
          <w:color w:val="auto"/>
        </w:rPr>
      </w:pPr>
      <w:r>
        <w:rPr>
          <w:rFonts w:ascii="Arial" w:cs="Arial" w:eastAsia="Arial" w:hAnsi="Arial"/>
          <w:sz w:val="20"/>
          <w:szCs w:val="20"/>
          <w:color w:val="auto"/>
        </w:rPr>
        <w:t>All dogs must be leashed and supervised at all times in the common areas. Do not let your dog wander unattended.</w:t>
      </w:r>
    </w:p>
    <w:p>
      <w:pPr>
        <w:ind w:left="1940" w:hanging="318"/>
        <w:spacing w:after="0" w:line="211" w:lineRule="auto"/>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You are encouraged to sit in a breakout space with your dog to diminish distraction if necessary.</w:t>
      </w:r>
    </w:p>
    <w:p>
      <w:pPr>
        <w:ind w:left="1940" w:hanging="319"/>
        <w:spacing w:after="0" w:line="211" w:lineRule="auto"/>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Is it appropriate to bring your dog to the office daily?</w:t>
      </w:r>
    </w:p>
    <w:p>
      <w:pPr>
        <w:ind w:left="2600" w:right="20" w:hanging="330"/>
        <w:spacing w:after="0" w:line="197" w:lineRule="auto"/>
        <w:tabs>
          <w:tab w:leader="none" w:pos="2595" w:val="left"/>
        </w:tabs>
        <w:numPr>
          <w:ilvl w:val="2"/>
          <w:numId w:val="126"/>
        </w:numPr>
        <w:rPr>
          <w:rFonts w:ascii="Arial" w:cs="Arial" w:eastAsia="Arial" w:hAnsi="Arial"/>
          <w:sz w:val="18"/>
          <w:szCs w:val="18"/>
          <w:color w:val="auto"/>
        </w:rPr>
      </w:pPr>
      <w:r>
        <w:rPr>
          <w:rFonts w:ascii="Arial" w:cs="Arial" w:eastAsia="Arial" w:hAnsi="Arial"/>
          <w:sz w:val="20"/>
          <w:szCs w:val="20"/>
          <w:color w:val="auto"/>
        </w:rPr>
        <w:t>Ensure that you’re coordinating with other dog owners on a daily basis in the #office-dogs-pgh Slack channel</w:t>
      </w:r>
    </w:p>
    <w:p>
      <w:pPr>
        <w:ind w:left="2600" w:right="100" w:hanging="330"/>
        <w:spacing w:after="0" w:line="204" w:lineRule="auto"/>
        <w:tabs>
          <w:tab w:leader="none" w:pos="2595" w:val="left"/>
        </w:tabs>
        <w:numPr>
          <w:ilvl w:val="2"/>
          <w:numId w:val="126"/>
        </w:numPr>
        <w:rPr>
          <w:rFonts w:ascii="Arial" w:cs="Arial" w:eastAsia="Arial" w:hAnsi="Arial"/>
          <w:sz w:val="18"/>
          <w:szCs w:val="18"/>
          <w:color w:val="auto"/>
        </w:rPr>
      </w:pPr>
      <w:r>
        <w:rPr>
          <w:rFonts w:ascii="Arial" w:cs="Arial" w:eastAsia="Arial" w:hAnsi="Arial"/>
          <w:sz w:val="20"/>
          <w:szCs w:val="20"/>
          <w:color w:val="auto"/>
        </w:rPr>
        <w:t>Ensure that you have confirmed with those who sit around you that your dog is not a distraction and/or disruptive in any other way.</w:t>
      </w:r>
    </w:p>
    <w:p>
      <w:pPr>
        <w:ind w:left="1300" w:hanging="327"/>
        <w:spacing w:after="0" w:line="211"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20"/>
          <w:szCs w:val="20"/>
          <w:b w:val="1"/>
          <w:bCs w:val="1"/>
          <w:color w:val="auto"/>
        </w:rPr>
        <w:t>Non-Duolingo employees should not bring their dogs to the office</w:t>
      </w:r>
    </w:p>
    <w:p>
      <w:pPr>
        <w:ind w:left="1940" w:right="80" w:hanging="318"/>
        <w:spacing w:after="0" w:line="204" w:lineRule="auto"/>
        <w:tabs>
          <w:tab w:leader="none" w:pos="1935" w:val="left"/>
        </w:tabs>
        <w:numPr>
          <w:ilvl w:val="1"/>
          <w:numId w:val="126"/>
        </w:numPr>
        <w:rPr>
          <w:rFonts w:ascii="Arial" w:cs="Arial" w:eastAsia="Arial" w:hAnsi="Arial"/>
          <w:sz w:val="18"/>
          <w:szCs w:val="18"/>
          <w:color w:val="auto"/>
        </w:rPr>
      </w:pPr>
      <w:r>
        <w:rPr>
          <w:rFonts w:ascii="Arial" w:cs="Arial" w:eastAsia="Arial" w:hAnsi="Arial"/>
          <w:sz w:val="20"/>
          <w:szCs w:val="20"/>
          <w:color w:val="auto"/>
        </w:rPr>
        <w:t>We want to guarantee the health &amp; safety of our Duos &amp; Duo-dogs, so non-Duo- dogs should stay out of the office.</w:t>
      </w:r>
    </w:p>
    <w:p>
      <w:pPr>
        <w:ind w:left="1300" w:hanging="327"/>
        <w:spacing w:after="0" w:line="211"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20"/>
          <w:szCs w:val="20"/>
          <w:b w:val="1"/>
          <w:bCs w:val="1"/>
          <w:color w:val="auto"/>
        </w:rPr>
        <w:t>Duo-dogs should be housebroken</w:t>
      </w:r>
    </w:p>
    <w:p>
      <w:pPr>
        <w:ind w:left="1940" w:right="440" w:hanging="318"/>
        <w:spacing w:after="0" w:line="197" w:lineRule="auto"/>
        <w:tabs>
          <w:tab w:leader="none" w:pos="1935" w:val="left"/>
        </w:tabs>
        <w:numPr>
          <w:ilvl w:val="1"/>
          <w:numId w:val="126"/>
        </w:numPr>
        <w:rPr>
          <w:rFonts w:ascii="Arial" w:cs="Arial" w:eastAsia="Arial" w:hAnsi="Arial"/>
          <w:sz w:val="18"/>
          <w:szCs w:val="18"/>
          <w:color w:val="auto"/>
        </w:rPr>
      </w:pPr>
      <w:r>
        <w:rPr>
          <w:rFonts w:ascii="Arial" w:cs="Arial" w:eastAsia="Arial" w:hAnsi="Arial"/>
          <w:sz w:val="20"/>
          <w:szCs w:val="20"/>
          <w:color w:val="auto"/>
        </w:rPr>
        <w:t>Everyone has accidents, but if it's a recurring problem, or you are still house training your dog, please consider keeping them at home.</w:t>
      </w:r>
    </w:p>
    <w:p>
      <w:pPr>
        <w:ind w:left="1940" w:hanging="319"/>
        <w:spacing w:after="0" w:line="211" w:lineRule="auto"/>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 xml:space="preserve">If your dog has an accident, </w:t>
      </w:r>
      <w:r>
        <w:rPr>
          <w:rFonts w:ascii="Arial" w:cs="Arial" w:eastAsia="Arial" w:hAnsi="Arial"/>
          <w:sz w:val="20"/>
          <w:szCs w:val="20"/>
          <w:b w:val="1"/>
          <w:bCs w:val="1"/>
          <w:color w:val="auto"/>
        </w:rPr>
        <w:t>you</w:t>
      </w:r>
      <w:r>
        <w:rPr>
          <w:rFonts w:ascii="Arial" w:cs="Arial" w:eastAsia="Arial" w:hAnsi="Arial"/>
          <w:sz w:val="20"/>
          <w:szCs w:val="20"/>
          <w:color w:val="auto"/>
        </w:rPr>
        <w:t xml:space="preserve"> are responsible for cleaning it up.</w:t>
      </w:r>
    </w:p>
    <w:p>
      <w:pPr>
        <w:ind w:left="1300" w:hanging="327"/>
        <w:spacing w:after="0" w:line="211"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20"/>
          <w:szCs w:val="20"/>
          <w:b w:val="1"/>
          <w:bCs w:val="1"/>
          <w:color w:val="auto"/>
        </w:rPr>
        <w:t>Duo-dogs must stay out of sensitive areas of the office</w:t>
      </w:r>
    </w:p>
    <w:p>
      <w:pPr>
        <w:ind w:left="1940" w:right="820" w:hanging="318"/>
        <w:spacing w:after="0" w:line="204" w:lineRule="auto"/>
        <w:tabs>
          <w:tab w:leader="none" w:pos="1935" w:val="left"/>
        </w:tabs>
        <w:numPr>
          <w:ilvl w:val="1"/>
          <w:numId w:val="126"/>
        </w:numPr>
        <w:rPr>
          <w:rFonts w:ascii="Arial" w:cs="Arial" w:eastAsia="Arial" w:hAnsi="Arial"/>
          <w:sz w:val="18"/>
          <w:szCs w:val="18"/>
          <w:color w:val="auto"/>
        </w:rPr>
      </w:pPr>
      <w:r>
        <w:rPr>
          <w:rFonts w:ascii="Arial" w:cs="Arial" w:eastAsia="Arial" w:hAnsi="Arial"/>
          <w:sz w:val="20"/>
          <w:szCs w:val="20"/>
          <w:color w:val="auto"/>
        </w:rPr>
        <w:t>Specifically, the commercial kitchen and construction space. This is for the safety of our Duo-dogs and the kitchen staff!</w:t>
      </w:r>
    </w:p>
    <w:p>
      <w:pPr>
        <w:ind w:left="1940" w:hanging="319"/>
        <w:spacing w:after="0" w:line="211" w:lineRule="auto"/>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In Pittsburgh, do not bring dogs to the roof.</w:t>
      </w:r>
    </w:p>
    <w:p>
      <w:pPr>
        <w:ind w:left="1940" w:hanging="319"/>
        <w:spacing w:after="0"/>
        <w:tabs>
          <w:tab w:leader="none" w:pos="1940" w:val="left"/>
        </w:tabs>
        <w:numPr>
          <w:ilvl w:val="1"/>
          <w:numId w:val="126"/>
        </w:numPr>
        <w:rPr>
          <w:rFonts w:ascii="Arial" w:cs="Arial" w:eastAsia="Arial" w:hAnsi="Arial"/>
          <w:sz w:val="18"/>
          <w:szCs w:val="18"/>
          <w:color w:val="auto"/>
        </w:rPr>
      </w:pPr>
      <w:r>
        <w:rPr>
          <w:rFonts w:ascii="Arial" w:cs="Arial" w:eastAsia="Arial" w:hAnsi="Arial"/>
          <w:sz w:val="20"/>
          <w:szCs w:val="20"/>
          <w:color w:val="auto"/>
        </w:rPr>
        <w:t>Keep dogs off of the furniture.</w:t>
      </w:r>
    </w:p>
    <w:p>
      <w:pPr>
        <w:spacing w:after="0" w:line="200" w:lineRule="exact"/>
        <w:rPr>
          <w:sz w:val="20"/>
          <w:szCs w:val="20"/>
          <w:color w:val="auto"/>
        </w:rPr>
      </w:pP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Landlord reserves the right to terminate the rights granted in this Exhibit C-1 if Tenant repeatedly fails to enforce the provisions set forth in the Lease and Exhibit C-1, made in Landlord’s good faith determination, after written notice and opportunity to cure,.</w:t>
      </w:r>
    </w:p>
    <w:p>
      <w:pPr>
        <w:sectPr>
          <w:pgSz w:w="11900" w:h="16838" w:orient="portrait"/>
          <w:cols w:equalWidth="0" w:num="1">
            <w:col w:w="10580"/>
          </w:cols>
          <w:pgMar w:left="740" w:top="1440" w:right="579" w:bottom="1440" w:gutter="0" w:footer="0" w:header="0"/>
        </w:sectPr>
      </w:pPr>
    </w:p>
    <w:bookmarkStart w:id="163" w:name="page164"/>
    <w:bookmarkEnd w:id="163"/>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EXHIBIT C-2</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Food Preparation Rules and Regulations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Notwithstanding anything to the contrary in the Lease or the Rules and Regulations and to extent permitted by Applicable Laws, Tenant may use a portion of the Demised Premises for the operation of one commercial kitchen and dining area (collectively, the “Kitchen”), for the exclusive use of Tenant’s employees, visitors, and invitees. Tenant shall not sell any food or beverages in or from the Demised Premises at any time and/or serve any food and beverages in or from the Demised Premises at any time to other tenants or occupants of the Office Unit or Building (or their employees) or to members of the general public. No cooking odors shall be emitted from the Demised Premises other than through ventilation equipment and systems installed therein to service the Kitchen in accordance with the Lease and this Exhibit C-2.</w:t>
      </w:r>
    </w:p>
    <w:p>
      <w:pPr>
        <w:spacing w:after="0" w:line="18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If Tenant elects to exercise its right to operate the Kitchen, Tenant shall give Landlord prior notice thereof and shall submit to Landlord (i) construction ready plans and specifications for the Kitchen (including, any cooking, ventilation, air conditioning, grease traps, kitchen and other equipment in or for the Demised Premises with respect to the Kitchen) for Landlord’s review and approval (such submission, review and approval shall be governed by Section 10 of the Lease, however, Landlord’s period to review such plans shall be extended to a period of thirty (30) days), and (ii) all necessary consents, approvals, permits or registrations, required for the construction and operation of the Kitchen in accordance with applicable laws (including, without limitation, any necessary approvals from the applicable health and/or fire departments, permits required in connection with any venting or other air-removal/circulation system, and any required fire-suppression systems). All such Alterations (or Improvements) shall be approved by Landlord and installed and constructed at Tenant’s sole cost and expense in accordance with Section 10 of this Lease. The Kitchen and the Kitchen facilities therein shall be maintained and operated by Tenant, at Tenant’s sole cost and expense: (a) in first-class order, condition, and repair; (b) consistent with the character of the Office Unit as a first-class office building; and (c) in compliance with all applicable laws, such reasonable rules and regulations as may be adopted by Landlord from time to time, and the other provisions of the Lease. Tenant shall pay for all cleaning costs incurred by Landlord in cleaning any affected portions of the Building, Office Unit, or Demised Premises resulting from Tenant’s operation of the Kitchen, including the disposal of food and cooking wastes. In addition, Tenant shall pay for all actual and reasonable out-of-pocket increased costs incurred by Landlord with respect to the management, operation, maintenance, and repair of the Office Unit resulting from Tenant’s operation of the Kitchen, within thirty</w:t>
      </w:r>
    </w:p>
    <w:p>
      <w:pPr>
        <w:jc w:val="both"/>
        <w:ind w:firstLine="2"/>
        <w:spacing w:after="0" w:line="213" w:lineRule="auto"/>
        <w:tabs>
          <w:tab w:leader="none" w:pos="87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days of receiving an invoice therefor. Tenant shall have the right to remove all equipment and alterations relating to the Kitchen at the end of the Term at Tenant’s sole cost and expense, provided that Tenant shall make any repairs resulting from such removal.</w:t>
      </w:r>
    </w:p>
    <w:p>
      <w:pPr>
        <w:spacing w:after="0" w:line="182"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Tenant shall cause to be provided pest eradication and control services, as required by Landlord in its reasonable discretion, with respect to the Kitchen. All trash generated from Tenant's Kitchen shall be stored in covered containers to prevent the emission or emanation of odors from the Kitchen, shall be sealed in double plastic bags (or otherwise sealed in a manner prescribed by or reasonably acceptable to Landlord), and shall be deposited by Tenant daily (or more often if required by Landlord in its reasonable discretion) in the area of the Office Unit or Building reasonably designated by Landlord from time to time. If Landlord reasonably determines that additional trash removal from the Office Unit shall be required as a result of Tenant's trash generated from the Kitchen, due to the fact that such trash is materially in excess of that generated by normal office use, then Tenant shall pay to Landlord, within thirty (30) days after billing and as Additional Rent, the actual and reasonable out-of-pocket cost of any such additional trash removal from the Office Unit (including, without limitation, the cost of the acquisition, operation and maintenance of any</w:t>
      </w:r>
    </w:p>
    <w:p>
      <w:pPr>
        <w:sectPr>
          <w:pgSz w:w="11900" w:h="16838" w:orient="portrait"/>
          <w:cols w:equalWidth="0" w:num="1">
            <w:col w:w="10580"/>
          </w:cols>
          <w:pgMar w:left="740" w:top="1440" w:right="579" w:bottom="1440" w:gutter="0" w:footer="0" w:header="0"/>
        </w:sectPr>
      </w:pPr>
    </w:p>
    <w:bookmarkStart w:id="164" w:name="page165"/>
    <w:bookmarkEnd w:id="164"/>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equipment or other property which is acquired to facilitate such additional trash removal), all as reasonably determined by Landlord.</w:t>
      </w:r>
    </w:p>
    <w:p>
      <w:pPr>
        <w:spacing w:after="0" w:line="22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If Tenant fails to comply with the requirements set forth in this Exhibit C-2, without limitation of Landlord’s other remedies, and fails to cure the same within thirty (30) days after written notice from Landlord, Landlord shall have the right to terminate Tenant’s rights under this Exhibit C-2. The rights contained in this Exhibit C-2 shall be personal to Tenant and may only be exercised by Tenant (and not any other assignee, sublessee, or other transferee of original Tenant’s interest in this Lease, except for a Permitted Assignment or Permitted Sublease pursuant to Paragraph 13 of the Lease).</w:t>
      </w:r>
    </w:p>
    <w:p>
      <w:pPr>
        <w:spacing w:after="0" w:line="18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Tenant may retain a third party to operate the Kitchen (a “Third-Party Operator”). Any such Third- Party Operator must comply with all of the terms, covenants, conditions, and obligations on Tenant’s part to be observed and performed under this Lease and this Exhibit C-2 with respect to the use or occupancy of the Demised Premises, and any violation of any provision of this Lease by the Third-Party Operator shall be deemed to be a default by Tenant under such provision. Any such Third-Party Operator shall obtain such insurance as Landlord may reasonably require (consistent with the insurance requirements of landlords of comparable buildings for operators of similar commercial kitchens) and each of Tenant and Third-Party Operator shall indemnify, defend, and hold Landlord harmless in accordance with Tenant’s indemnity obligations set forth in Section 7.5 of the Lease with respect to the operation of the Kitchen. Third Party Operator shall have no recourse against Landlord whatsoever on account of any failure by Landlord to perform any of its obligations under this Lease or on account of any other matter. All notices required of Landlord under this Lease shall be forwarded only to Tenant in accordance with the terms of this Lease and in no event shall Landlord be required to send any notices to any Third-Party Operator. In no event shall any use of any portion of the Demised Premises by the Third-Party Operator release or relieve Tenant from any of its obligations under this Lease. The Third-Party Operator shall be a Tenant party, and Tenant shall be fully and primarily liable for all acts and omissions of such Third-Party Operator as fully and completely as if such Third-Party Operator was an employee of Tenant. In no event shall the occupancy of any portion of the Demised Premises by any Third-Party Operator be deemed to create a landlord/tenant relationship between Landlord and such Third-Party Operator or be deemed to vest in Third-Party Operator any right or interest in the Demised Premises or this Lease, and, in all instances, Tenant shall be considered the sole tenant under the Lease notwithstanding the occupancy of any portion of the Premises by any Third-Party Operator. Upon request from Landlord, Tenant shall provide to Landlord a copy of any agreement between Tenant and the Third-Party Operator and the insurance required to be maintained by Third-Party Operator prior to the Third-Party Operator being allowed access to the Demised Premises by Tenant. All such insurance shall name Landlord as an additional insured. No disputes between Tenant and the Third-Party Operator shall in any way affect the obligations of Tenant hereunder.</w:t>
      </w:r>
    </w:p>
    <w:p>
      <w:pPr>
        <w:sectPr>
          <w:pgSz w:w="11900" w:h="16838" w:orient="portrait"/>
          <w:cols w:equalWidth="0" w:num="1">
            <w:col w:w="10580"/>
          </w:cols>
          <w:pgMar w:left="740" w:top="1440" w:right="579" w:bottom="1440" w:gutter="0" w:footer="0" w:header="0"/>
        </w:sectPr>
      </w:pPr>
    </w:p>
    <w:bookmarkStart w:id="165" w:name="page166"/>
    <w:bookmarkEnd w:id="165"/>
    <w:p>
      <w:pPr>
        <w:spacing w:after="0" w:line="330"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EXHIBIT D JANITORIAL SERVICES</w:t>
      </w:r>
    </w:p>
    <w:p>
      <w:pPr>
        <w:spacing w:after="0" w:line="94"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Lessor to provide janitorial service in a manner befitting a Class A Office facility. Janitorial services are provided five (5) times a week, Sunday night through Thursday night, excluding holidays.</w:t>
      </w:r>
    </w:p>
    <w:p>
      <w:pPr>
        <w:spacing w:after="0" w:line="190"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NIGHTLY</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Empty waste receptacles.</w:t>
      </w:r>
    </w:p>
    <w:p>
      <w:pPr>
        <w:spacing w:after="0" w:line="34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Vacuum high-traffic carpeted areas. Wash clean water fountains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and coolers.</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Sweep and remove spillage from corridors.</w:t>
      </w:r>
    </w:p>
    <w:p>
      <w:pPr>
        <w:spacing w:after="0" w:line="355" w:lineRule="exact"/>
        <w:rPr>
          <w:sz w:val="20"/>
          <w:szCs w:val="20"/>
          <w:color w:val="auto"/>
        </w:rPr>
      </w:pPr>
    </w:p>
    <w:p>
      <w:pPr>
        <w:ind w:left="640" w:right="2680"/>
        <w:spacing w:after="0" w:line="473" w:lineRule="auto"/>
        <w:rPr>
          <w:sz w:val="20"/>
          <w:szCs w:val="20"/>
          <w:color w:val="auto"/>
        </w:rPr>
      </w:pPr>
      <w:r>
        <w:rPr>
          <w:rFonts w:ascii="Arial" w:cs="Arial" w:eastAsia="Arial" w:hAnsi="Arial"/>
          <w:sz w:val="22"/>
          <w:szCs w:val="22"/>
          <w:color w:val="auto"/>
        </w:rPr>
        <w:t>Dry mop with treated cloth on hard surface high traffic areas. Conference room floors swept &amp; vacuumed.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All table tops in common areas wiped down. Conference room white boards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cleaned upon request. Wipe down pantry area.</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Ensure lights are shut off.</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Lavatories - nightly</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Wash, dry and sanitize bowls, seats, urinals, washbasins and mirrors.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Empty paper towel and sanitary napkin disposal receptacles and remove to a designated area.</w:t>
      </w:r>
    </w:p>
    <w:p>
      <w:pPr>
        <w:spacing w:after="0" w:line="35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Replenish toilet tissue, towels and soap in dispensers. Sweep floors.</w:t>
      </w:r>
    </w:p>
    <w:p>
      <w:pPr>
        <w:spacing w:after="0" w:line="97"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WEEKLY</w:t>
      </w:r>
    </w:p>
    <w:p>
      <w:pPr>
        <w:spacing w:after="0" w:line="365" w:lineRule="exact"/>
        <w:rPr>
          <w:sz w:val="20"/>
          <w:szCs w:val="20"/>
          <w:color w:val="auto"/>
        </w:rPr>
      </w:pPr>
    </w:p>
    <w:p>
      <w:pPr>
        <w:ind w:left="640" w:right="3260"/>
        <w:spacing w:after="0" w:line="405" w:lineRule="auto"/>
        <w:rPr>
          <w:sz w:val="20"/>
          <w:szCs w:val="20"/>
          <w:color w:val="auto"/>
        </w:rPr>
      </w:pPr>
      <w:r>
        <w:rPr>
          <w:rFonts w:ascii="Arial" w:cs="Arial" w:eastAsia="Arial" w:hAnsi="Arial"/>
          <w:sz w:val="22"/>
          <w:szCs w:val="22"/>
          <w:color w:val="auto"/>
        </w:rPr>
        <w:t>Clean interior surfaces of elevator cabs and vacuum carpet. Sweep with treated cloths composition tile flooring.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Damp wipe glass top desks and tables.</w:t>
      </w:r>
    </w:p>
    <w:p>
      <w:pPr>
        <w:sectPr>
          <w:pgSz w:w="11900" w:h="16838" w:orient="portrait"/>
          <w:cols w:equalWidth="0" w:num="1">
            <w:col w:w="10740"/>
          </w:cols>
          <w:pgMar w:left="740" w:top="1440" w:right="419" w:bottom="1440" w:gutter="0" w:footer="0" w:header="0"/>
        </w:sectPr>
      </w:pPr>
    </w:p>
    <w:bookmarkStart w:id="166" w:name="page167"/>
    <w:bookmarkEnd w:id="166"/>
    <w:p>
      <w:pPr>
        <w:spacing w:after="0" w:line="34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Spot clean carpeting as stains occur.</w:t>
      </w:r>
    </w:p>
    <w:p>
      <w:pPr>
        <w:spacing w:after="0" w:line="35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fingermarks from doors and wall surfaces. Clean entrance doors and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directory glass.</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All ash urns and/or receptacles shall be emptied and thoroughly washed if necessary.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Lavatories – weekly</w:t>
      </w: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Wash and dry metal work. Mop and sanitize floors.</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Wash sanitary disposal containers.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MONTHLY</w:t>
      </w:r>
    </w:p>
    <w:p>
      <w:pPr>
        <w:spacing w:after="0" w:line="289"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Dust areas within hand-high reach, this includes windowsills, chairs, desks, tables, baseboards, file cabinets, pictures and conference room furniture.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Vacuum carpeted stairs.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Sweep stairways.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Spray buff main lobby floors. Wash lavatory booth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partitions. Spray buff hard surface floors.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Wash partition glass that is not obstructed, conference rooms and stairwells to be included. Wet mop composition tile</w:t>
      </w:r>
    </w:p>
    <w:p>
      <w:pPr>
        <w:spacing w:after="0" w:line="252" w:lineRule="exact"/>
        <w:rPr>
          <w:sz w:val="20"/>
          <w:szCs w:val="20"/>
          <w:color w:val="auto"/>
        </w:rPr>
      </w:pPr>
    </w:p>
    <w:p>
      <w:pPr>
        <w:jc w:val="right"/>
        <w:ind w:right="8900"/>
        <w:spacing w:after="0"/>
        <w:rPr>
          <w:sz w:val="20"/>
          <w:szCs w:val="20"/>
          <w:color w:val="auto"/>
        </w:rPr>
      </w:pPr>
      <w:r>
        <w:rPr>
          <w:rFonts w:ascii="Arial" w:cs="Arial" w:eastAsia="Arial" w:hAnsi="Arial"/>
          <w:sz w:val="20"/>
          <w:szCs w:val="20"/>
          <w:color w:val="auto"/>
        </w:rPr>
        <w:t>flooring.</w:t>
      </w:r>
    </w:p>
    <w:p>
      <w:pPr>
        <w:spacing w:after="0" w:line="88" w:lineRule="exact"/>
        <w:rPr>
          <w:sz w:val="20"/>
          <w:szCs w:val="20"/>
          <w:color w:val="auto"/>
        </w:rPr>
      </w:pPr>
    </w:p>
    <w:p>
      <w:pPr>
        <w:jc w:val="right"/>
        <w:ind w:right="8860"/>
        <w:spacing w:after="0"/>
        <w:rPr>
          <w:sz w:val="20"/>
          <w:szCs w:val="20"/>
          <w:color w:val="auto"/>
        </w:rPr>
      </w:pPr>
      <w:r>
        <w:rPr>
          <w:rFonts w:ascii="Arial" w:cs="Arial" w:eastAsia="Arial" w:hAnsi="Arial"/>
          <w:sz w:val="20"/>
          <w:szCs w:val="20"/>
          <w:b w:val="1"/>
          <w:bCs w:val="1"/>
          <w:u w:val="single" w:color="auto"/>
          <w:color w:val="auto"/>
        </w:rPr>
        <w:t>BI-ANNUALLY</w:t>
      </w: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High dust walls, ledges, pictures, files and sprinkler heads. Wash tile lavatory walls.</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Vacuum roll up shades.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QUARTERLY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Scrub and wax composition tile flooring.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ANNUALLY</w:t>
      </w:r>
    </w:p>
    <w:p>
      <w:pPr>
        <w:sectPr>
          <w:pgSz w:w="11900" w:h="16838" w:orient="portrait"/>
          <w:cols w:equalWidth="0" w:num="1">
            <w:col w:w="10240"/>
          </w:cols>
          <w:pgMar w:left="740" w:top="1440" w:right="919" w:bottom="1440" w:gutter="0" w:footer="0" w:header="0"/>
        </w:sectPr>
      </w:pPr>
    </w:p>
    <w:bookmarkStart w:id="167" w:name="page168"/>
    <w:bookmarkEnd w:id="167"/>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Sweep and dust fire tower stairways.</w:t>
      </w:r>
    </w:p>
    <w:p>
      <w:pPr>
        <w:spacing w:after="0" w:line="351" w:lineRule="exact"/>
        <w:rPr>
          <w:sz w:val="20"/>
          <w:szCs w:val="20"/>
          <w:color w:val="auto"/>
        </w:rPr>
      </w:pPr>
    </w:p>
    <w:p>
      <w:pPr>
        <w:ind w:right="2319"/>
        <w:spacing w:after="0" w:line="500" w:lineRule="auto"/>
        <w:rPr>
          <w:sz w:val="20"/>
          <w:szCs w:val="20"/>
          <w:color w:val="auto"/>
        </w:rPr>
      </w:pPr>
      <w:r>
        <w:rPr>
          <w:rFonts w:ascii="Arial" w:cs="Arial" w:eastAsia="Arial" w:hAnsi="Arial"/>
          <w:sz w:val="20"/>
          <w:szCs w:val="20"/>
          <w:color w:val="auto"/>
        </w:rPr>
        <w:t>Wash exterior windows, inside and outside surfaces. Clean building standard lighting fixtures to 12-foot height.</w:t>
      </w:r>
    </w:p>
    <w:p>
      <w:pPr>
        <w:sectPr>
          <w:pgSz w:w="11900" w:h="16838" w:orient="portrait"/>
          <w:cols w:equalWidth="0" w:num="1">
            <w:col w:w="9079"/>
          </w:cols>
          <w:pgMar w:left="1380" w:top="1440" w:right="1440"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20"/>
          <w:szCs w:val="20"/>
          <w:color w:val="auto"/>
        </w:rPr>
        <w:t>EXHIBIT 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Commencement Date Agreement</w:t>
      </w:r>
    </w:p>
    <w:p>
      <w:pPr>
        <w:spacing w:after="0" w:line="191"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COMMENCEMENT DATE AGREEMENT</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Commencement Date Agreement of the Lease (“Agreement”)</w:t>
      </w:r>
      <w:r>
        <w:rPr>
          <w:rFonts w:ascii="Arial" w:cs="Arial" w:eastAsia="Arial" w:hAnsi="Arial"/>
          <w:sz w:val="22"/>
          <w:szCs w:val="22"/>
          <w:color w:val="auto"/>
        </w:rPr>
        <w:t xml:space="preserve"> is made as of</w:t>
      </w:r>
    </w:p>
    <w:p>
      <w:pPr>
        <w:ind w:left="500"/>
        <w:spacing w:after="0" w:line="237" w:lineRule="auto"/>
        <w:rPr>
          <w:sz w:val="20"/>
          <w:szCs w:val="20"/>
          <w:color w:val="auto"/>
        </w:rPr>
      </w:pPr>
      <w:r>
        <w:rPr>
          <w:rFonts w:ascii="Arial" w:cs="Arial" w:eastAsia="Arial" w:hAnsi="Arial"/>
          <w:sz w:val="19"/>
          <w:szCs w:val="19"/>
          <w:color w:val="auto"/>
        </w:rPr>
        <w:t>, 202 by 5704 Penn Office, LLC (“Landlord”) with a mailing address c/o LG Realty Advisors, Inc., 535 Smithfield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-5715</wp:posOffset>
            </wp:positionV>
            <wp:extent cx="188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-5715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left="200"/>
        <w:spacing w:after="0"/>
        <w:tabs>
          <w:tab w:leader="none" w:pos="4420" w:val="left"/>
          <w:tab w:leader="none" w:pos="5060" w:val="left"/>
          <w:tab w:leader="none" w:pos="8420" w:val="left"/>
        </w:tabs>
        <w:rPr>
          <w:sz w:val="20"/>
          <w:szCs w:val="20"/>
          <w:color w:val="auto"/>
        </w:rPr>
      </w:pPr>
      <w:r>
        <w:rPr>
          <w:rFonts w:ascii="Arial" w:cs="Arial" w:eastAsia="Arial" w:hAnsi="Arial"/>
          <w:sz w:val="22"/>
          <w:szCs w:val="22"/>
          <w:color w:val="auto"/>
        </w:rPr>
        <w:t>Street, Suite 900, Pittsburgh, PA 15222, and</w:t>
      </w:r>
      <w:r>
        <w:rPr>
          <w:sz w:val="20"/>
          <w:szCs w:val="20"/>
          <w:color w:val="auto"/>
        </w:rPr>
        <w:tab/>
      </w:r>
      <w:r>
        <w:rPr>
          <w:rFonts w:ascii="Arial" w:cs="Arial" w:eastAsia="Arial" w:hAnsi="Arial"/>
          <w:sz w:val="22"/>
          <w:szCs w:val="22"/>
          <w:color w:val="auto"/>
        </w:rPr>
        <w:t>, a</w:t>
      </w:r>
      <w:r>
        <w:rPr>
          <w:sz w:val="20"/>
          <w:szCs w:val="20"/>
          <w:color w:val="auto"/>
        </w:rPr>
        <w:tab/>
      </w:r>
      <w:r>
        <w:rPr>
          <w:rFonts w:ascii="Arial" w:cs="Arial" w:eastAsia="Arial" w:hAnsi="Arial"/>
          <w:sz w:val="21"/>
          <w:szCs w:val="21"/>
          <w:color w:val="auto"/>
        </w:rPr>
        <w:t>(“Tenant”) with a mailing address of</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-29210</wp:posOffset>
            </wp:positionV>
            <wp:extent cx="678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78180" cy="88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-29210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Landlord and Tenant hereby agree to and acknowledge the following matters:</w:t>
      </w:r>
    </w:p>
    <w:p>
      <w:pPr>
        <w:spacing w:after="0" w:line="206" w:lineRule="exact"/>
        <w:rPr>
          <w:sz w:val="20"/>
          <w:szCs w:val="20"/>
          <w:color w:val="auto"/>
        </w:rPr>
      </w:pPr>
    </w:p>
    <w:p>
      <w:pPr>
        <w:jc w:val="both"/>
        <w:ind w:left="840" w:hanging="319"/>
        <w:spacing w:after="0"/>
        <w:tabs>
          <w:tab w:leader="none" w:pos="820" w:val="left"/>
        </w:tabs>
        <w:rPr>
          <w:sz w:val="20"/>
          <w:szCs w:val="20"/>
          <w:color w:val="auto"/>
        </w:rPr>
      </w:pPr>
      <w:r>
        <w:rPr>
          <w:rFonts w:ascii="Arial" w:cs="Arial" w:eastAsia="Arial" w:hAnsi="Arial"/>
          <w:sz w:val="22"/>
          <w:szCs w:val="22"/>
          <w:color w:val="auto"/>
        </w:rPr>
        <w:t>1.</w:t>
        <w:tab/>
        <w:t>Landlord and Tenant have entered into that certain Lease dated the day of</w:t>
      </w:r>
      <w:r>
        <w:rPr>
          <w:sz w:val="20"/>
          <w:szCs w:val="20"/>
          <w:color w:val="auto"/>
        </w:rPr>
        <w:t xml:space="preserve"> </w:t>
      </w:r>
      <w:r>
        <w:rPr>
          <w:rFonts w:ascii="Arial" w:cs="Arial" w:eastAsia="Arial" w:hAnsi="Arial"/>
          <w:sz w:val="22"/>
          <w:szCs w:val="22"/>
          <w:color w:val="auto"/>
        </w:rPr>
        <w:t>, 202_ (the “Lease”), for the lease of certain space within the Building located at 141 S. St. Clair Street, Pittsburgh, PA 15206, as more particularly described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4633595</wp:posOffset>
            </wp:positionH>
            <wp:positionV relativeFrom="paragraph">
              <wp:posOffset>-178435</wp:posOffset>
            </wp:positionV>
            <wp:extent cx="1625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379" w:lineRule="exact"/>
        <w:rPr>
          <w:sz w:val="20"/>
          <w:szCs w:val="20"/>
          <w:color w:val="auto"/>
        </w:rPr>
      </w:pPr>
    </w:p>
    <w:p>
      <w:pPr>
        <w:ind w:left="840" w:hanging="315"/>
        <w:spacing w:after="0" w:line="232" w:lineRule="auto"/>
        <w:tabs>
          <w:tab w:leader="none" w:pos="83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All terms and definitions contained in the Lease shall have the same meaning and effect when used in this Agreement, except where otherwise expressly defined in herein.</w:t>
      </w:r>
    </w:p>
    <w:p>
      <w:pPr>
        <w:spacing w:after="0" w:line="157"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240" w:type="dxa"/>
            <w:vAlign w:val="bottom"/>
          </w:tcPr>
          <w:p>
            <w:pPr>
              <w:jc w:val="right"/>
              <w:spacing w:after="0"/>
              <w:rPr>
                <w:sz w:val="20"/>
                <w:szCs w:val="20"/>
                <w:color w:val="auto"/>
              </w:rPr>
            </w:pPr>
            <w:r>
              <w:rPr>
                <w:rFonts w:ascii="Arial" w:cs="Arial" w:eastAsia="Arial" w:hAnsi="Arial"/>
                <w:sz w:val="22"/>
                <w:szCs w:val="22"/>
                <w:color w:val="auto"/>
                <w:w w:val="76"/>
              </w:rPr>
              <w:t>3.</w:t>
            </w:r>
          </w:p>
        </w:tc>
        <w:tc>
          <w:tcPr>
            <w:tcW w:w="4020" w:type="dxa"/>
            <w:vAlign w:val="bottom"/>
            <w:gridSpan w:val="2"/>
          </w:tcPr>
          <w:p>
            <w:pPr>
              <w:ind w:left="80"/>
              <w:spacing w:after="0"/>
              <w:rPr>
                <w:sz w:val="20"/>
                <w:szCs w:val="20"/>
                <w:color w:val="auto"/>
              </w:rPr>
            </w:pPr>
            <w:r>
              <w:rPr>
                <w:rFonts w:ascii="Arial" w:cs="Arial" w:eastAsia="Arial" w:hAnsi="Arial"/>
                <w:sz w:val="22"/>
                <w:szCs w:val="22"/>
                <w:color w:val="auto"/>
                <w:w w:val="88"/>
              </w:rPr>
              <w:t>The Commencement Date under the Lease is</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 202 .</w:t>
            </w:r>
          </w:p>
        </w:tc>
      </w:tr>
      <w:tr>
        <w:trPr>
          <w:trHeight w:val="20"/>
        </w:trPr>
        <w:tc>
          <w:tcPr>
            <w:tcW w:w="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240" w:type="dxa"/>
            <w:vAlign w:val="bottom"/>
          </w:tcPr>
          <w:p>
            <w:pPr>
              <w:jc w:val="right"/>
              <w:spacing w:after="0"/>
              <w:rPr>
                <w:sz w:val="20"/>
                <w:szCs w:val="20"/>
                <w:color w:val="auto"/>
              </w:rPr>
            </w:pPr>
            <w:r>
              <w:rPr>
                <w:rFonts w:ascii="Arial" w:cs="Arial" w:eastAsia="Arial" w:hAnsi="Arial"/>
                <w:sz w:val="22"/>
                <w:szCs w:val="22"/>
                <w:color w:val="auto"/>
                <w:w w:val="76"/>
              </w:rPr>
              <w:t>4.</w:t>
            </w:r>
          </w:p>
        </w:tc>
        <w:tc>
          <w:tcPr>
            <w:tcW w:w="3520" w:type="dxa"/>
            <w:vAlign w:val="bottom"/>
          </w:tcPr>
          <w:p>
            <w:pPr>
              <w:ind w:left="80"/>
              <w:spacing w:after="0"/>
              <w:rPr>
                <w:sz w:val="20"/>
                <w:szCs w:val="20"/>
                <w:color w:val="auto"/>
              </w:rPr>
            </w:pPr>
            <w:r>
              <w:rPr>
                <w:rFonts w:ascii="Arial" w:cs="Arial" w:eastAsia="Arial" w:hAnsi="Arial"/>
                <w:sz w:val="22"/>
                <w:szCs w:val="22"/>
                <w:color w:val="auto"/>
                <w:w w:val="89"/>
              </w:rPr>
              <w:t>The Expiration Date under the Lease is</w:t>
            </w:r>
          </w:p>
        </w:tc>
        <w:tc>
          <w:tcPr>
            <w:tcW w:w="500" w:type="dxa"/>
            <w:vAlign w:val="bottom"/>
            <w:tcBorders>
              <w:bottom w:val="single" w:sz="8" w:color="auto"/>
            </w:tcBorders>
          </w:tcPr>
          <w:p>
            <w:pPr>
              <w:spacing w:after="0"/>
              <w:rPr>
                <w:sz w:val="24"/>
                <w:szCs w:val="2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22"/>
                <w:szCs w:val="22"/>
                <w:color w:val="auto"/>
                <w:w w:val="84"/>
              </w:rPr>
              <w:t>, 202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-307975</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-7620</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5" w:lineRule="exact"/>
        <w:rPr>
          <w:sz w:val="20"/>
          <w:szCs w:val="20"/>
          <w:color w:val="auto"/>
        </w:rPr>
      </w:pPr>
    </w:p>
    <w:p>
      <w:pPr>
        <w:jc w:val="both"/>
        <w:ind w:left="840" w:hanging="315"/>
        <w:spacing w:after="0" w:line="223" w:lineRule="auto"/>
        <w:tabs>
          <w:tab w:leader="none" w:pos="83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Tenant hereby certifies that: (i) it is in possession and occupancy of the Premises (ii) the Lease is in full force and effect (iii) all of the Landlord’s Work has been Substantially Completed, and (iv) there are no offsets or defenses against the Landlord regarding the enforcement of this Agreement.</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IN WITNESS WHEREOF, Landlord and Tenant have executed the Agreement as of the day and year first written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gridSpan w:val="7"/>
          </w:tcPr>
          <w:p>
            <w:pPr>
              <w:ind w:left="200"/>
              <w:spacing w:after="0"/>
              <w:rPr>
                <w:sz w:val="20"/>
                <w:szCs w:val="20"/>
                <w:color w:val="auto"/>
              </w:rPr>
            </w:pPr>
            <w:r>
              <w:rPr>
                <w:rFonts w:ascii="Arial" w:cs="Arial" w:eastAsia="Arial" w:hAnsi="Arial"/>
                <w:sz w:val="22"/>
                <w:szCs w:val="22"/>
                <w:color w:val="auto"/>
              </w:rPr>
              <w:t>above.</w:t>
            </w:r>
          </w:p>
        </w:tc>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09"/>
        </w:trPr>
        <w:tc>
          <w:tcPr>
            <w:tcW w:w="3360" w:type="dxa"/>
            <w:vAlign w:val="bottom"/>
            <w:gridSpan w:val="7"/>
          </w:tcPr>
          <w:p>
            <w:pPr>
              <w:spacing w:after="0"/>
              <w:rPr>
                <w:sz w:val="20"/>
                <w:szCs w:val="20"/>
                <w:color w:val="auto"/>
              </w:rPr>
            </w:pPr>
            <w:r>
              <w:rPr>
                <w:rFonts w:ascii="Arial" w:cs="Arial" w:eastAsia="Arial" w:hAnsi="Arial"/>
                <w:sz w:val="22"/>
                <w:szCs w:val="22"/>
                <w:color w:val="auto"/>
              </w:rPr>
              <w:t>LANDLORD:</w:t>
            </w:r>
          </w:p>
        </w:tc>
        <w:tc>
          <w:tcPr>
            <w:tcW w:w="3020" w:type="dxa"/>
            <w:vAlign w:val="bottom"/>
            <w:gridSpan w:val="7"/>
          </w:tcPr>
          <w:p>
            <w:pPr>
              <w:ind w:left="2100"/>
              <w:spacing w:after="0"/>
              <w:rPr>
                <w:sz w:val="20"/>
                <w:szCs w:val="20"/>
                <w:color w:val="auto"/>
              </w:rPr>
            </w:pPr>
            <w:r>
              <w:rPr>
                <w:rFonts w:ascii="Arial" w:cs="Arial" w:eastAsia="Arial" w:hAnsi="Arial"/>
                <w:sz w:val="22"/>
                <w:szCs w:val="22"/>
                <w:color w:val="auto"/>
                <w:w w:val="95"/>
              </w:rPr>
              <w:t>TENANT:</w:t>
            </w:r>
          </w:p>
        </w:tc>
      </w:tr>
      <w:tr>
        <w:trPr>
          <w:trHeight w:val="705"/>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220" w:type="dxa"/>
            <w:vAlign w:val="bottom"/>
            <w:tcBorders>
              <w:bottom w:val="single" w:sz="8" w:color="auto"/>
            </w:tcBorders>
            <w:gridSpan w:val="2"/>
          </w:tcPr>
          <w:p>
            <w:pPr>
              <w:spacing w:after="0"/>
              <w:rPr>
                <w:sz w:val="24"/>
                <w:szCs w:val="24"/>
                <w:color w:val="auto"/>
              </w:rPr>
            </w:pPr>
          </w:p>
        </w:tc>
        <w:tc>
          <w:tcPr>
            <w:tcW w:w="2780" w:type="dxa"/>
            <w:vAlign w:val="bottom"/>
            <w:gridSpan w:val="4"/>
          </w:tcPr>
          <w:p>
            <w:pPr>
              <w:spacing w:after="0"/>
              <w:rPr>
                <w:sz w:val="24"/>
                <w:szCs w:val="24"/>
                <w:color w:val="auto"/>
              </w:rPr>
            </w:pPr>
          </w:p>
        </w:tc>
        <w:tc>
          <w:tcPr>
            <w:tcW w:w="2480" w:type="dxa"/>
            <w:vAlign w:val="bottom"/>
          </w:tcPr>
          <w:p>
            <w:pPr>
              <w:ind w:left="2100"/>
              <w:spacing w:after="0"/>
              <w:rPr>
                <w:sz w:val="20"/>
                <w:szCs w:val="20"/>
                <w:color w:val="auto"/>
              </w:rPr>
            </w:pPr>
            <w:r>
              <w:rPr>
                <w:rFonts w:ascii="Arial" w:cs="Arial" w:eastAsia="Arial" w:hAnsi="Arial"/>
                <w:sz w:val="22"/>
                <w:szCs w:val="22"/>
                <w:color w:val="auto"/>
              </w:rPr>
              <w:t>By:</w:t>
            </w:r>
          </w:p>
        </w:tc>
        <w:tc>
          <w:tcPr>
            <w:tcW w:w="200" w:type="dxa"/>
            <w:vAlign w:val="bottom"/>
            <w:tcBorders>
              <w:bottom w:val="single" w:sz="8" w:color="auto"/>
            </w:tcBorders>
            <w:gridSpan w:val="2"/>
          </w:tcPr>
          <w:p>
            <w:pPr>
              <w:spacing w:after="0"/>
              <w:rPr>
                <w:sz w:val="24"/>
                <w:szCs w:val="24"/>
                <w:color w:val="auto"/>
              </w:rPr>
            </w:pPr>
          </w:p>
        </w:tc>
        <w:tc>
          <w:tcPr>
            <w:tcW w:w="340" w:type="dxa"/>
            <w:vAlign w:val="bottom"/>
            <w:gridSpan w:val="4"/>
          </w:tcPr>
          <w:p>
            <w:pPr>
              <w:spacing w:after="0"/>
              <w:rPr>
                <w:sz w:val="24"/>
                <w:szCs w:val="24"/>
                <w:color w:val="auto"/>
              </w:rPr>
            </w:pPr>
          </w:p>
        </w:tc>
      </w:tr>
      <w:tr>
        <w:trPr>
          <w:trHeight w:val="372"/>
        </w:trPr>
        <w:tc>
          <w:tcPr>
            <w:tcW w:w="620" w:type="dxa"/>
            <w:vAlign w:val="bottom"/>
            <w:gridSpan w:val="4"/>
          </w:tcPr>
          <w:p>
            <w:pPr>
              <w:spacing w:after="0"/>
              <w:rPr>
                <w:sz w:val="20"/>
                <w:szCs w:val="20"/>
                <w:color w:val="auto"/>
              </w:rPr>
            </w:pPr>
            <w:r>
              <w:rPr>
                <w:rFonts w:ascii="Arial" w:cs="Arial" w:eastAsia="Arial" w:hAnsi="Arial"/>
                <w:sz w:val="22"/>
                <w:szCs w:val="22"/>
                <w:color w:val="auto"/>
                <w:w w:val="92"/>
              </w:rPr>
              <w:t>Name:</w:t>
            </w:r>
          </w:p>
        </w:tc>
        <w:tc>
          <w:tcPr>
            <w:tcW w:w="220" w:type="dxa"/>
            <w:vAlign w:val="bottom"/>
            <w:tcBorders>
              <w:bottom w:val="single" w:sz="8" w:color="auto"/>
            </w:tcBorders>
            <w:gridSpan w:val="2"/>
          </w:tcPr>
          <w:p>
            <w:pPr>
              <w:spacing w:after="0"/>
              <w:rPr>
                <w:sz w:val="24"/>
                <w:szCs w:val="24"/>
                <w:color w:val="auto"/>
              </w:rPr>
            </w:pPr>
          </w:p>
        </w:tc>
        <w:tc>
          <w:tcPr>
            <w:tcW w:w="2520" w:type="dxa"/>
            <w:vAlign w:val="bottom"/>
          </w:tcPr>
          <w:p>
            <w:pPr>
              <w:spacing w:after="0"/>
              <w:rPr>
                <w:sz w:val="24"/>
                <w:szCs w:val="24"/>
                <w:color w:val="auto"/>
              </w:rPr>
            </w:pPr>
          </w:p>
        </w:tc>
        <w:tc>
          <w:tcPr>
            <w:tcW w:w="2740" w:type="dxa"/>
            <w:vAlign w:val="bottom"/>
            <w:gridSpan w:val="4"/>
          </w:tcPr>
          <w:p>
            <w:pPr>
              <w:ind w:left="2100"/>
              <w:spacing w:after="0"/>
              <w:rPr>
                <w:sz w:val="20"/>
                <w:szCs w:val="20"/>
                <w:color w:val="auto"/>
              </w:rPr>
            </w:pPr>
            <w:r>
              <w:rPr>
                <w:rFonts w:ascii="Arial" w:cs="Arial" w:eastAsia="Arial" w:hAnsi="Arial"/>
                <w:sz w:val="22"/>
                <w:szCs w:val="22"/>
                <w:color w:val="auto"/>
                <w:w w:val="95"/>
              </w:rPr>
              <w:t>Name:</w:t>
            </w:r>
          </w:p>
        </w:tc>
        <w:tc>
          <w:tcPr>
            <w:tcW w:w="220" w:type="dxa"/>
            <w:vAlign w:val="bottom"/>
            <w:tcBorders>
              <w:bottom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5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00" w:type="dxa"/>
            <w:vAlign w:val="bottom"/>
            <w:tcBorders>
              <w:bottom w:val="single" w:sz="8" w:color="auto"/>
            </w:tcBorders>
            <w:gridSpan w:val="3"/>
          </w:tcPr>
          <w:p>
            <w:pPr>
              <w:spacing w:after="0"/>
              <w:rPr>
                <w:sz w:val="24"/>
                <w:szCs w:val="24"/>
                <w:color w:val="auto"/>
              </w:rPr>
            </w:pPr>
          </w:p>
        </w:tc>
        <w:tc>
          <w:tcPr>
            <w:tcW w:w="2640" w:type="dxa"/>
            <w:vAlign w:val="bottom"/>
            <w:gridSpan w:val="2"/>
          </w:tcPr>
          <w:p>
            <w:pPr>
              <w:spacing w:after="0"/>
              <w:rPr>
                <w:sz w:val="24"/>
                <w:szCs w:val="24"/>
                <w:color w:val="auto"/>
              </w:rPr>
            </w:pPr>
          </w:p>
        </w:tc>
        <w:tc>
          <w:tcPr>
            <w:tcW w:w="2620" w:type="dxa"/>
            <w:vAlign w:val="bottom"/>
            <w:gridSpan w:val="2"/>
          </w:tcPr>
          <w:p>
            <w:pPr>
              <w:ind w:left="2100"/>
              <w:spacing w:after="0"/>
              <w:rPr>
                <w:sz w:val="20"/>
                <w:szCs w:val="20"/>
                <w:color w:val="auto"/>
              </w:rPr>
            </w:pPr>
            <w:r>
              <w:rPr>
                <w:rFonts w:ascii="Arial" w:cs="Arial" w:eastAsia="Arial" w:hAnsi="Arial"/>
                <w:sz w:val="22"/>
                <w:szCs w:val="22"/>
                <w:color w:val="auto"/>
              </w:rPr>
              <w:t>Title:</w:t>
            </w:r>
          </w:p>
        </w:tc>
        <w:tc>
          <w:tcPr>
            <w:tcW w:w="220" w:type="dxa"/>
            <w:vAlign w:val="bottom"/>
            <w:tcBorders>
              <w:bottom w:val="single" w:sz="8" w:color="auto"/>
            </w:tcBorders>
            <w:gridSpan w:val="3"/>
          </w:tcPr>
          <w:p>
            <w:pPr>
              <w:spacing w:after="0"/>
              <w:rPr>
                <w:sz w:val="24"/>
                <w:szCs w:val="24"/>
                <w:color w:val="auto"/>
              </w:rPr>
            </w:pPr>
          </w:p>
        </w:tc>
        <w:tc>
          <w:tcPr>
            <w:tcW w:w="180" w:type="dxa"/>
            <w:vAlign w:val="bottom"/>
            <w:gridSpan w:val="2"/>
          </w:tcPr>
          <w:p>
            <w:pPr>
              <w:spacing w:after="0"/>
              <w:rPr>
                <w:sz w:val="24"/>
                <w:szCs w:val="24"/>
                <w:color w:val="auto"/>
              </w:rPr>
            </w:pPr>
          </w:p>
        </w:tc>
      </w:tr>
    </w:tbl>
    <w:p>
      <w:pPr>
        <w:sectPr>
          <w:pgSz w:w="11900" w:h="16838" w:orient="portrait"/>
          <w:cols w:equalWidth="0" w:num="1">
            <w:col w:w="10780"/>
          </w:cols>
          <w:pgMar w:left="540" w:top="1392" w:right="579" w:bottom="1440" w:gutter="0" w:footer="0" w:header="0"/>
        </w:sectPr>
      </w:pPr>
    </w:p>
    <w:bookmarkStart w:id="169" w:name="page170"/>
    <w:bookmarkEnd w:id="169"/>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Outdoor Terrace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5212080" cy="34029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5212080" cy="34029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0" w:name="page171"/>
    <w:bookmarkEnd w:id="170"/>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Landlord’s Work (Base Building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170815</wp:posOffset>
            </wp:positionV>
            <wp:extent cx="4088765" cy="62922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4088765" cy="62922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1254760</wp:posOffset>
            </wp:positionV>
            <wp:extent cx="4088765" cy="62922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4088765" cy="6292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1409065</wp:posOffset>
            </wp:positionV>
            <wp:extent cx="4063365" cy="62922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4063365" cy="6292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1409065</wp:posOffset>
            </wp:positionV>
            <wp:extent cx="4063365" cy="62922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4063365" cy="6292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1409065</wp:posOffset>
            </wp:positionV>
            <wp:extent cx="4088765" cy="62922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4088765" cy="6292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1409065</wp:posOffset>
            </wp:positionV>
            <wp:extent cx="4063365" cy="62922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4063365" cy="6292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1409065</wp:posOffset>
            </wp:positionV>
            <wp:extent cx="4037330" cy="6214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4037330" cy="6214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1409065</wp:posOffset>
            </wp:positionV>
            <wp:extent cx="4037330" cy="6214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4037330" cy="6214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1409065</wp:posOffset>
            </wp:positionV>
            <wp:extent cx="4011930" cy="6214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4011930" cy="6214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H ROFR PREMISES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H-1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ROFR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442595</wp:posOffset>
            </wp:positionV>
            <wp:extent cx="5126355" cy="3000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5126355" cy="30003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color w:val="auto"/>
        </w:rPr>
        <w:t>Exhibit H-2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ROFR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588645</wp:posOffset>
            </wp:positionV>
            <wp:extent cx="5126355" cy="2888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5126355" cy="2888615"/>
                    </a:xfrm>
                    <a:prstGeom prst="rect">
                      <a:avLst/>
                    </a:prstGeom>
                    <a:noFill/>
                  </pic:spPr>
                </pic:pic>
              </a:graphicData>
            </a:graphic>
          </wp:anchor>
        </w:drawing>
      </w:r>
    </w:p>
    <w:p>
      <w:pPr>
        <w:sectPr>
          <w:pgSz w:w="11900" w:h="16838" w:orient="portrait"/>
          <w:cols w:equalWidth="0" w:num="1">
            <w:col w:w="9019"/>
          </w:cols>
          <w:pgMar w:left="1440" w:top="1405"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20"/>
          <w:szCs w:val="20"/>
          <w:u w:val="single" w:color="auto"/>
          <w:color w:val="auto"/>
        </w:rPr>
        <w:t>Exhibit I</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Euclid Avenue Façade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5246370" cy="22371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5246370" cy="223710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182" w:name="page183"/>
    <w:bookmarkEnd w:id="182"/>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20"/>
          <w:szCs w:val="20"/>
          <w:u w:val="single" w:color="auto"/>
          <w:color w:val="auto"/>
        </w:rPr>
        <w:t>Exhibit J</w:t>
      </w:r>
    </w:p>
    <w:p>
      <w:pPr>
        <w:spacing w:after="0" w:line="297" w:lineRule="exact"/>
        <w:rPr>
          <w:sz w:val="20"/>
          <w:szCs w:val="20"/>
          <w:color w:val="auto"/>
        </w:rPr>
      </w:pPr>
    </w:p>
    <w:p>
      <w:pPr>
        <w:jc w:val="center"/>
        <w:ind w:right="180"/>
        <w:spacing w:after="0"/>
        <w:rPr>
          <w:sz w:val="20"/>
          <w:szCs w:val="20"/>
          <w:color w:val="auto"/>
        </w:rPr>
      </w:pPr>
      <w:r>
        <w:rPr>
          <w:rFonts w:ascii="Arial" w:cs="Arial" w:eastAsia="Arial" w:hAnsi="Arial"/>
          <w:sz w:val="20"/>
          <w:szCs w:val="20"/>
          <w:u w:val="single" w:color="auto"/>
          <w:color w:val="auto"/>
        </w:rPr>
        <w:t>GENERATOR AND SATELLITE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Generator:</w:t>
      </w:r>
    </w:p>
    <w:p>
      <w:pPr>
        <w:spacing w:after="0" w:line="202" w:lineRule="exact"/>
        <w:rPr>
          <w:sz w:val="20"/>
          <w:szCs w:val="20"/>
          <w:color w:val="auto"/>
        </w:rPr>
      </w:pPr>
    </w:p>
    <w:p>
      <w:pPr>
        <w:jc w:val="both"/>
        <w:ind w:left="980" w:hanging="330"/>
        <w:spacing w:after="0" w:line="229" w:lineRule="auto"/>
        <w:tabs>
          <w:tab w:leader="none" w:pos="970" w:val="left"/>
        </w:tabs>
        <w:numPr>
          <w:ilvl w:val="0"/>
          <w:numId w:val="130"/>
        </w:numPr>
        <w:rPr>
          <w:rFonts w:ascii="Arial" w:cs="Arial" w:eastAsia="Arial" w:hAnsi="Arial"/>
          <w:sz w:val="18"/>
          <w:szCs w:val="18"/>
          <w:color w:val="auto"/>
        </w:rPr>
      </w:pPr>
      <w:r>
        <w:rPr>
          <w:rFonts w:ascii="Arial" w:cs="Arial" w:eastAsia="Arial" w:hAnsi="Arial"/>
          <w:sz w:val="18"/>
          <w:szCs w:val="18"/>
          <w:color w:val="181818"/>
        </w:rPr>
        <w:t>Prior to the installation or operation of a generator, Tenant shall have the sole responsibility at its cost to secure any necessary approvals and permits related to the installation and operation of the Generator from any applicable state, federal or other governmental authorities (“Permits”) and shall provide copies of the same to Landlord. Upon receipt of a written request, Tenant shall promptly provide copies of all plans, manuals, and inspections reports related to the installation, operation, and maintenance of the Generator. Tenant shall construct, operate, and maintain the Generator in accordance with all applicable laws, including all environmental laws, ordinances, rules and regulations and in compliance with the reasonable requirements of the insurers of the Office Unit.</w:t>
      </w:r>
    </w:p>
    <w:p>
      <w:pPr>
        <w:spacing w:after="0" w:line="183" w:lineRule="exact"/>
        <w:rPr>
          <w:rFonts w:ascii="Arial" w:cs="Arial" w:eastAsia="Arial" w:hAnsi="Arial"/>
          <w:sz w:val="18"/>
          <w:szCs w:val="18"/>
          <w:color w:val="auto"/>
        </w:rPr>
      </w:pPr>
    </w:p>
    <w:p>
      <w:pPr>
        <w:jc w:val="both"/>
        <w:ind w:left="980" w:hanging="330"/>
        <w:spacing w:after="0" w:line="227" w:lineRule="auto"/>
        <w:tabs>
          <w:tab w:leader="none" w:pos="9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Unless Landlord elects to retain the generator, in Landlord’s sole determination, at the expiration or earlier termination of the Lease the Generator shall be removed from its location at Tenant’s sole cost and Tenant shall restore such area to the condition existing prior to such installation, allowing for reasonable wear and tear, and any damage caused by such removal shall be repaired at Tenant’s sole cost. In the event that Tenant is required to and fails to so remove the Generator within thirty (30) days of the termination or earlier expiration of this Lease, the same shall constitute Tenant’s abandonment of the Generator and relinquishment of any ownership rights thereto and Landlord shall have the right to remove and dispose of the Generator and charge Tenant for all costs and expenses incurred. Tenant agrees that Landlord shall not be liable for any property disposed of or removed by Landlord pursuant to the immediately preceding sentence. Tenant’s obligations hereunder shall survive the expiration or earlier termination of the Lease.</w:t>
      </w:r>
    </w:p>
    <w:p>
      <w:pPr>
        <w:spacing w:after="0" w:line="182" w:lineRule="exact"/>
        <w:rPr>
          <w:rFonts w:ascii="Arial" w:cs="Arial" w:eastAsia="Arial" w:hAnsi="Arial"/>
          <w:sz w:val="18"/>
          <w:szCs w:val="18"/>
          <w:color w:val="auto"/>
        </w:rPr>
      </w:pPr>
    </w:p>
    <w:p>
      <w:pPr>
        <w:jc w:val="both"/>
        <w:ind w:left="980" w:hanging="330"/>
        <w:spacing w:after="0" w:line="229" w:lineRule="auto"/>
        <w:tabs>
          <w:tab w:leader="none" w:pos="9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Prior to the expiration of the Term or earlier termination of this Lease, in the event that Tenant has installed a diesel generator on the Office Unit, Tenant shall engage a licensed environmental engineer to conduct an analysis of the area upon which the generator was located to ascertain whether the generator has created any adverse environmental conditions on the Office Unit. Such engineer shall provide a written report outlining their findings. In the event that such report concludes that the Office Unit has been impacted as a result of the generator, the diesel fuel, or its operations, Tenant shall be solely responsible for mitigating any such conditions and returning the Property to its condition prior to the installation of such generator. This section shall survive the termination or expiration of this Lease.</w:t>
      </w:r>
    </w:p>
    <w:p>
      <w:pPr>
        <w:spacing w:after="0" w:line="197" w:lineRule="exact"/>
        <w:rPr>
          <w:rFonts w:ascii="Arial" w:cs="Arial" w:eastAsia="Arial" w:hAnsi="Arial"/>
          <w:sz w:val="18"/>
          <w:szCs w:val="18"/>
          <w:color w:val="auto"/>
        </w:rPr>
      </w:pPr>
    </w:p>
    <w:p>
      <w:pPr>
        <w:jc w:val="both"/>
        <w:ind w:left="980" w:hanging="330"/>
        <w:spacing w:after="0" w:line="211" w:lineRule="auto"/>
        <w:tabs>
          <w:tab w:leader="none" w:pos="96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Tenant hereby agrees to indemnify Landlord from and against any Event of Default by Tenant of the obligations stated in this Exhibit J and agrees to defend and hold Landlord harmless from and against any and all third-party claims, judgments, damages, penalties, fines, costs, liabilities, or losses (including, without limitation, damages for the loss or restriction or use of rentable space or of any amenity on the Property, and sums paid in settlement of claims, reasonable attorneys’ fees, consultant fees and expert fees) which arise during or within two</w:t>
      </w:r>
    </w:p>
    <w:p>
      <w:pPr>
        <w:jc w:val="both"/>
        <w:ind w:left="980"/>
        <w:spacing w:after="0" w:line="229" w:lineRule="auto"/>
        <w:rPr>
          <w:rFonts w:ascii="Arial" w:cs="Arial" w:eastAsia="Arial" w:hAnsi="Arial"/>
          <w:sz w:val="19"/>
          <w:szCs w:val="19"/>
          <w:color w:val="auto"/>
        </w:rPr>
      </w:pPr>
      <w:r>
        <w:rPr>
          <w:rFonts w:ascii="Arial" w:cs="Arial" w:eastAsia="Arial" w:hAnsi="Arial"/>
          <w:sz w:val="18"/>
          <w:szCs w:val="18"/>
          <w:color w:val="auto"/>
        </w:rPr>
        <w:t>(2) years after the Term of this Lease as result of any such Event of Default. In addition, Tenant shall indemnify, defend and hold Landlord, its principals, officers, directors, agents, employees and servants harmless from and against any liability, loss, costs, claims, damage and expense of whatever kind arising directly or indirectly from the installation, operation, maintenance, repair, and removal of such Generator, including, but not limited to, reasonable attorneys’ fees and court costs. Prior to the installation and during the Term of this Lease, Tenant shall carry</w:t>
      </w:r>
    </w:p>
    <w:p>
      <w:pPr>
        <w:sectPr>
          <w:pgSz w:w="11900" w:h="16838" w:orient="portrait"/>
          <w:cols w:equalWidth="0" w:num="1">
            <w:col w:w="10580"/>
          </w:cols>
          <w:pgMar w:left="740" w:top="1440" w:right="579" w:bottom="1440" w:gutter="0" w:footer="0" w:header="0"/>
        </w:sectPr>
      </w:pPr>
    </w:p>
    <w:bookmarkStart w:id="183" w:name="page184"/>
    <w:bookmarkEnd w:id="183"/>
    <w:p>
      <w:pPr>
        <w:spacing w:after="0" w:line="195" w:lineRule="exact"/>
        <w:rPr>
          <w:sz w:val="20"/>
          <w:szCs w:val="20"/>
          <w:color w:val="auto"/>
        </w:rPr>
      </w:pPr>
    </w:p>
    <w:p>
      <w:pPr>
        <w:ind w:left="980" w:right="600"/>
        <w:spacing w:after="0" w:line="229" w:lineRule="auto"/>
        <w:rPr>
          <w:sz w:val="20"/>
          <w:szCs w:val="20"/>
          <w:color w:val="auto"/>
        </w:rPr>
      </w:pPr>
      <w:r>
        <w:rPr>
          <w:rFonts w:ascii="Arial" w:cs="Arial" w:eastAsia="Arial" w:hAnsi="Arial"/>
          <w:sz w:val="20"/>
          <w:szCs w:val="20"/>
          <w:color w:val="auto"/>
        </w:rPr>
        <w:t>liability insurance, property insurance, and pollution liability insurance naming Landlord as an additional insured, subject to Landlord’s approval.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Satellite Dish and Fiber Optic Cabling:</w:t>
      </w:r>
    </w:p>
    <w:p>
      <w:pPr>
        <w:spacing w:after="0" w:line="202" w:lineRule="exact"/>
        <w:rPr>
          <w:sz w:val="20"/>
          <w:szCs w:val="20"/>
          <w:color w:val="auto"/>
        </w:rPr>
      </w:pPr>
    </w:p>
    <w:p>
      <w:pPr>
        <w:jc w:val="both"/>
        <w:ind w:left="640" w:hanging="315"/>
        <w:spacing w:after="0" w:line="206" w:lineRule="auto"/>
        <w:tabs>
          <w:tab w:leader="none" w:pos="62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Prior to any installation of the Satellite Dish, Tenant shall deliver to Landlord for its prior review and approval, as may be applicable, a set of scaled and dimensioned plans and specifications, which shall include, without limitation, the size and weight of the proposed Satellite Dish, the proposed location of the Satellite Dish, the floor and power load requirements of the Satellite Dish, and the location and kind of electrical or other services to and from the Satellite Dish and detailed specifications of the means of attaching and securing the Satellite Dish. For any proposed installation of fiber cabling, Tenant shall provide a plan to Landlord describing the cabling to be installed, the means of installation, and a wiring plan depicting the location of such installation.</w:t>
      </w:r>
    </w:p>
    <w:p>
      <w:pPr>
        <w:spacing w:after="0" w:line="197" w:lineRule="exact"/>
        <w:rPr>
          <w:rFonts w:ascii="Arial" w:cs="Arial" w:eastAsia="Arial" w:hAnsi="Arial"/>
          <w:sz w:val="20"/>
          <w:szCs w:val="20"/>
          <w:color w:val="auto"/>
        </w:rPr>
      </w:pPr>
    </w:p>
    <w:p>
      <w:pPr>
        <w:jc w:val="both"/>
        <w:ind w:left="640" w:hanging="315"/>
        <w:spacing w:after="0" w:line="204" w:lineRule="auto"/>
        <w:tabs>
          <w:tab w:leader="none" w:pos="62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 installing any Satellite Dish or cabling, Tenant shall not be permitted to penetrate the roof, roof liner, deck, flashing, or other components of the roof, but shall be permitted to anchor the Satellite Dish using concrete blocks or other weights, subject to the applicable load requirements. Tenant shall complete the installation of the Satellite Dish in accordance with the plans and specifications therefor approved by Landlord. Tenant shall use any specified roofing contractor or other general contractor required by Landlord to install the Satellite Dish so as avoid any compromise to the roof structure or membrane. Wiring shall be through existing sleeve installed in the Office Unit by Landlord (if any). In the event there are no sleeves, Tenant shall install same, at its own cost and expense. At Landlord’s election, all electricity used in connection with the Satellite Dish shall be metered, for which Tenant shall install and pay for the necessary meters and for the cost of electricity consumed.</w:t>
      </w:r>
    </w:p>
    <w:p>
      <w:pPr>
        <w:spacing w:after="0" w:line="184" w:lineRule="exact"/>
        <w:rPr>
          <w:rFonts w:ascii="Arial" w:cs="Arial" w:eastAsia="Arial" w:hAnsi="Arial"/>
          <w:sz w:val="20"/>
          <w:szCs w:val="20"/>
          <w:color w:val="auto"/>
        </w:rPr>
      </w:pPr>
    </w:p>
    <w:p>
      <w:pPr>
        <w:jc w:val="both"/>
        <w:ind w:left="640" w:hanging="315"/>
        <w:spacing w:after="0" w:line="213" w:lineRule="auto"/>
        <w:tabs>
          <w:tab w:leader="none" w:pos="62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Tenant agrees that the Satellite Dish shall not materially interfere with the use and operation of other facilities or equipment now or hereafter located on or in the Office Unit and Landlord shall not be liable for interference with the use and operation of the Satellite Dish by reason of the existence and operation of other satellite antennae or antennae or related equipment on or in the Office Unit.</w:t>
      </w:r>
    </w:p>
    <w:p>
      <w:pPr>
        <w:spacing w:after="0" w:line="182" w:lineRule="exact"/>
        <w:rPr>
          <w:rFonts w:ascii="Arial" w:cs="Arial" w:eastAsia="Arial" w:hAnsi="Arial"/>
          <w:sz w:val="20"/>
          <w:szCs w:val="20"/>
          <w:color w:val="auto"/>
        </w:rPr>
      </w:pPr>
    </w:p>
    <w:p>
      <w:pPr>
        <w:jc w:val="both"/>
        <w:ind w:left="640" w:hanging="315"/>
        <w:spacing w:after="0" w:line="225" w:lineRule="auto"/>
        <w:tabs>
          <w:tab w:leader="none" w:pos="62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 shall be responsible for the cost of the installation, service, repair, replacement, removal, and maintenance of the Satellite Dish and any fiber cabling and related equipment and cabling and for any repair or damage caused by the Satellite Dish or installation, maintenance, and repair of the fiber cabling, or by Tenant or any of its employees, agents, contractors or invitees, and the Satellite Dish shall be treated as if the Satellite Dish were part of Tenant's personal property located within the Premises. Without limiting the generality of the foregoing, all provisions of this Lease with respect to Tenant's alterations and Tenant's obligations to comply with laws and insurance requirements, maintaining insurance, indemnifying Landlord and performing repairs and maintenance shall apply to Tenant's installation, use and maintenance of the Satellite Dish and fibering cabling. Tenant's right to install, operate and maintain the Satellite Dish shall be subject to Tenant obtaining all necessary governmental permits and approvals required for the installation and operation of the Satellite Dish, including, without limitation, all federal, state and local permits and approvals, which permits and approvals shall remain in effect at all times that the Satellite Dish remains on the Office Unit.</w:t>
      </w:r>
    </w:p>
    <w:p>
      <w:pPr>
        <w:spacing w:after="0" w:line="187" w:lineRule="exact"/>
        <w:rPr>
          <w:rFonts w:ascii="Arial" w:cs="Arial" w:eastAsia="Arial" w:hAnsi="Arial"/>
          <w:sz w:val="18"/>
          <w:szCs w:val="18"/>
          <w:color w:val="auto"/>
        </w:rPr>
      </w:pPr>
    </w:p>
    <w:p>
      <w:pPr>
        <w:jc w:val="both"/>
        <w:ind w:left="640" w:hanging="315"/>
        <w:spacing w:after="0" w:line="218" w:lineRule="auto"/>
        <w:tabs>
          <w:tab w:leader="none" w:pos="62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Upon termination of this Lease, Tenant shall, at its own cost and expense, remove the Satellite Dish and related equipment and cabling and repair any damage caused thereby. Tenant shall maintain the Satellite Dish in good order and repair and Tenant, its employees, agents and contractors shall</w:t>
      </w:r>
    </w:p>
    <w:p>
      <w:pPr>
        <w:sectPr>
          <w:pgSz w:w="11900" w:h="16838" w:orient="portrait"/>
          <w:cols w:equalWidth="0" w:num="1">
            <w:col w:w="10580"/>
          </w:cols>
          <w:pgMar w:left="740" w:top="1440" w:right="579" w:bottom="1440" w:gutter="0" w:footer="0" w:header="0"/>
        </w:sectPr>
      </w:pPr>
    </w:p>
    <w:bookmarkStart w:id="184" w:name="page185"/>
    <w:bookmarkEnd w:id="184"/>
    <w:p>
      <w:pPr>
        <w:spacing w:after="0" w:line="195" w:lineRule="exact"/>
        <w:rPr>
          <w:sz w:val="20"/>
          <w:szCs w:val="20"/>
          <w:color w:val="auto"/>
        </w:rPr>
      </w:pPr>
    </w:p>
    <w:p>
      <w:pPr>
        <w:jc w:val="both"/>
        <w:ind w:left="315"/>
        <w:spacing w:after="0" w:line="228" w:lineRule="auto"/>
        <w:rPr>
          <w:sz w:val="20"/>
          <w:szCs w:val="20"/>
          <w:color w:val="auto"/>
        </w:rPr>
      </w:pPr>
      <w:r>
        <w:rPr>
          <w:rFonts w:ascii="Arial" w:cs="Arial" w:eastAsia="Arial" w:hAnsi="Arial"/>
          <w:sz w:val="18"/>
          <w:szCs w:val="18"/>
          <w:color w:val="auto"/>
        </w:rPr>
        <w:t>have access to the roof for the purposes of installation, maintenance and repair of Tenant's Satellite Dish at reasonable times, which times (except in the case of emergency) shall be arranged in advance with Landlord and shall at all times comply with any applicable roof or other equipment’s warranties. Landlord or its representatives may accompany Tenant whenever Tenant, its employees, agents or contractors enter on the roof of the Office Unit. Landlord shall have the right to, or to require Tenant to, move the Satellite Dish to another location designated by Landlord or to cease the operation of the Satellite Dish by Landlord and to remove same if the Satellite Dish shall be in violation of applicable law or shall interfere with the use and operation of other facilities or equipment now or hereafter located at or within the Building or is not operating in accordance with the terms herein, without liability to Tenant therefor.</w:t>
      </w:r>
    </w:p>
    <w:p>
      <w:pPr>
        <w:spacing w:after="0" w:line="182" w:lineRule="exact"/>
        <w:rPr>
          <w:sz w:val="20"/>
          <w:szCs w:val="20"/>
          <w:color w:val="auto"/>
        </w:rPr>
      </w:pPr>
    </w:p>
    <w:p>
      <w:pPr>
        <w:jc w:val="both"/>
        <w:ind w:left="315" w:hanging="315"/>
        <w:spacing w:after="0" w:line="218" w:lineRule="auto"/>
        <w:tabs>
          <w:tab w:leader="none" w:pos="30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Satellite Dish shall only be used as part the operation of Tenant’s business within the Premises. No other tenant or user may use the Satellite Dish and Tenant may not collocate any other dishes, antennas, or other equipment on, around, or as part of the Satellite Dish.</w:t>
      </w:r>
    </w:p>
    <w:p>
      <w:pPr>
        <w:spacing w:after="0" w:line="196" w:lineRule="exact"/>
        <w:rPr>
          <w:rFonts w:ascii="Arial" w:cs="Arial" w:eastAsia="Arial" w:hAnsi="Arial"/>
          <w:sz w:val="20"/>
          <w:szCs w:val="20"/>
          <w:color w:val="auto"/>
        </w:rPr>
      </w:pPr>
    </w:p>
    <w:p>
      <w:pPr>
        <w:ind w:left="315" w:hanging="315"/>
        <w:spacing w:after="0" w:line="229" w:lineRule="auto"/>
        <w:tabs>
          <w:tab w:leader="none" w:pos="30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Satellite Dish shall not exceed three (3) feet in height and shall not be visible from any public areas within the Office Unit nor from any adjacent public areas, including, but not limited to public roadways or parks.</w:t>
      </w:r>
    </w:p>
    <w:p>
      <w:pPr>
        <w:sectPr>
          <w:pgSz w:w="11900" w:h="16838" w:orient="portrait"/>
          <w:cols w:equalWidth="0" w:num="1">
            <w:col w:w="10255"/>
          </w:cols>
          <w:pgMar w:left="1065" w:top="1440" w:right="5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Name of Subsidiary</w:t>
            </w:r>
          </w:p>
        </w:tc>
        <w:tc>
          <w:tcPr>
            <w:tcW w:w="140" w:type="dxa"/>
            <w:vAlign w:val="bottom"/>
          </w:tcPr>
          <w:p>
            <w:pPr>
              <w:spacing w:after="0"/>
              <w:rPr>
                <w:sz w:val="24"/>
                <w:szCs w:val="24"/>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Jurisdiction</w:t>
            </w:r>
          </w:p>
        </w:tc>
      </w:tr>
      <w:tr>
        <w:trPr>
          <w:trHeight w:val="329"/>
        </w:trPr>
        <w:tc>
          <w:tcPr>
            <w:tcW w:w="5080" w:type="dxa"/>
            <w:vAlign w:val="bottom"/>
            <w:gridSpan w:val="2"/>
          </w:tcPr>
          <w:p>
            <w:pPr>
              <w:ind w:left="20"/>
              <w:spacing w:after="0"/>
              <w:rPr>
                <w:sz w:val="20"/>
                <w:szCs w:val="20"/>
                <w:color w:val="auto"/>
              </w:rPr>
            </w:pPr>
            <w:r>
              <w:rPr>
                <w:rFonts w:ascii="Arial" w:cs="Arial" w:eastAsia="Arial" w:hAnsi="Arial"/>
                <w:sz w:val="22"/>
                <w:szCs w:val="22"/>
                <w:color w:val="auto"/>
              </w:rPr>
              <w:t>Duolingo Mexico S. de R.L. de C.V.</w:t>
            </w:r>
          </w:p>
        </w:tc>
        <w:tc>
          <w:tcPr>
            <w:tcW w:w="5060" w:type="dxa"/>
            <w:vAlign w:val="bottom"/>
          </w:tcPr>
          <w:p>
            <w:pPr>
              <w:ind w:left="20"/>
              <w:spacing w:after="0"/>
              <w:rPr>
                <w:sz w:val="20"/>
                <w:szCs w:val="20"/>
                <w:color w:val="auto"/>
              </w:rPr>
            </w:pPr>
            <w:r>
              <w:rPr>
                <w:rFonts w:ascii="Arial" w:cs="Arial" w:eastAsia="Arial" w:hAnsi="Arial"/>
                <w:sz w:val="22"/>
                <w:szCs w:val="22"/>
                <w:color w:val="auto"/>
              </w:rPr>
              <w:t>United Mexican States</w:t>
            </w:r>
          </w:p>
        </w:tc>
      </w:tr>
      <w:tr>
        <w:trPr>
          <w:trHeight w:val="446"/>
        </w:trPr>
        <w:tc>
          <w:tcPr>
            <w:tcW w:w="5080" w:type="dxa"/>
            <w:vAlign w:val="bottom"/>
            <w:gridSpan w:val="2"/>
          </w:tcPr>
          <w:p>
            <w:pPr>
              <w:ind w:left="20"/>
              <w:spacing w:after="0"/>
              <w:rPr>
                <w:sz w:val="20"/>
                <w:szCs w:val="20"/>
                <w:color w:val="auto"/>
              </w:rPr>
            </w:pPr>
            <w:r>
              <w:rPr>
                <w:rFonts w:ascii="Arial" w:cs="Arial" w:eastAsia="Arial" w:hAnsi="Arial"/>
                <w:sz w:val="22"/>
                <w:szCs w:val="22"/>
                <w:color w:val="auto"/>
              </w:rPr>
              <w:t>Beijing Duolingo Technology Co., Ltd.</w:t>
            </w:r>
          </w:p>
        </w:tc>
        <w:tc>
          <w:tcPr>
            <w:tcW w:w="5060" w:type="dxa"/>
            <w:vAlign w:val="bottom"/>
          </w:tcPr>
          <w:p>
            <w:pPr>
              <w:ind w:left="20"/>
              <w:spacing w:after="0"/>
              <w:rPr>
                <w:sz w:val="20"/>
                <w:szCs w:val="20"/>
                <w:color w:val="auto"/>
              </w:rPr>
            </w:pPr>
            <w:r>
              <w:rPr>
                <w:rFonts w:ascii="Arial" w:cs="Arial" w:eastAsia="Arial" w:hAnsi="Arial"/>
                <w:sz w:val="22"/>
                <w:szCs w:val="22"/>
                <w:color w:val="auto"/>
              </w:rPr>
              <w:t>People's Republic of China</w:t>
            </w:r>
          </w:p>
        </w:tc>
      </w:tr>
      <w:tr>
        <w:trPr>
          <w:trHeight w:val="445"/>
        </w:trPr>
        <w:tc>
          <w:tcPr>
            <w:tcW w:w="5080" w:type="dxa"/>
            <w:vAlign w:val="bottom"/>
            <w:gridSpan w:val="2"/>
          </w:tcPr>
          <w:p>
            <w:pPr>
              <w:ind w:left="20"/>
              <w:spacing w:after="0"/>
              <w:rPr>
                <w:sz w:val="20"/>
                <w:szCs w:val="20"/>
                <w:color w:val="auto"/>
              </w:rPr>
            </w:pPr>
            <w:r>
              <w:rPr>
                <w:rFonts w:ascii="Arial" w:cs="Arial" w:eastAsia="Arial" w:hAnsi="Arial"/>
                <w:sz w:val="22"/>
                <w:szCs w:val="22"/>
                <w:color w:val="auto"/>
              </w:rPr>
              <w:t>Dos Lenguas LLC</w:t>
            </w:r>
          </w:p>
        </w:tc>
        <w:tc>
          <w:tcPr>
            <w:tcW w:w="5060" w:type="dxa"/>
            <w:vAlign w:val="bottom"/>
          </w:tcPr>
          <w:p>
            <w:pPr>
              <w:ind w:left="20"/>
              <w:spacing w:after="0"/>
              <w:rPr>
                <w:sz w:val="20"/>
                <w:szCs w:val="20"/>
                <w:color w:val="auto"/>
              </w:rPr>
            </w:pPr>
            <w:r>
              <w:rPr>
                <w:rFonts w:ascii="Arial" w:cs="Arial" w:eastAsia="Arial" w:hAnsi="Arial"/>
                <w:sz w:val="22"/>
                <w:szCs w:val="22"/>
                <w:color w:val="auto"/>
              </w:rPr>
              <w:t>United States of America</w:t>
            </w:r>
          </w:p>
        </w:tc>
      </w:tr>
      <w:tr>
        <w:trPr>
          <w:trHeight w:val="446"/>
        </w:trPr>
        <w:tc>
          <w:tcPr>
            <w:tcW w:w="5080" w:type="dxa"/>
            <w:vAlign w:val="bottom"/>
            <w:gridSpan w:val="2"/>
          </w:tcPr>
          <w:p>
            <w:pPr>
              <w:ind w:left="20"/>
              <w:spacing w:after="0"/>
              <w:rPr>
                <w:sz w:val="20"/>
                <w:szCs w:val="20"/>
                <w:color w:val="auto"/>
              </w:rPr>
            </w:pPr>
            <w:r>
              <w:rPr>
                <w:rFonts w:ascii="Arial" w:cs="Arial" w:eastAsia="Arial" w:hAnsi="Arial"/>
                <w:sz w:val="22"/>
                <w:szCs w:val="22"/>
                <w:color w:val="auto"/>
              </w:rPr>
              <w:t>Duolingo Germany GmbH</w:t>
            </w:r>
          </w:p>
        </w:tc>
        <w:tc>
          <w:tcPr>
            <w:tcW w:w="5060" w:type="dxa"/>
            <w:vAlign w:val="bottom"/>
          </w:tcPr>
          <w:p>
            <w:pPr>
              <w:ind w:left="20"/>
              <w:spacing w:after="0"/>
              <w:rPr>
                <w:sz w:val="20"/>
                <w:szCs w:val="20"/>
                <w:color w:val="auto"/>
              </w:rPr>
            </w:pPr>
            <w:r>
              <w:rPr>
                <w:rFonts w:ascii="Arial" w:cs="Arial" w:eastAsia="Arial" w:hAnsi="Arial"/>
                <w:sz w:val="22"/>
                <w:szCs w:val="22"/>
                <w:color w:val="auto"/>
              </w:rPr>
              <w:t>Federal Republic of Germany</w:t>
            </w:r>
          </w:p>
        </w:tc>
      </w:tr>
    </w:tbl>
    <w:p>
      <w:pPr>
        <w:sectPr>
          <w:pgSz w:w="11900" w:h="16838" w:orient="portrait"/>
          <w:cols w:equalWidth="0" w:num="1">
            <w:col w:w="11160"/>
          </w:cols>
          <w:pgMar w:left="320" w:top="810" w:right="419" w:bottom="1440" w:gutter="0" w:footer="0" w:header="0"/>
        </w:sectPr>
      </w:pPr>
    </w:p>
    <w:bookmarkStart w:id="186" w:name="page187"/>
    <w:bookmarkEnd w:id="186"/>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9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We consent to the incorporation by reference in Registration Statement No. 333-257483 on Form S-1 and Registration Statement Nos. 333-258210 and 333-258211 on Form S-8 of our report dated March 4, 2022, relating to the financial statements of Duolingo, Inc. and subsidiaries appearing in this Annual Report on Form 10-K for the year ended December 31, 2021.</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5" w:lineRule="auto"/>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March 4, 2022</w:t>
      </w:r>
    </w:p>
    <w:p>
      <w:pPr>
        <w:sectPr>
          <w:pgSz w:w="11900" w:h="16838" w:orient="portrait"/>
          <w:cols w:equalWidth="0" w:num="1">
            <w:col w:w="11000"/>
          </w:cols>
          <w:pgMar w:left="320" w:top="1440" w:right="57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Luis von Ahn, certify that:</w:t>
      </w:r>
    </w:p>
    <w:p>
      <w:pPr>
        <w:spacing w:after="0" w:line="306" w:lineRule="exact"/>
        <w:rPr>
          <w:sz w:val="20"/>
          <w:szCs w:val="20"/>
          <w:color w:val="auto"/>
        </w:rPr>
      </w:pPr>
    </w:p>
    <w:p>
      <w:pPr>
        <w:ind w:left="540" w:hanging="510"/>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Duolingo, Inc.;</w:t>
      </w:r>
    </w:p>
    <w:p>
      <w:pPr>
        <w:spacing w:after="0" w:line="292" w:lineRule="exact"/>
        <w:rPr>
          <w:rFonts w:ascii="Arial" w:cs="Arial" w:eastAsia="Arial" w:hAnsi="Arial"/>
          <w:sz w:val="18"/>
          <w:szCs w:val="18"/>
          <w:color w:val="auto"/>
        </w:rPr>
      </w:pPr>
    </w:p>
    <w:p>
      <w:pPr>
        <w:jc w:val="both"/>
        <w:ind w:left="540" w:right="220" w:hanging="510"/>
        <w:spacing w:after="0" w:line="263"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40" w:right="200" w:hanging="510"/>
        <w:spacing w:after="0" w:line="308" w:lineRule="auto"/>
        <w:tabs>
          <w:tab w:leader="none" w:pos="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ind w:left="540" w:right="240" w:hanging="510"/>
        <w:spacing w:after="0" w:line="277"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37" w:lineRule="exact"/>
        <w:rPr>
          <w:rFonts w:ascii="Arial" w:cs="Arial" w:eastAsia="Arial" w:hAnsi="Arial"/>
          <w:sz w:val="18"/>
          <w:szCs w:val="18"/>
          <w:color w:val="auto"/>
        </w:rPr>
      </w:pPr>
    </w:p>
    <w:p>
      <w:pPr>
        <w:ind w:left="1060" w:right="140" w:hanging="517"/>
        <w:spacing w:after="0" w:line="263" w:lineRule="auto"/>
        <w:tabs>
          <w:tab w:leader="none" w:pos="1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060" w:hanging="517"/>
        <w:spacing w:after="0"/>
        <w:tabs>
          <w:tab w:leader="none" w:pos="1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1060" w:right="440" w:hanging="517"/>
        <w:spacing w:after="0" w:line="342" w:lineRule="auto"/>
        <w:tabs>
          <w:tab w:leader="none" w:pos="10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060" w:right="160" w:hanging="517"/>
        <w:spacing w:after="0" w:line="263" w:lineRule="auto"/>
        <w:tabs>
          <w:tab w:leader="none" w:pos="1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540" w:right="220" w:hanging="510"/>
        <w:spacing w:after="0" w:line="342" w:lineRule="auto"/>
        <w:tabs>
          <w:tab w:leader="none" w:pos="5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6"/>
          <w:szCs w:val="16"/>
          <w:color w:val="auto"/>
        </w:rPr>
      </w:pPr>
    </w:p>
    <w:p>
      <w:pPr>
        <w:ind w:left="1060" w:right="680" w:hanging="517"/>
        <w:spacing w:after="0" w:line="342" w:lineRule="auto"/>
        <w:tabs>
          <w:tab w:leader="none" w:pos="10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00" w:hanging="517"/>
        <w:spacing w:after="0" w:line="277" w:lineRule="auto"/>
        <w:tabs>
          <w:tab w:leader="none" w:pos="1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5320" w:val="left"/>
          <w:tab w:leader="none" w:pos="792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33864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53"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Luis von Ahn</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417"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Skaruppa, certify that:</w:t>
      </w:r>
    </w:p>
    <w:p>
      <w:pPr>
        <w:spacing w:after="0" w:line="306" w:lineRule="exact"/>
        <w:rPr>
          <w:sz w:val="20"/>
          <w:szCs w:val="20"/>
          <w:color w:val="auto"/>
        </w:rPr>
      </w:pPr>
    </w:p>
    <w:p>
      <w:pPr>
        <w:ind w:left="540" w:hanging="510"/>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Duolingo, Inc.;</w:t>
      </w:r>
    </w:p>
    <w:p>
      <w:pPr>
        <w:spacing w:after="0" w:line="292" w:lineRule="exact"/>
        <w:rPr>
          <w:rFonts w:ascii="Arial" w:cs="Arial" w:eastAsia="Arial" w:hAnsi="Arial"/>
          <w:sz w:val="18"/>
          <w:szCs w:val="18"/>
          <w:color w:val="auto"/>
        </w:rPr>
      </w:pPr>
    </w:p>
    <w:p>
      <w:pPr>
        <w:jc w:val="both"/>
        <w:ind w:left="540" w:right="220" w:hanging="510"/>
        <w:spacing w:after="0" w:line="263"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40" w:right="200" w:hanging="510"/>
        <w:spacing w:after="0" w:line="308" w:lineRule="auto"/>
        <w:tabs>
          <w:tab w:leader="none" w:pos="5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ind w:left="540" w:right="240" w:hanging="510"/>
        <w:spacing w:after="0" w:line="277"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37" w:lineRule="exact"/>
        <w:rPr>
          <w:rFonts w:ascii="Arial" w:cs="Arial" w:eastAsia="Arial" w:hAnsi="Arial"/>
          <w:sz w:val="18"/>
          <w:szCs w:val="18"/>
          <w:color w:val="auto"/>
        </w:rPr>
      </w:pPr>
    </w:p>
    <w:p>
      <w:pPr>
        <w:ind w:left="1060" w:right="140" w:hanging="517"/>
        <w:spacing w:after="0" w:line="263" w:lineRule="auto"/>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060" w:hanging="517"/>
        <w:spacing w:after="0"/>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1060" w:right="440" w:hanging="517"/>
        <w:spacing w:after="0" w:line="342" w:lineRule="auto"/>
        <w:tabs>
          <w:tab w:leader="none" w:pos="1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060" w:right="160" w:hanging="517"/>
        <w:spacing w:after="0" w:line="263" w:lineRule="auto"/>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540" w:right="220" w:hanging="510"/>
        <w:spacing w:after="0" w:line="342"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6"/>
          <w:szCs w:val="16"/>
          <w:color w:val="auto"/>
        </w:rPr>
      </w:pPr>
    </w:p>
    <w:p>
      <w:pPr>
        <w:ind w:left="1060" w:right="680" w:hanging="517"/>
        <w:spacing w:after="0" w:line="342" w:lineRule="auto"/>
        <w:tabs>
          <w:tab w:leader="none" w:pos="1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00" w:hanging="517"/>
        <w:spacing w:after="0" w:line="277" w:lineRule="auto"/>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5420" w:val="left"/>
          <w:tab w:leader="none" w:pos="776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864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5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Matthew Skaruppa</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417"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Duolingo, Inc. (the “Company”) on Form 10-K for the fiscal year ended December 31, 2021 (the “Report”), Luis von Ahn, President and Chief Executive Officer of the Company, and Matthew Skaruppa, Chief Financial Officer of the Company, each hereby certifies, pursuant to 18 U.S.C. Section 1350, as adopted pursuant to Section 906 of the Sarbanes-Oxley Act of 2002, that:</w:t>
      </w:r>
    </w:p>
    <w:p>
      <w:pPr>
        <w:spacing w:after="0" w:line="246" w:lineRule="exact"/>
        <w:rPr>
          <w:sz w:val="20"/>
          <w:szCs w:val="20"/>
          <w:color w:val="auto"/>
        </w:rPr>
      </w:pPr>
    </w:p>
    <w:p>
      <w:pPr>
        <w:ind w:left="720" w:hanging="352"/>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92" w:lineRule="exact"/>
        <w:rPr>
          <w:rFonts w:ascii="Arial" w:cs="Arial" w:eastAsia="Arial" w:hAnsi="Arial"/>
          <w:sz w:val="18"/>
          <w:szCs w:val="18"/>
          <w:color w:val="auto"/>
        </w:rPr>
      </w:pPr>
    </w:p>
    <w:p>
      <w:pPr>
        <w:ind w:left="720" w:right="200" w:hanging="352"/>
        <w:spacing w:after="0" w:line="277"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86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6"/>
          <w:szCs w:val="16"/>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Luis von Ahn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Matthew Skaruppa</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lvl w:ilvl="1">
      <w:lvlJc w:val="left"/>
      <w:lvlText w:val="◦"/>
      <w:numFmt w:val="bullet"/>
      <w:start w:val="1"/>
    </w:lvl>
  </w:abstractNum>
  <w:abstractNum w:abstractNumId="30">
    <w:nsid w:val="1A27709E"/>
    <w:multiLevelType w:val="hybridMultilevel"/>
    <w:lvl w:ilvl="0">
      <w:lvlJc w:val="left"/>
      <w:lvlText w:val="(%1)"/>
      <w:numFmt w:val="decimal"/>
      <w:start w:val="1"/>
    </w:lvl>
  </w:abstractNum>
  <w:abstractNum w:abstractNumId="31">
    <w:nsid w:val="71EA1109"/>
    <w:multiLevelType w:val="hybridMultilevel"/>
    <w:lvl w:ilvl="0">
      <w:lvlJc w:val="left"/>
      <w:lvlText w:val="(%1)"/>
      <w:numFmt w:val="decimal"/>
      <w:start w:val="2"/>
    </w:lvl>
  </w:abstractNum>
  <w:abstractNum w:abstractNumId="32">
    <w:nsid w:val="100F59DC"/>
    <w:multiLevelType w:val="hybridMultilevel"/>
    <w:lvl w:ilvl="0">
      <w:lvlJc w:val="left"/>
      <w:lvlText w:val="(%1)"/>
      <w:numFmt w:val="decimal"/>
      <w:start w:val="4"/>
    </w:lvl>
  </w:abstractNum>
  <w:abstractNum w:abstractNumId="33">
    <w:nsid w:val="7FB7E0AA"/>
    <w:multiLevelType w:val="hybridMultilevel"/>
    <w:lvl w:ilvl="0">
      <w:lvlJc w:val="left"/>
      <w:lvlText w:val="(%1)"/>
      <w:numFmt w:val="decimal"/>
      <w:start w:val="1"/>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
      <w:numFmt w:val="bullet"/>
      <w:start w:val="1"/>
    </w:lvl>
    <w:lvl w:ilvl="1">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1)"/>
      <w:numFmt w:val="decimal"/>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1."/>
      <w:numFmt w:val="decimal"/>
      <w:start w:val="1"/>
    </w:lvl>
  </w:abstractNum>
  <w:abstractNum w:abstractNumId="42">
    <w:nsid w:val="3222E7CD"/>
    <w:multiLevelType w:val="hybridMultilevel"/>
    <w:lvl w:ilvl="0">
      <w:lvlJc w:val="left"/>
      <w:lvlText w:val="%1."/>
      <w:numFmt w:val="decimal"/>
      <w:start w:val="2"/>
    </w:lvl>
  </w:abstractNum>
  <w:abstractNum w:abstractNumId="43">
    <w:nsid w:val="74DE0EE3"/>
    <w:multiLevelType w:val="hybridMultilevel"/>
    <w:lvl w:ilvl="0">
      <w:lvlJc w:val="left"/>
      <w:lvlText w:val="%1."/>
      <w:numFmt w:val="decimal"/>
      <w:start w:val="3"/>
    </w:lvl>
  </w:abstractNum>
  <w:abstractNum w:abstractNumId="44">
    <w:nsid w:val="68EBC550"/>
    <w:multiLevelType w:val="hybridMultilevel"/>
    <w:lvl w:ilvl="0">
      <w:lvlJc w:val="left"/>
      <w:lvlText w:val="%1."/>
      <w:numFmt w:val="decimal"/>
      <w:start w:val="7"/>
    </w:lvl>
  </w:abstractNum>
  <w:abstractNum w:abstractNumId="45">
    <w:nsid w:val="2DF6D648"/>
    <w:multiLevelType w:val="hybridMultilevel"/>
    <w:lvl w:ilvl="0">
      <w:lvlJc w:val="left"/>
      <w:lvlText w:val="%1."/>
      <w:numFmt w:val="decimal"/>
      <w:start w:val="8"/>
    </w:lvl>
  </w:abstractNum>
  <w:abstractNum w:abstractNumId="46">
    <w:nsid w:val="46B7D447"/>
    <w:multiLevelType w:val="hybridMultilevel"/>
    <w:lvl w:ilvl="0">
      <w:lvlJc w:val="left"/>
      <w:lvlText w:val="%1."/>
      <w:numFmt w:val="decimal"/>
      <w:start w:val="9"/>
    </w:lvl>
  </w:abstractNum>
  <w:abstractNum w:abstractNumId="47">
    <w:nsid w:val="4A2AC315"/>
    <w:multiLevelType w:val="hybridMultilevel"/>
    <w:lvl w:ilvl="0">
      <w:lvlJc w:val="left"/>
      <w:lvlText w:val="%1."/>
      <w:numFmt w:val="decimal"/>
      <w:start w:val="10"/>
    </w:lvl>
  </w:abstractNum>
  <w:abstractNum w:abstractNumId="48">
    <w:nsid w:val="39EE015C"/>
    <w:multiLevelType w:val="hybridMultilevel"/>
    <w:lvl w:ilvl="0">
      <w:lvlJc w:val="left"/>
      <w:lvlText w:val="%1."/>
      <w:numFmt w:val="decimal"/>
      <w:start w:val="12"/>
    </w:lvl>
  </w:abstractNum>
  <w:abstractNum w:abstractNumId="49">
    <w:nsid w:val="57FC4FBB"/>
    <w:multiLevelType w:val="hybridMultilevel"/>
    <w:lvl w:ilvl="0">
      <w:lvlJc w:val="left"/>
      <w:lvlText w:val="%1."/>
      <w:numFmt w:val="decimal"/>
      <w:start w:val="13"/>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1"/>
      <w:numFmt w:val="decimal"/>
      <w:start w:val="104"/>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1."/>
      <w:numFmt w:val="decimal"/>
      <w:start w:val="2"/>
    </w:lvl>
  </w:abstractNum>
  <w:abstractNum w:abstractNumId="57">
    <w:nsid w:val="5FB8370B"/>
    <w:multiLevelType w:val="hybridMultilevel"/>
    <w:lvl w:ilvl="0">
      <w:lvlJc w:val="left"/>
      <w:lvlText w:val="%1."/>
      <w:numFmt w:val="decimal"/>
      <w:start w:val="14"/>
    </w:lvl>
  </w:abstractNum>
  <w:abstractNum w:abstractNumId="58">
    <w:nsid w:val="50801EE1"/>
    <w:multiLevelType w:val="hybridMultilevel"/>
    <w:lvl w:ilvl="0">
      <w:lvlJc w:val="left"/>
      <w:lvlText w:val="%1."/>
      <w:numFmt w:val="decimal"/>
      <w:start w:val="18"/>
    </w:lvl>
  </w:abstractNum>
  <w:abstractNum w:abstractNumId="59">
    <w:nsid w:val="488AC1A"/>
    <w:multiLevelType w:val="hybridMultilevel"/>
    <w:lvl w:ilvl="0">
      <w:lvlJc w:val="left"/>
      <w:lvlText w:val="%1."/>
      <w:numFmt w:val="decimal"/>
      <w:start w:val="21"/>
    </w:lvl>
  </w:abstractNum>
  <w:abstractNum w:abstractNumId="60">
    <w:nsid w:val="5FB8011C"/>
    <w:multiLevelType w:val="hybridMultilevel"/>
    <w:lvl w:ilvl="0">
      <w:lvlJc w:val="left"/>
      <w:lvlText w:val="%1."/>
      <w:numFmt w:val="decimal"/>
      <w:start w:val="26"/>
    </w:lvl>
  </w:abstractNum>
  <w:abstractNum w:abstractNumId="61">
    <w:nsid w:val="6AA78F7F"/>
    <w:multiLevelType w:val="hybridMultilevel"/>
    <w:lvl w:ilvl="0">
      <w:lvlJc w:val="left"/>
      <w:lvlText w:val="%1."/>
      <w:numFmt w:val="decimal"/>
      <w:start w:val="31"/>
    </w:lvl>
  </w:abstractNum>
  <w:abstractNum w:abstractNumId="62">
    <w:nsid w:val="7672BD23"/>
    <w:multiLevelType w:val="hybridMultilevel"/>
    <w:lvl w:ilvl="0">
      <w:lvlJc w:val="left"/>
      <w:lvlText w:val="%1."/>
      <w:numFmt w:val="upperLetter"/>
      <w:start w:val="1"/>
    </w:lvl>
  </w:abstractNum>
  <w:abstractNum w:abstractNumId="63">
    <w:nsid w:val="6FC75AF8"/>
    <w:multiLevelType w:val="hybridMultilevel"/>
    <w:lvl w:ilvl="0">
      <w:lvlJc w:val="left"/>
      <w:lvlText w:val="%1."/>
      <w:numFmt w:val="decimal"/>
      <w:start w:val="1"/>
    </w:lvl>
  </w:abstractNum>
  <w:abstractNum w:abstractNumId="64">
    <w:nsid w:val="6A5F7029"/>
    <w:multiLevelType w:val="hybridMultilevel"/>
    <w:lvl w:ilvl="0">
      <w:lvlJc w:val="left"/>
      <w:lvlText w:val="%1."/>
      <w:numFmt w:val="upperLetter"/>
      <w:start w:val="1"/>
    </w:lvl>
  </w:abstractNum>
  <w:abstractNum w:abstractNumId="65">
    <w:nsid w:val="7D5E18F8"/>
    <w:multiLevelType w:val="hybridMultilevel"/>
    <w:lvl w:ilvl="0">
      <w:lvlJc w:val="left"/>
      <w:lvlText w:val="%1."/>
      <w:numFmt w:val="upperLetter"/>
      <w:start w:val="12"/>
    </w:lvl>
  </w:abstractNum>
  <w:abstractNum w:abstractNumId="66">
    <w:nsid w:val="5F3534A4"/>
    <w:multiLevelType w:val="hybridMultilevel"/>
    <w:lvl w:ilvl="0">
      <w:lvlJc w:val="left"/>
      <w:lvlText w:val="%1"/>
      <w:numFmt w:val="upperLetter"/>
      <w:start w:val="1"/>
    </w:lvl>
    <w:lvl w:ilvl="1">
      <w:lvlJc w:val="left"/>
      <w:lvlText w:val="%2."/>
      <w:numFmt w:val="upperLetter"/>
      <w:start w:val="15"/>
    </w:lvl>
  </w:abstractNum>
  <w:abstractNum w:abstractNumId="67">
    <w:nsid w:val="73A1821B"/>
    <w:multiLevelType w:val="hybridMultilevel"/>
    <w:lvl w:ilvl="0">
      <w:lvlJc w:val="left"/>
      <w:lvlText w:val="%1."/>
      <w:numFmt w:val="upperLetter"/>
      <w:start w:val="16"/>
    </w:lvl>
    <w:lvl w:ilvl="1">
      <w:lvlJc w:val="left"/>
      <w:lvlText w:val="%2"/>
      <w:numFmt w:val="upperLetter"/>
      <w:start w:val="1"/>
    </w:lvl>
  </w:abstractNum>
  <w:abstractNum w:abstractNumId="68">
    <w:nsid w:val="7DE67713"/>
    <w:multiLevelType w:val="hybridMultilevel"/>
    <w:lvl w:ilvl="0">
      <w:lvlJc w:val="left"/>
      <w:lvlText w:val="%1."/>
      <w:numFmt w:val="upperLetter"/>
      <w:start w:val="17"/>
    </w:lvl>
    <w:lvl w:ilvl="1">
      <w:lvlJc w:val="left"/>
      <w:lvlText w:val=","/>
      <w:numFmt w:val="bullet"/>
      <w:start w:val="1"/>
    </w:lvl>
  </w:abstractNum>
  <w:abstractNum w:abstractNumId="69">
    <w:nsid w:val="555C55B5"/>
    <w:multiLevelType w:val="hybridMultilevel"/>
    <w:lvl w:ilvl="0">
      <w:lvlJc w:val="left"/>
      <w:lvlText w:val="%1."/>
      <w:numFmt w:val="decimal"/>
      <w:start w:val="2"/>
    </w:lvl>
  </w:abstractNum>
  <w:abstractNum w:abstractNumId="70">
    <w:nsid w:val="3FA62ACA"/>
    <w:multiLevelType w:val="hybridMultilevel"/>
    <w:lvl w:ilvl="0">
      <w:lvlJc w:val="left"/>
      <w:lvlText w:val="%1."/>
      <w:numFmt w:val="decimal"/>
      <w:start w:val="3"/>
    </w:lvl>
  </w:abstractNum>
  <w:abstractNum w:abstractNumId="71">
    <w:nsid w:val="14FCE74E"/>
    <w:multiLevelType w:val="hybridMultilevel"/>
    <w:lvl w:ilvl="0">
      <w:lvlJc w:val="left"/>
      <w:lvlText w:val="(%1)"/>
      <w:numFmt w:val="lowerRoman"/>
      <w:start w:val="5"/>
    </w:lvl>
  </w:abstractNum>
  <w:abstractNum w:abstractNumId="72">
    <w:nsid w:val="6A3DD3E8"/>
    <w:multiLevelType w:val="hybridMultilevel"/>
    <w:lvl w:ilvl="0">
      <w:lvlJc w:val="left"/>
      <w:lvlText w:val="(%1)"/>
      <w:numFmt w:val="lowerLetter"/>
      <w:start w:val="3"/>
    </w:lvl>
  </w:abstractNum>
  <w:abstractNum w:abstractNumId="73">
    <w:nsid w:val="71C91298"/>
    <w:multiLevelType w:val="hybridMultilevel"/>
    <w:lvl w:ilvl="0">
      <w:lvlJc w:val="left"/>
      <w:lvlText w:val="%1."/>
      <w:numFmt w:val="decimal"/>
      <w:start w:val="5"/>
    </w:lvl>
  </w:abstractNum>
  <w:abstractNum w:abstractNumId="74">
    <w:nsid w:val="9DAF632"/>
    <w:multiLevelType w:val="hybridMultilevel"/>
    <w:lvl w:ilvl="0">
      <w:lvlJc w:val="left"/>
      <w:lvlText w:val="%1."/>
      <w:numFmt w:val="decimal"/>
      <w:start w:val="6"/>
    </w:lvl>
  </w:abstractNum>
  <w:abstractNum w:abstractNumId="75">
    <w:nsid w:val="53299938"/>
    <w:multiLevelType w:val="hybridMultilevel"/>
    <w:lvl w:ilvl="0">
      <w:lvlJc w:val="left"/>
      <w:lvlText w:val="%1."/>
      <w:numFmt w:val="decimal"/>
      <w:start w:val="7"/>
    </w:lvl>
  </w:abstractNum>
  <w:abstractNum w:abstractNumId="76">
    <w:nsid w:val="1FBFE8E0"/>
    <w:multiLevelType w:val="hybridMultilevel"/>
    <w:lvl w:ilvl="0">
      <w:lvlJc w:val="left"/>
      <w:lvlText w:val="(%1)"/>
      <w:numFmt w:val="lowerRoman"/>
      <w:start w:val="1"/>
    </w:lvl>
  </w:abstractNum>
  <w:abstractNum w:abstractNumId="77">
    <w:nsid w:val="5092CA79"/>
    <w:multiLevelType w:val="hybridMultilevel"/>
    <w:lvl w:ilvl="0">
      <w:lvlJc w:val="left"/>
      <w:lvlText w:val="%1."/>
      <w:numFmt w:val="decimal"/>
      <w:start w:val="8"/>
    </w:lvl>
  </w:abstractNum>
  <w:abstractNum w:abstractNumId="78">
    <w:nsid w:val="1D545C4D"/>
    <w:multiLevelType w:val="hybridMultilevel"/>
    <w:lvl w:ilvl="0">
      <w:lvlJc w:val="left"/>
      <w:lvlText w:val="%1."/>
      <w:numFmt w:val="decimal"/>
      <w:start w:val="9"/>
    </w:lvl>
  </w:abstractNum>
  <w:abstractNum w:abstractNumId="79">
    <w:nsid w:val="59ADEA3D"/>
    <w:multiLevelType w:val="hybridMultilevel"/>
    <w:lvl w:ilvl="0">
      <w:lvlJc w:val="left"/>
      <w:lvlText w:val="%1."/>
      <w:numFmt w:val="decimal"/>
      <w:start w:val="10"/>
    </w:lvl>
  </w:abstractNum>
  <w:abstractNum w:abstractNumId="80">
    <w:nsid w:val="288F1A34"/>
    <w:multiLevelType w:val="hybridMultilevel"/>
    <w:lvl w:ilvl="0">
      <w:lvlJc w:val="left"/>
      <w:lvlText w:val="%1."/>
      <w:numFmt w:val="decimal"/>
      <w:start w:val="11"/>
    </w:lvl>
  </w:abstractNum>
  <w:abstractNum w:abstractNumId="81">
    <w:nsid w:val="2A155DBC"/>
    <w:multiLevelType w:val="hybridMultilevel"/>
    <w:lvl w:ilvl="0">
      <w:lvlJc w:val="left"/>
      <w:lvlText w:val="%1."/>
      <w:numFmt w:val="decimal"/>
      <w:start w:val="12"/>
    </w:lvl>
  </w:abstractNum>
  <w:abstractNum w:abstractNumId="82">
    <w:nsid w:val="1D9F6E5F"/>
    <w:multiLevelType w:val="hybridMultilevel"/>
    <w:lvl w:ilvl="0">
      <w:lvlJc w:val="left"/>
      <w:lvlText w:val="(%1)"/>
      <w:numFmt w:val="decimal"/>
      <w:start w:val="10"/>
    </w:lvl>
  </w:abstractNum>
  <w:abstractNum w:abstractNumId="83">
    <w:nsid w:val="97E1B4E"/>
    <w:multiLevelType w:val="hybridMultilevel"/>
    <w:lvl w:ilvl="0">
      <w:lvlJc w:val="left"/>
      <w:lvlText w:val="(%1)"/>
      <w:numFmt w:val="lowerRoman"/>
      <w:start w:val="2"/>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decimal"/>
      <w:start w:val="1"/>
    </w:lvl>
    <w:lvl w:ilvl="1">
      <w:lvlJc w:val="left"/>
      <w:lvlText w:val="(%2)"/>
      <w:numFmt w:val="lowerLetter"/>
      <w:start w:val="3"/>
    </w:lvl>
  </w:abstractNum>
  <w:abstractNum w:abstractNumId="86">
    <w:nsid w:val="53584BCB"/>
    <w:multiLevelType w:val="hybridMultilevel"/>
    <w:lvl w:ilvl="0">
      <w:lvlJc w:val="left"/>
      <w:lvlText w:val="%1."/>
      <w:numFmt w:val="decimal"/>
      <w:start w:val="14"/>
    </w:lvl>
    <w:lvl w:ilvl="1">
      <w:lvlJc w:val="left"/>
      <w:lvlText w:val="%2"/>
      <w:numFmt w:val="lowerLetter"/>
      <w:start w:val="1"/>
    </w:lvl>
  </w:abstractNum>
  <w:abstractNum w:abstractNumId="87">
    <w:nsid w:val="415E286C"/>
    <w:multiLevelType w:val="hybridMultilevel"/>
    <w:lvl w:ilvl="0">
      <w:lvlJc w:val="left"/>
      <w:lvlText w:val="%1."/>
      <w:numFmt w:val="decimal"/>
      <w:start w:val="16"/>
    </w:lvl>
  </w:abstractNum>
  <w:abstractNum w:abstractNumId="88">
    <w:nsid w:val="7C58FD05"/>
    <w:multiLevelType w:val="hybridMultilevel"/>
    <w:lvl w:ilvl="0">
      <w:lvlJc w:val="left"/>
      <w:lvlText w:val="(%1)"/>
      <w:numFmt w:val="lowerRoman"/>
      <w:start w:val="1"/>
    </w:lvl>
  </w:abstractNum>
  <w:abstractNum w:abstractNumId="89">
    <w:nsid w:val="23D86AAC"/>
    <w:multiLevelType w:val="hybridMultilevel"/>
    <w:lvl w:ilvl="0">
      <w:lvlJc w:val="left"/>
      <w:lvlText w:val="(%1)"/>
      <w:numFmt w:val="lowerRoman"/>
      <w:start w:val="1"/>
    </w:lvl>
  </w:abstractNum>
  <w:abstractNum w:abstractNumId="90">
    <w:nsid w:val="45E6D486"/>
    <w:multiLevelType w:val="hybridMultilevel"/>
    <w:lvl w:ilvl="0">
      <w:lvlJc w:val="left"/>
      <w:lvlText w:val="(%1)"/>
      <w:numFmt w:val="lowerRoman"/>
      <w:start w:val="4"/>
    </w:lvl>
  </w:abstractNum>
  <w:abstractNum w:abstractNumId="91">
    <w:nsid w:val="5C10FE21"/>
    <w:multiLevelType w:val="hybridMultilevel"/>
    <w:lvl w:ilvl="0">
      <w:lvlJc w:val="left"/>
      <w:lvlText w:val="(%1)"/>
      <w:numFmt w:val="lowerRoman"/>
      <w:start w:val="6"/>
    </w:lvl>
  </w:abstractNum>
  <w:abstractNum w:abstractNumId="92">
    <w:nsid w:val="E7FFA2B"/>
    <w:multiLevelType w:val="hybridMultilevel"/>
    <w:lvl w:ilvl="0">
      <w:lvlJc w:val="left"/>
      <w:lvlText w:val="(%1)"/>
      <w:numFmt w:val="lowerRoman"/>
      <w:start w:val="8"/>
    </w:lvl>
  </w:abstractNum>
  <w:abstractNum w:abstractNumId="93">
    <w:nsid w:val="3C5991AA"/>
    <w:multiLevelType w:val="hybridMultilevel"/>
    <w:lvl w:ilvl="0">
      <w:lvlJc w:val="left"/>
      <w:lvlText w:val="(%1)"/>
      <w:numFmt w:val="decimal"/>
      <w:start w:val="30"/>
    </w:lvl>
  </w:abstractNum>
  <w:abstractNum w:abstractNumId="94">
    <w:nsid w:val="4BD8591A"/>
    <w:multiLevelType w:val="hybridMultilevel"/>
    <w:lvl w:ilvl="0">
      <w:lvlJc w:val="left"/>
      <w:lvlText w:val="%1."/>
      <w:numFmt w:val="decimal"/>
      <w:start w:val="17"/>
    </w:lvl>
  </w:abstractNum>
  <w:abstractNum w:abstractNumId="95">
    <w:nsid w:val="78DF6A55"/>
    <w:multiLevelType w:val="hybridMultilevel"/>
    <w:lvl w:ilvl="0">
      <w:lvlJc w:val="left"/>
      <w:lvlText w:val="%1."/>
      <w:numFmt w:val="decimal"/>
      <w:start w:val="20"/>
    </w:lvl>
  </w:abstractNum>
  <w:abstractNum w:abstractNumId="96">
    <w:nsid w:val="39B7AAA2"/>
    <w:multiLevelType w:val="hybridMultilevel"/>
    <w:lvl w:ilvl="0">
      <w:lvlJc w:val="left"/>
      <w:lvlText w:val="%1"/>
      <w:numFmt w:val="decimal"/>
      <w:start w:val="1"/>
    </w:lvl>
    <w:lvl w:ilvl="1">
      <w:lvlJc w:val="left"/>
      <w:lvlText w:val="(%2)"/>
      <w:numFmt w:val="lowerRoman"/>
      <w:start w:val="1"/>
    </w:lvl>
  </w:abstractNum>
  <w:abstractNum w:abstractNumId="97">
    <w:nsid w:val="2B0D8DBE"/>
    <w:multiLevelType w:val="hybridMultilevel"/>
    <w:lvl w:ilvl="0">
      <w:lvlJc w:val="left"/>
      <w:lvlText w:val="(%1)"/>
      <w:numFmt w:val="decimal"/>
      <w:start w:val="1"/>
    </w:lvl>
    <w:lvl w:ilvl="1">
      <w:lvlJc w:val="left"/>
      <w:lvlText w:val="(%2)"/>
      <w:numFmt w:val="lowerRoman"/>
      <w:start w:val="2"/>
    </w:lvl>
  </w:abstractNum>
  <w:abstractNum w:abstractNumId="98">
    <w:nsid w:val="6C80EC70"/>
    <w:multiLevelType w:val="hybridMultilevel"/>
    <w:lvl w:ilvl="0">
      <w:lvlJc w:val="left"/>
      <w:lvlText w:val="(%1)"/>
      <w:numFmt w:val="lowerRoman"/>
      <w:start w:val="3"/>
    </w:lvl>
  </w:abstractNum>
  <w:abstractNum w:abstractNumId="99">
    <w:nsid w:val="379E21B5"/>
    <w:multiLevelType w:val="hybridMultilevel"/>
    <w:lvl w:ilvl="0">
      <w:lvlJc w:val="left"/>
      <w:lvlText w:val="(%1)"/>
      <w:numFmt w:val="decimal"/>
      <w:start w:val="3"/>
    </w:lvl>
  </w:abstractNum>
  <w:abstractNum w:abstractNumId="100">
    <w:nsid w:val="69E373"/>
    <w:multiLevelType w:val="hybridMultilevel"/>
    <w:lvl w:ilvl="0">
      <w:lvlJc w:val="left"/>
      <w:lvlText w:val="%1."/>
      <w:numFmt w:val="decimal"/>
      <w:start w:val="22"/>
    </w:lvl>
  </w:abstractNum>
  <w:abstractNum w:abstractNumId="101">
    <w:nsid w:val="2C27173B"/>
    <w:multiLevelType w:val="hybridMultilevel"/>
    <w:lvl w:ilvl="0">
      <w:lvlJc w:val="left"/>
      <w:lvlText w:val="%1."/>
      <w:numFmt w:val="decimal"/>
      <w:start w:val="23"/>
    </w:lvl>
  </w:abstractNum>
  <w:abstractNum w:abstractNumId="102">
    <w:nsid w:val="4C9B0904"/>
    <w:multiLevelType w:val="hybridMultilevel"/>
    <w:lvl w:ilvl="0">
      <w:lvlJc w:val="left"/>
      <w:lvlText w:val="%1."/>
      <w:numFmt w:val="decimal"/>
      <w:start w:val="25"/>
    </w:lvl>
  </w:abstractNum>
  <w:abstractNum w:abstractNumId="103">
    <w:nsid w:val="6AA7B75C"/>
    <w:multiLevelType w:val="hybridMultilevel"/>
    <w:lvl w:ilvl="0">
      <w:lvlJc w:val="left"/>
      <w:lvlText w:val="(%1)"/>
      <w:numFmt w:val="lowerRoman"/>
      <w:start w:val="4"/>
    </w:lvl>
    <w:lvl w:ilvl="1">
      <w:lvlJc w:val="left"/>
      <w:lvlText w:val="%2."/>
      <w:numFmt w:val="upperLetter"/>
      <w:start w:val="1"/>
    </w:lvl>
  </w:abstractNum>
  <w:abstractNum w:abstractNumId="104">
    <w:nsid w:val="1DF029D3"/>
    <w:multiLevelType w:val="hybridMultilevel"/>
    <w:lvl w:ilvl="0">
      <w:lvlJc w:val="left"/>
      <w:lvlText w:val="%1."/>
      <w:numFmt w:val="decimal"/>
      <w:start w:val="26"/>
    </w:lvl>
    <w:lvl w:ilvl="1">
      <w:lvlJc w:val="left"/>
      <w:lvlText w:val="%2."/>
      <w:numFmt w:val="decimal"/>
      <w:start w:val="28"/>
    </w:lvl>
  </w:abstractNum>
  <w:abstractNum w:abstractNumId="105">
    <w:nsid w:val="5675FF36"/>
    <w:multiLevelType w:val="hybridMultilevel"/>
    <w:lvl w:ilvl="0">
      <w:lvlJc w:val="left"/>
      <w:lvlText w:val="%1."/>
      <w:numFmt w:val="decimal"/>
      <w:start w:val="29"/>
    </w:lvl>
  </w:abstractNum>
  <w:abstractNum w:abstractNumId="106">
    <w:nsid w:val="3DD15094"/>
    <w:multiLevelType w:val="hybridMultilevel"/>
    <w:lvl w:ilvl="0">
      <w:lvlJc w:val="left"/>
      <w:lvlText w:val="%1."/>
      <w:numFmt w:val="decimal"/>
      <w:start w:val="30"/>
    </w:lvl>
  </w:abstractNum>
  <w:abstractNum w:abstractNumId="107">
    <w:nsid w:val="3DB012B3"/>
    <w:multiLevelType w:val="hybridMultilevel"/>
    <w:lvl w:ilvl="0">
      <w:lvlJc w:val="left"/>
      <w:lvlText w:val="(%1)"/>
      <w:numFmt w:val="lowerRoman"/>
      <w:start w:val="2"/>
    </w:lvl>
  </w:abstractNum>
  <w:abstractNum w:abstractNumId="108">
    <w:nsid w:val="2708C9AF"/>
    <w:multiLevelType w:val="hybridMultilevel"/>
    <w:lvl w:ilvl="0">
      <w:lvlJc w:val="left"/>
      <w:lvlText w:val="(%1)"/>
      <w:numFmt w:val="decimal"/>
      <w:start w:val="30"/>
    </w:lvl>
  </w:abstractNum>
  <w:abstractNum w:abstractNumId="109">
    <w:nsid w:val="5B25ACE2"/>
    <w:multiLevelType w:val="hybridMultilevel"/>
    <w:lvl w:ilvl="0">
      <w:lvlJc w:val="left"/>
      <w:lvlText w:val="(%1)"/>
      <w:numFmt w:val="decimal"/>
      <w:start w:val="20"/>
    </w:lvl>
  </w:abstractNum>
  <w:abstractNum w:abstractNumId="110">
    <w:nsid w:val="175DFCF0"/>
    <w:multiLevelType w:val="hybridMultilevel"/>
    <w:lvl w:ilvl="0">
      <w:lvlJc w:val="left"/>
      <w:lvlText w:val="%1."/>
      <w:numFmt w:val="decimal"/>
      <w:start w:val="31"/>
    </w:lvl>
  </w:abstractNum>
  <w:abstractNum w:abstractNumId="111">
    <w:nsid w:val="4F97E3E4"/>
    <w:multiLevelType w:val="hybridMultilevel"/>
    <w:lvl w:ilvl="0">
      <w:lvlJc w:val="left"/>
      <w:lvlText w:val="%1."/>
      <w:numFmt w:val="decimal"/>
      <w:start w:val="32"/>
    </w:lvl>
  </w:abstractNum>
  <w:abstractNum w:abstractNumId="112">
    <w:nsid w:val="53B0A9E"/>
    <w:multiLevelType w:val="hybridMultilevel"/>
    <w:lvl w:ilvl="0">
      <w:lvlJc w:val="left"/>
      <w:lvlText w:val="(%1)"/>
      <w:numFmt w:val="lowerRoman"/>
      <w:start w:val="1"/>
    </w:lvl>
  </w:abstractNum>
  <w:abstractNum w:abstractNumId="113">
    <w:nsid w:val="34FD6B4F"/>
    <w:multiLevelType w:val="hybridMultilevel"/>
    <w:lvl w:ilvl="0">
      <w:lvlJc w:val="left"/>
      <w:lvlText w:val="(%1)"/>
      <w:numFmt w:val="lowerRoman"/>
      <w:start w:val="6"/>
    </w:lvl>
  </w:abstractNum>
  <w:abstractNum w:abstractNumId="114">
    <w:nsid w:val="5915FF32"/>
    <w:multiLevelType w:val="hybridMultilevel"/>
    <w:lvl w:ilvl="0">
      <w:lvlJc w:val="left"/>
      <w:lvlText w:val="(%1)"/>
      <w:numFmt w:val="lowerRoman"/>
      <w:start w:val="11"/>
    </w:lvl>
  </w:abstractNum>
  <w:abstractNum w:abstractNumId="115">
    <w:nsid w:val="56438D15"/>
    <w:multiLevelType w:val="hybridMultilevel"/>
    <w:lvl w:ilvl="0">
      <w:lvlJc w:val="left"/>
      <w:lvlText w:val="(%1)"/>
      <w:numFmt w:val="lowerLetter"/>
      <w:start w:val="2"/>
    </w:lvl>
  </w:abstractNum>
  <w:abstractNum w:abstractNumId="116">
    <w:nsid w:val="519E3149"/>
    <w:multiLevelType w:val="hybridMultilevel"/>
    <w:lvl w:ilvl="0">
      <w:lvlJc w:val="left"/>
      <w:lvlText w:val="(%1)"/>
      <w:numFmt w:val="lowerLetter"/>
      <w:start w:val="6"/>
    </w:lvl>
  </w:abstractNum>
  <w:abstractNum w:abstractNumId="117">
    <w:nsid w:val="2C6E4AFD"/>
    <w:multiLevelType w:val="hybridMultilevel"/>
    <w:lvl w:ilvl="0">
      <w:lvlJc w:val="left"/>
      <w:lvlText w:val="(%1)"/>
      <w:numFmt w:val="lowerLetter"/>
      <w:start w:val="7"/>
    </w:lvl>
  </w:abstractNum>
  <w:abstractNum w:abstractNumId="118">
    <w:nsid w:val="17A1B582"/>
    <w:multiLevelType w:val="hybridMultilevel"/>
    <w:lvl w:ilvl="0">
      <w:lvlJc w:val="left"/>
      <w:lvlText w:val="(%1)"/>
      <w:numFmt w:val="lowerLetter"/>
      <w:start w:val="10"/>
    </w:lvl>
  </w:abstractNum>
  <w:abstractNum w:abstractNumId="119">
    <w:nsid w:val="4DF72E4E"/>
    <w:multiLevelType w:val="hybridMultilevel"/>
    <w:lvl w:ilvl="0">
      <w:lvlJc w:val="left"/>
      <w:lvlText w:val="(%1)"/>
      <w:numFmt w:val="lowerLetter"/>
      <w:start w:val="12"/>
    </w:lvl>
  </w:abstractNum>
  <w:abstractNum w:abstractNumId="120">
    <w:nsid w:val="5046B5A9"/>
    <w:multiLevelType w:val="hybridMultilevel"/>
    <w:lvl w:ilvl="0">
      <w:lvlJc w:val="left"/>
      <w:lvlText w:val="(%1)"/>
      <w:numFmt w:val="decimal"/>
      <w:start w:val="120"/>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1."/>
      <w:numFmt w:val="decimal"/>
      <w:start w:val="7"/>
    </w:lvl>
  </w:abstractNum>
  <w:abstractNum w:abstractNumId="123">
    <w:nsid w:val="5EC6AFD4"/>
    <w:multiLevelType w:val="hybridMultilevel"/>
    <w:lvl w:ilvl="0">
      <w:lvlJc w:val="left"/>
      <w:lvlText w:val="%1."/>
      <w:numFmt w:val="decimal"/>
      <w:start w:val="16"/>
    </w:lvl>
  </w:abstractNum>
  <w:abstractNum w:abstractNumId="124">
    <w:nsid w:val="19E21B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5">
    <w:nsid w:val="75E0858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6">
    <w:nsid w:val="57A61A29"/>
    <w:multiLevelType w:val="hybridMultilevel"/>
    <w:lvl w:ilvl="0">
      <w:lvlJc w:val="left"/>
      <w:lvlText w:val="(%1)"/>
      <w:numFmt w:val="decimal"/>
      <w:start w:val="30"/>
    </w:lvl>
  </w:abstractNum>
  <w:abstractNum w:abstractNumId="127">
    <w:nsid w:val="5399C654"/>
    <w:multiLevelType w:val="hybridMultilevel"/>
    <w:lvl w:ilvl="0">
      <w:lvlJc w:val="left"/>
      <w:lvlText w:val="%1."/>
      <w:numFmt w:val="decimal"/>
      <w:start w:val="2"/>
    </w:lvl>
  </w:abstractNum>
  <w:abstractNum w:abstractNumId="128">
    <w:nsid w:val="20EE1348"/>
    <w:multiLevelType w:val="hybridMultilevel"/>
    <w:lvl w:ilvl="0">
      <w:lvlJc w:val="left"/>
      <w:lvlText w:val="%1."/>
      <w:numFmt w:val="decimal"/>
      <w:start w:val="5"/>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lowerLetter"/>
      <w:start w:val="6"/>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lvl w:ilvl="1">
      <w:lvlJc w:val="left"/>
      <w:lvlText w:val="(%2)"/>
      <w:numFmt w:val="lowerLetter"/>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5"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jpeg"/><Relationship Id="rId155" Type="http://schemas.openxmlformats.org/officeDocument/2006/relationships/image" Target="media/image121.jpeg"/><Relationship Id="rId156" Type="http://schemas.openxmlformats.org/officeDocument/2006/relationships/image" Target="media/image122.jpe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jpeg"/><Relationship Id="rId165" Type="http://schemas.openxmlformats.org/officeDocument/2006/relationships/image" Target="media/image131.jpeg"/><Relationship Id="rId166" Type="http://schemas.openxmlformats.org/officeDocument/2006/relationships/image" Target="media/image132.jpeg"/><Relationship Id="rId167" Type="http://schemas.openxmlformats.org/officeDocument/2006/relationships/image" Target="media/image133.jpeg"/><Relationship Id="rId168" Type="http://schemas.openxmlformats.org/officeDocument/2006/relationships/image" Target="media/image134.jpeg"/><Relationship Id="rId169" Type="http://schemas.openxmlformats.org/officeDocument/2006/relationships/image" Target="media/image135.jpeg"/><Relationship Id="rId170" Type="http://schemas.openxmlformats.org/officeDocument/2006/relationships/image" Target="media/image136.jpeg"/><Relationship Id="rId171" Type="http://schemas.openxmlformats.org/officeDocument/2006/relationships/image" Target="media/image137.jpeg"/><Relationship Id="rId172" Type="http://schemas.openxmlformats.org/officeDocument/2006/relationships/image" Target="media/image138.jpeg"/><Relationship Id="rId173" Type="http://schemas.openxmlformats.org/officeDocument/2006/relationships/image" Target="media/image139.jpeg"/><Relationship Id="rId174" Type="http://schemas.openxmlformats.org/officeDocument/2006/relationships/image" Target="media/image140.jpeg"/><Relationship Id="rId175" Type="http://schemas.openxmlformats.org/officeDocument/2006/relationships/image" Target="media/image141.jpeg"/><Relationship Id="rId176" Type="http://schemas.openxmlformats.org/officeDocument/2006/relationships/image" Target="media/image142.jpe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23" Type="http://schemas.openxmlformats.org/officeDocument/2006/relationships/hyperlink" Target="https://www.sec.gov/Archives/edgar/data/1562088/000162828021015040/exhibit31-8xk.htm" TargetMode="External"/><Relationship Id="rId124" Type="http://schemas.openxmlformats.org/officeDocument/2006/relationships/hyperlink" Target="https://www.sec.gov/Archives/edgar/data/1562088/000162828021015040/exhibit32-8xk.htm" TargetMode="External"/><Relationship Id="rId125" Type="http://schemas.openxmlformats.org/officeDocument/2006/relationships/hyperlink" Target="https://www.sec.gov/Archives/edgar/data/1562088/000162828021013065/exhibit42stockcertificate.htm" TargetMode="External"/><Relationship Id="rId126" Type="http://schemas.openxmlformats.org/officeDocument/2006/relationships/hyperlink" Target="https://www.sec.gov/Archives/edgar/data/1562088/000162828021013065/exhibit43-sx1.htm" TargetMode="External"/><Relationship Id="rId127" Type="http://schemas.openxmlformats.org/officeDocument/2006/relationships/hyperlink" Target="https://www.sec.gov/Archives/edgar/data/1562088/000162828021013980/exhibit103a-sx1a1senttouw7.htm" TargetMode="External"/><Relationship Id="rId128" Type="http://schemas.openxmlformats.org/officeDocument/2006/relationships/hyperlink" Target="https://www.sec.gov/Archives/edgar/data/1562088/000162828021013980/exhibit103b-sx1a1senttouw7.htm" TargetMode="External"/><Relationship Id="rId129" Type="http://schemas.openxmlformats.org/officeDocument/2006/relationships/hyperlink" Target="https://www.sec.gov/Archives/edgar/data/1562088/000162828021013980/exhibit103c-sx1a1senttouw7.htm" TargetMode="External"/><Relationship Id="rId130" Type="http://schemas.openxmlformats.org/officeDocument/2006/relationships/hyperlink" Target="https://www.sec.gov/Archives/edgar/data/1562088/000162828021013065/exhibit102a-sx1.htm" TargetMode="External"/><Relationship Id="rId131" Type="http://schemas.openxmlformats.org/officeDocument/2006/relationships/hyperlink" Target="https://www.sec.gov/Archives/edgar/data/1562088/000162828021013065/exhibit102b-sx1.htm" TargetMode="External"/><Relationship Id="rId132" Type="http://schemas.openxmlformats.org/officeDocument/2006/relationships/hyperlink" Target="https://www.sec.gov/Archives/edgar/data/1562088/000162828021013065/exhibit102c-sx1.htm" TargetMode="External"/><Relationship Id="rId133" Type="http://schemas.openxmlformats.org/officeDocument/2006/relationships/hyperlink" Target="https://www.sec.gov/Archives/edgar/data/0001562088/000162828021013980/exhibit1011-sx1a1sentuw712.htm" TargetMode="External"/><Relationship Id="rId134" Type="http://schemas.openxmlformats.org/officeDocument/2006/relationships/hyperlink" Target="https://www.sec.gov/Archives/edgar/data/0001562088/000162828021013980/exhibit1012-sx1a1sentuw712.htm" TargetMode="External"/><Relationship Id="rId136" Type="http://schemas.openxmlformats.org/officeDocument/2006/relationships/hyperlink" Target="https://www.sec.gov/Archives/edgar/data/1562088/000162828021013980/exhibit1014-sx1a1.htm" TargetMode="External"/><Relationship Id="rId137" Type="http://schemas.openxmlformats.org/officeDocument/2006/relationships/hyperlink" Target="https://www.sec.gov/Archives/edgar/data/1562088/000162828021013065/exhibit101a-sx1.htm" TargetMode="External"/><Relationship Id="rId138" Type="http://schemas.openxmlformats.org/officeDocument/2006/relationships/hyperlink" Target="https://www.sec.gov/Archives/edgar/data/1562088/000162828021013065/exhibit101b-sx1.htm" TargetMode="External"/><Relationship Id="rId139" Type="http://schemas.openxmlformats.org/officeDocument/2006/relationships/hyperlink" Target="https://www.sec.gov/Archives/edgar/data/1562088/000162828021013065/exhibit101c-sx1.htm" TargetMode="External"/><Relationship Id="rId140" Type="http://schemas.openxmlformats.org/officeDocument/2006/relationships/hyperlink" Target="https://www.sec.gov/Archives/edgar/data/1562088/000162828021013065/exhibit101d-sx1.htm" TargetMode="External"/><Relationship Id="rId141" Type="http://schemas.openxmlformats.org/officeDocument/2006/relationships/hyperlink" Target="https://www.sec.gov/Archives/edgar/data/1562088/000162828021013065/exhibit101e-sx1.htm" TargetMode="External"/><Relationship Id="rId142" Type="http://schemas.openxmlformats.org/officeDocument/2006/relationships/hyperlink" Target="https://www.sec.gov/Archives/edgar/data/1562088/000162828021013065/exhibit101f-sx1.htm" TargetMode="External"/><Relationship Id="rId143" Type="http://schemas.openxmlformats.org/officeDocument/2006/relationships/hyperlink" Target="https://www.sec.gov/Archives/edgar/data/1562088/000162828021013065/exhibit101g-sx1.htm" TargetMode="External"/><Relationship Id="rId144" Type="http://schemas.openxmlformats.org/officeDocument/2006/relationships/hyperlink" Target="https://www.sec.gov/Archives/edgar/data/1562088/000162828021013980/exhibit105-sx1a1senttouw714.htm" TargetMode="External"/><Relationship Id="rId145" Type="http://schemas.openxmlformats.org/officeDocument/2006/relationships/hyperlink" Target="https://www.sec.gov/Archives/edgar/data/1562088/000162828021013980/exhibit106-s1a1senttouw714.htm" TargetMode="External"/><Relationship Id="rId146" Type="http://schemas.openxmlformats.org/officeDocument/2006/relationships/hyperlink" Target="https://www.sec.gov/Archives/edgar/data/1562088/000162828021013980/exhibit107-sx1a1senttouw714.htm" TargetMode="External"/><Relationship Id="rId147" Type="http://schemas.openxmlformats.org/officeDocument/2006/relationships/hyperlink" Target="https://www.sec.gov/Archives/edgar/data/1562088/000162828021013980/exhibit108-sx1a1senttouw714.htm" TargetMode="External"/><Relationship Id="rId148" Type="http://schemas.openxmlformats.org/officeDocument/2006/relationships/hyperlink" Target="https://www.sec.gov/Archives/edgar/data/1562088/000162828021013980/exhibit109-sx1a1senttouw714.htm" TargetMode="External"/><Relationship Id="rId149" Type="http://schemas.openxmlformats.org/officeDocument/2006/relationships/hyperlink" Target="https://www.sec.gov/Archives/edgar/data/1562088/000162828021013980/exhibit1010-sx1a1senttouw7.htm" TargetMode="External"/><Relationship Id="rId150" Type="http://schemas.openxmlformats.org/officeDocument/2006/relationships/hyperlink" Target="https://www.sec.gov/Archives/edgar/data/1562088/000162828021013980/exhibit104-sx1a1senttouw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2022-03-04T15:25:55Z</dcterms:created>
  <dcterms:modified xsi:type="dcterms:W3CDTF">2022-03-04T15:25:55Z</dcterms:modified>
</cp:coreProperties>
</file>